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b w:val="1"/>
          <w:bCs w:val="1"/>
          <w:color w:val="auto"/>
        </w:rPr>
        <w:t>QUARTERLY REPORT PURSUANT TO SECTION 13 OR 15(d) OF THE SECURITIES EXCHANGE ACT OF 1934</w:t>
      </w:r>
    </w:p>
    <w:p>
      <w:pPr>
        <w:spacing w:after="0" w:line="25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For the quarterly period ended June 27, 2020</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080" w:type="dxa"/>
            <w:vAlign w:val="bottom"/>
            <w:gridSpan w:val="2"/>
          </w:tcPr>
          <w:p>
            <w:pPr>
              <w:ind w:left="660"/>
              <w:spacing w:after="0"/>
              <w:rPr>
                <w:sz w:val="20"/>
                <w:szCs w:val="20"/>
                <w:color w:val="auto"/>
              </w:rPr>
            </w:pPr>
            <w:r>
              <w:rPr>
                <w:rFonts w:ascii="Arial" w:cs="Arial" w:eastAsia="Arial" w:hAnsi="Arial"/>
                <w:sz w:val="16"/>
                <w:szCs w:val="16"/>
                <w:b w:val="1"/>
                <w:bCs w:val="1"/>
                <w:color w:val="auto"/>
              </w:rPr>
              <w:t>For the transition period from</w:t>
            </w:r>
          </w:p>
        </w:tc>
        <w:tc>
          <w:tcPr>
            <w:tcW w:w="1440" w:type="dxa"/>
            <w:vAlign w:val="bottom"/>
            <w:gridSpan w:val="4"/>
          </w:tcPr>
          <w:p>
            <w:pPr>
              <w:ind w:left="40"/>
              <w:spacing w:after="0"/>
              <w:rPr>
                <w:sz w:val="20"/>
                <w:szCs w:val="20"/>
                <w:color w:val="auto"/>
              </w:rPr>
            </w:pPr>
            <w:r>
              <w:rPr>
                <w:rFonts w:ascii="Arial" w:cs="Arial" w:eastAsia="Arial" w:hAnsi="Arial"/>
                <w:sz w:val="16"/>
                <w:szCs w:val="16"/>
                <w:b w:val="1"/>
                <w:bCs w:val="1"/>
                <w:color w:val="auto"/>
              </w:rPr>
              <w:t>to</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tcPr>
          <w:p>
            <w:pPr>
              <w:spacing w:after="0"/>
              <w:rPr>
                <w:sz w:val="16"/>
                <w:szCs w:val="16"/>
                <w:color w:val="auto"/>
              </w:rPr>
            </w:pPr>
          </w:p>
        </w:tc>
      </w:tr>
      <w:tr>
        <w:trPr>
          <w:trHeight w:val="463"/>
        </w:trPr>
        <w:tc>
          <w:tcPr>
            <w:tcW w:w="2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520" w:type="dxa"/>
            <w:vAlign w:val="bottom"/>
            <w:gridSpan w:val="4"/>
          </w:tcPr>
          <w:p>
            <w:pPr>
              <w:jc w:val="center"/>
              <w:ind w:left="406"/>
              <w:spacing w:after="0"/>
              <w:rPr>
                <w:sz w:val="20"/>
                <w:szCs w:val="20"/>
                <w:color w:val="auto"/>
              </w:rPr>
            </w:pPr>
            <w:r>
              <w:rPr>
                <w:rFonts w:ascii="Arial" w:cs="Arial" w:eastAsia="Arial" w:hAnsi="Arial"/>
                <w:sz w:val="22"/>
                <w:szCs w:val="22"/>
                <w:b w:val="1"/>
                <w:bCs w:val="1"/>
                <w:color w:val="auto"/>
                <w:w w:val="88"/>
              </w:rPr>
              <w:t>Commission file number:</w:t>
            </w:r>
          </w:p>
        </w:tc>
        <w:tc>
          <w:tcPr>
            <w:tcW w:w="4120" w:type="dxa"/>
            <w:vAlign w:val="bottom"/>
          </w:tcPr>
          <w:p>
            <w:pPr>
              <w:spacing w:after="0"/>
              <w:rPr>
                <w:sz w:val="24"/>
                <w:szCs w:val="24"/>
                <w:color w:val="auto"/>
              </w:rPr>
            </w:pPr>
          </w:p>
        </w:tc>
      </w:tr>
      <w:tr>
        <w:trPr>
          <w:trHeight w:val="534"/>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gridSpan w:val="2"/>
          </w:tcPr>
          <w:p>
            <w:pPr>
              <w:jc w:val="right"/>
              <w:ind w:right="857"/>
              <w:spacing w:after="0"/>
              <w:rPr>
                <w:sz w:val="20"/>
                <w:szCs w:val="20"/>
                <w:color w:val="auto"/>
              </w:rPr>
            </w:pPr>
            <w:r>
              <w:rPr>
                <w:rFonts w:ascii="Arial" w:cs="Arial" w:eastAsia="Arial" w:hAnsi="Arial"/>
                <w:sz w:val="20"/>
                <w:szCs w:val="20"/>
                <w:b w:val="1"/>
                <w:bCs w:val="1"/>
                <w:color w:val="auto"/>
              </w:rPr>
              <w:t>001-31829</w:t>
            </w: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73"/>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gridSpan w:val="3"/>
          </w:tcPr>
          <w:p>
            <w:pPr>
              <w:jc w:val="center"/>
              <w:ind w:right="420"/>
              <w:spacing w:after="0"/>
              <w:rPr>
                <w:sz w:val="20"/>
                <w:szCs w:val="20"/>
                <w:color w:val="auto"/>
              </w:rPr>
            </w:pPr>
            <w:r>
              <w:rPr>
                <w:rFonts w:ascii="Arial" w:cs="Arial" w:eastAsia="Arial" w:hAnsi="Arial"/>
                <w:sz w:val="29"/>
                <w:szCs w:val="29"/>
                <w:b w:val="1"/>
                <w:bCs w:val="1"/>
                <w:color w:val="auto"/>
                <w:w w:val="98"/>
              </w:rPr>
              <w:t>CARTER’S, INC.</w:t>
            </w:r>
          </w:p>
        </w:tc>
        <w:tc>
          <w:tcPr>
            <w:tcW w:w="4120" w:type="dxa"/>
            <w:vAlign w:val="bottom"/>
          </w:tcPr>
          <w:p>
            <w:pPr>
              <w:spacing w:after="0"/>
              <w:rPr>
                <w:sz w:val="24"/>
                <w:szCs w:val="24"/>
                <w:color w:val="auto"/>
              </w:rPr>
            </w:pPr>
          </w:p>
        </w:tc>
      </w:tr>
      <w:tr>
        <w:trPr>
          <w:trHeight w:val="427"/>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5"/>
          </w:tcPr>
          <w:p>
            <w:pPr>
              <w:ind w:left="420"/>
              <w:spacing w:after="0"/>
              <w:rPr>
                <w:sz w:val="20"/>
                <w:szCs w:val="20"/>
                <w:color w:val="auto"/>
              </w:rPr>
            </w:pPr>
            <w:r>
              <w:rPr>
                <w:rFonts w:ascii="Arial" w:cs="Arial" w:eastAsia="Arial" w:hAnsi="Arial"/>
                <w:sz w:val="18"/>
                <w:szCs w:val="18"/>
                <w:color w:val="auto"/>
              </w:rPr>
              <w:t>(Exact name of Registrant as specified in its charter)</w:t>
            </w:r>
          </w:p>
        </w:tc>
      </w:tr>
      <w:tr>
        <w:trPr>
          <w:trHeight w:val="493"/>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tcPr>
          <w:p>
            <w:pPr>
              <w:jc w:val="center"/>
              <w:ind w:right="406"/>
              <w:spacing w:after="0"/>
              <w:rPr>
                <w:sz w:val="20"/>
                <w:szCs w:val="20"/>
                <w:color w:val="auto"/>
              </w:rPr>
            </w:pPr>
            <w:r>
              <w:rPr>
                <w:rFonts w:ascii="Arial" w:cs="Arial" w:eastAsia="Arial" w:hAnsi="Arial"/>
                <w:sz w:val="16"/>
                <w:szCs w:val="16"/>
                <w:b w:val="1"/>
                <w:bCs w:val="1"/>
                <w:color w:val="auto"/>
                <w:w w:val="93"/>
              </w:rPr>
              <w:t>Delaware</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Pr>
          <w:p>
            <w:pPr>
              <w:jc w:val="right"/>
              <w:ind w:right="3139"/>
              <w:spacing w:after="0"/>
              <w:rPr>
                <w:sz w:val="20"/>
                <w:szCs w:val="20"/>
                <w:color w:val="auto"/>
              </w:rPr>
            </w:pPr>
            <w:r>
              <w:rPr>
                <w:rFonts w:ascii="Arial" w:cs="Arial" w:eastAsia="Arial" w:hAnsi="Arial"/>
                <w:sz w:val="16"/>
                <w:szCs w:val="16"/>
                <w:b w:val="1"/>
                <w:bCs w:val="1"/>
                <w:color w:val="auto"/>
              </w:rPr>
              <w:t>13-3912933</w:t>
            </w:r>
          </w:p>
        </w:tc>
      </w:tr>
      <w:tr>
        <w:trPr>
          <w:trHeight w:val="270"/>
        </w:trPr>
        <w:tc>
          <w:tcPr>
            <w:tcW w:w="4520" w:type="dxa"/>
            <w:vAlign w:val="bottom"/>
            <w:gridSpan w:val="6"/>
          </w:tcPr>
          <w:p>
            <w:pPr>
              <w:jc w:val="center"/>
              <w:ind w:left="2518"/>
              <w:spacing w:after="0"/>
              <w:rPr>
                <w:sz w:val="20"/>
                <w:szCs w:val="20"/>
                <w:color w:val="auto"/>
              </w:rPr>
            </w:pPr>
            <w:r>
              <w:rPr>
                <w:rFonts w:ascii="Arial" w:cs="Arial" w:eastAsia="Arial" w:hAnsi="Arial"/>
                <w:sz w:val="16"/>
                <w:szCs w:val="16"/>
                <w:color w:val="auto"/>
                <w:w w:val="93"/>
              </w:rPr>
              <w:t>(State or other jurisdiction of</w:t>
            </w:r>
          </w:p>
        </w:tc>
        <w:tc>
          <w:tcPr>
            <w:tcW w:w="240" w:type="dxa"/>
            <w:vAlign w:val="bottom"/>
          </w:tcPr>
          <w:p>
            <w:pPr>
              <w:spacing w:after="0"/>
              <w:rPr>
                <w:sz w:val="23"/>
                <w:szCs w:val="23"/>
                <w:color w:val="auto"/>
              </w:rPr>
            </w:pPr>
          </w:p>
        </w:tc>
        <w:tc>
          <w:tcPr>
            <w:tcW w:w="6500" w:type="dxa"/>
            <w:vAlign w:val="bottom"/>
            <w:gridSpan w:val="3"/>
          </w:tcPr>
          <w:p>
            <w:pPr>
              <w:jc w:val="center"/>
              <w:ind w:right="639"/>
              <w:spacing w:after="0"/>
              <w:rPr>
                <w:sz w:val="20"/>
                <w:szCs w:val="20"/>
                <w:color w:val="auto"/>
              </w:rPr>
            </w:pPr>
            <w:r>
              <w:rPr>
                <w:rFonts w:ascii="Arial" w:cs="Arial" w:eastAsia="Arial" w:hAnsi="Arial"/>
                <w:sz w:val="16"/>
                <w:szCs w:val="16"/>
                <w:color w:val="auto"/>
                <w:w w:val="94"/>
              </w:rPr>
              <w:t>(I.R.S. Employer Identification No.)</w:t>
            </w:r>
          </w:p>
        </w:tc>
      </w:tr>
      <w:tr>
        <w:trPr>
          <w:trHeight w:val="270"/>
        </w:trPr>
        <w:tc>
          <w:tcPr>
            <w:tcW w:w="7140" w:type="dxa"/>
            <w:vAlign w:val="bottom"/>
            <w:gridSpan w:val="9"/>
          </w:tcPr>
          <w:p>
            <w:pPr>
              <w:jc w:val="center"/>
              <w:spacing w:after="0"/>
              <w:rPr>
                <w:sz w:val="20"/>
                <w:szCs w:val="20"/>
                <w:color w:val="auto"/>
              </w:rPr>
            </w:pPr>
            <w:r>
              <w:rPr>
                <w:rFonts w:ascii="Arial" w:cs="Arial" w:eastAsia="Arial" w:hAnsi="Arial"/>
                <w:sz w:val="16"/>
                <w:szCs w:val="16"/>
                <w:color w:val="auto"/>
                <w:w w:val="93"/>
              </w:rPr>
              <w:t>incorporation or organization)</w:t>
            </w:r>
          </w:p>
        </w:tc>
        <w:tc>
          <w:tcPr>
            <w:tcW w:w="4120" w:type="dxa"/>
            <w:vAlign w:val="bottom"/>
          </w:tcPr>
          <w:p>
            <w:pPr>
              <w:spacing w:after="0"/>
              <w:rPr>
                <w:sz w:val="23"/>
                <w:szCs w:val="23"/>
                <w:color w:val="auto"/>
              </w:rPr>
            </w:pPr>
          </w:p>
        </w:tc>
      </w:tr>
      <w:tr>
        <w:trPr>
          <w:trHeight w:val="749"/>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Phipps Tower,</w:t>
            </w:r>
          </w:p>
        </w:tc>
        <w:tc>
          <w:tcPr>
            <w:tcW w:w="4120" w:type="dxa"/>
            <w:vAlign w:val="bottom"/>
          </w:tcPr>
          <w:p>
            <w:pPr>
              <w:spacing w:after="0"/>
              <w:rPr>
                <w:sz w:val="24"/>
                <w:szCs w:val="24"/>
                <w:color w:val="auto"/>
              </w:rPr>
            </w:pP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gridSpan w:val="4"/>
          </w:tcPr>
          <w:p>
            <w:pPr>
              <w:jc w:val="center"/>
              <w:ind w:left="386"/>
              <w:spacing w:after="0"/>
              <w:rPr>
                <w:sz w:val="20"/>
                <w:szCs w:val="20"/>
                <w:color w:val="auto"/>
              </w:rPr>
            </w:pPr>
            <w:r>
              <w:rPr>
                <w:rFonts w:ascii="Arial" w:cs="Arial" w:eastAsia="Arial" w:hAnsi="Arial"/>
                <w:sz w:val="18"/>
                <w:szCs w:val="18"/>
                <w:b w:val="1"/>
                <w:bCs w:val="1"/>
                <w:color w:val="auto"/>
                <w:w w:val="90"/>
              </w:rPr>
              <w:t>3438 Peachtree Road NE, Suite 1800</w:t>
            </w:r>
          </w:p>
        </w:tc>
        <w:tc>
          <w:tcPr>
            <w:tcW w:w="4120" w:type="dxa"/>
            <w:vAlign w:val="bottom"/>
          </w:tcPr>
          <w:p>
            <w:pPr>
              <w:spacing w:after="0"/>
              <w:rPr>
                <w:sz w:val="24"/>
                <w:szCs w:val="24"/>
                <w:color w:val="auto"/>
              </w:rPr>
            </w:pPr>
          </w:p>
        </w:tc>
      </w:tr>
      <w:tr>
        <w:trPr>
          <w:trHeight w:val="391"/>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Atlanta, Georgia 30326</w:t>
            </w:r>
          </w:p>
        </w:tc>
        <w:tc>
          <w:tcPr>
            <w:tcW w:w="4120" w:type="dxa"/>
            <w:vAlign w:val="bottom"/>
          </w:tcPr>
          <w:p>
            <w:pPr>
              <w:spacing w:after="0"/>
              <w:rPr>
                <w:sz w:val="24"/>
                <w:szCs w:val="24"/>
                <w:color w:val="auto"/>
              </w:rPr>
            </w:pP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80" w:type="dxa"/>
            <w:vAlign w:val="bottom"/>
            <w:gridSpan w:val="6"/>
          </w:tcPr>
          <w:p>
            <w:pPr>
              <w:jc w:val="center"/>
              <w:ind w:right="3219"/>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91"/>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gridSpan w:val="2"/>
          </w:tcPr>
          <w:p>
            <w:pPr>
              <w:jc w:val="right"/>
              <w:ind w:right="737"/>
              <w:spacing w:after="0"/>
              <w:rPr>
                <w:sz w:val="20"/>
                <w:szCs w:val="20"/>
                <w:color w:val="auto"/>
              </w:rPr>
            </w:pPr>
            <w:r>
              <w:rPr>
                <w:rFonts w:ascii="Arial" w:cs="Arial" w:eastAsia="Arial" w:hAnsi="Arial"/>
                <w:sz w:val="18"/>
                <w:szCs w:val="18"/>
                <w:b w:val="1"/>
                <w:bCs w:val="1"/>
                <w:color w:val="auto"/>
              </w:rPr>
              <w:t>(678) 791-1000</w:t>
            </w: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500"/>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5"/>
          </w:tcPr>
          <w:p>
            <w:pPr>
              <w:jc w:val="center"/>
              <w:ind w:right="3559"/>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500"/>
        </w:trPr>
        <w:tc>
          <w:tcPr>
            <w:tcW w:w="4520" w:type="dxa"/>
            <w:vAlign w:val="bottom"/>
            <w:gridSpan w:val="6"/>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18"/>
        </w:trPr>
        <w:tc>
          <w:tcPr>
            <w:tcW w:w="2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r>
        <w:trPr>
          <w:trHeight w:val="217"/>
        </w:trPr>
        <w:tc>
          <w:tcPr>
            <w:tcW w:w="3080" w:type="dxa"/>
            <w:vAlign w:val="bottom"/>
            <w:tcBorders>
              <w:left w:val="single" w:sz="8" w:color="auto"/>
            </w:tcBorders>
            <w:gridSpan w:val="2"/>
          </w:tcPr>
          <w:p>
            <w:pPr>
              <w:jc w:val="center"/>
              <w:ind w:left="1578"/>
              <w:spacing w:after="0"/>
              <w:rPr>
                <w:sz w:val="20"/>
                <w:szCs w:val="20"/>
                <w:color w:val="auto"/>
              </w:rPr>
            </w:pPr>
            <w:r>
              <w:rPr>
                <w:rFonts w:ascii="Arial" w:cs="Arial" w:eastAsia="Arial" w:hAnsi="Arial"/>
                <w:sz w:val="16"/>
                <w:szCs w:val="16"/>
                <w:b w:val="1"/>
                <w:bCs w:val="1"/>
                <w:color w:val="auto"/>
                <w:w w:val="91"/>
              </w:rPr>
              <w:t>Title of Each Class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 w:type="dxa"/>
            <w:vAlign w:val="bottom"/>
          </w:tcPr>
          <w:p>
            <w:pPr>
              <w:spacing w:after="0"/>
              <w:rPr>
                <w:sz w:val="18"/>
                <w:szCs w:val="18"/>
                <w:color w:val="auto"/>
              </w:rPr>
            </w:pPr>
          </w:p>
        </w:tc>
        <w:tc>
          <w:tcPr>
            <w:tcW w:w="412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28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217"/>
        </w:trPr>
        <w:tc>
          <w:tcPr>
            <w:tcW w:w="4520" w:type="dxa"/>
            <w:vAlign w:val="bottom"/>
            <w:tcBorders>
              <w:left w:val="single" w:sz="8" w:color="auto"/>
            </w:tcBorders>
            <w:gridSpan w:val="6"/>
          </w:tcPr>
          <w:p>
            <w:pPr>
              <w:jc w:val="center"/>
              <w:ind w:left="138"/>
              <w:spacing w:after="0"/>
              <w:rPr>
                <w:sz w:val="20"/>
                <w:szCs w:val="20"/>
                <w:color w:val="auto"/>
              </w:rPr>
            </w:pPr>
            <w:r>
              <w:rPr>
                <w:rFonts w:ascii="Arial" w:cs="Arial" w:eastAsia="Arial" w:hAnsi="Arial"/>
                <w:sz w:val="16"/>
                <w:szCs w:val="16"/>
                <w:color w:val="auto"/>
                <w:w w:val="90"/>
              </w:rPr>
              <w:t>Common stock, par value $0.01 per share</w:t>
            </w:r>
          </w:p>
        </w:tc>
        <w:tc>
          <w:tcPr>
            <w:tcW w:w="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CRI</w:t>
            </w:r>
          </w:p>
        </w:tc>
        <w:tc>
          <w:tcPr>
            <w:tcW w:w="140" w:type="dxa"/>
            <w:vAlign w:val="bottom"/>
          </w:tcPr>
          <w:p>
            <w:pPr>
              <w:spacing w:after="0"/>
              <w:rPr>
                <w:sz w:val="18"/>
                <w:szCs w:val="18"/>
                <w:color w:val="auto"/>
              </w:rPr>
            </w:pPr>
          </w:p>
        </w:tc>
        <w:tc>
          <w:tcPr>
            <w:tcW w:w="412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1"/>
              </w:rPr>
              <w:t>New York Stock Exchange</w:t>
            </w:r>
          </w:p>
        </w:tc>
      </w:tr>
      <w:tr>
        <w:trPr>
          <w:trHeight w:val="33"/>
        </w:trPr>
        <w:tc>
          <w:tcPr>
            <w:tcW w:w="28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bl>
    <w:p>
      <w:pPr>
        <w:spacing w:after="0" w:line="269"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5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ectPr>
          <w:pgSz w:w="11900" w:h="16838" w:orient="portrait"/>
          <w:cols w:equalWidth="0" w:num="1">
            <w:col w:w="11260"/>
          </w:cols>
          <w:pgMar w:left="320" w:top="234" w:right="31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p>
    <w:p>
      <w:pPr>
        <w:spacing w:after="0" w:line="23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3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0"/>
          <w:szCs w:val="20"/>
          <w:color w:val="auto"/>
        </w:rPr>
      </w:pPr>
    </w:p>
    <w:p>
      <w:pPr>
        <w:ind w:right="2180"/>
        <w:spacing w:after="0" w:line="33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7"/>
          <w:szCs w:val="17"/>
          <w:color w:val="auto"/>
        </w:rPr>
        <w:t xml:space="preserve"> No x As of July 17, 2020, there were 43,635,081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 w:name="page3"/>
    <w:bookmarkEnd w:id="2"/>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CARTER’S,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ind w:left="5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640" w:type="dxa"/>
            <w:vAlign w:val="bottom"/>
            <w:gridSpan w:val="13"/>
            <w:vMerge w:val="restart"/>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40" w:type="dxa"/>
            <w:vAlign w:val="bottom"/>
            <w:gridSpan w:val="13"/>
            <w:vMerge w:val="continue"/>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6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w:t>
              </w:r>
            </w:hyperlink>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960" w:type="dxa"/>
            <w:vAlign w:val="bottom"/>
            <w:gridSpan w:val="11"/>
          </w:tcPr>
          <w:p>
            <w:pPr>
              <w:spacing w:after="0"/>
              <w:rPr>
                <w:sz w:val="20"/>
                <w:szCs w:val="20"/>
                <w:color w:val="auto"/>
              </w:rPr>
            </w:pPr>
            <w:r>
              <w:rPr>
                <w:rFonts w:ascii="Arial" w:cs="Arial" w:eastAsia="Arial" w:hAnsi="Arial"/>
                <w:sz w:val="16"/>
                <w:szCs w:val="16"/>
                <w:color w:val="0000FF"/>
                <w:w w:val="98"/>
              </w:rPr>
              <w:t>Unaudited Condensed Consolidated Balance Sheets as of June 27, 2020, December 28, 2019 and June 29, 2019</w:t>
            </w:r>
          </w:p>
        </w:tc>
        <w:tc>
          <w:tcPr>
            <w:tcW w:w="1560" w:type="dxa"/>
            <w:vAlign w:val="bottom"/>
          </w:tcPr>
          <w:p>
            <w:pPr>
              <w:jc w:val="center"/>
              <w:spacing w:after="0"/>
              <w:rPr>
                <w:rFonts w:ascii="Arial" w:cs="Arial" w:eastAsia="Arial" w:hAnsi="Arial"/>
                <w:sz w:val="16"/>
                <w:szCs w:val="16"/>
                <w:u w:val="single" w:color="auto"/>
                <w:color w:val="0000EE"/>
                <w:w w:val="89"/>
              </w:rPr>
            </w:pPr>
            <w:hyperlink w:anchor="page4">
              <w:r>
                <w:rPr>
                  <w:rFonts w:ascii="Arial" w:cs="Arial" w:eastAsia="Arial" w:hAnsi="Arial"/>
                  <w:sz w:val="16"/>
                  <w:szCs w:val="16"/>
                  <w:u w:val="single" w:color="auto"/>
                  <w:color w:val="0000EE"/>
                  <w:w w:val="89"/>
                </w:rPr>
                <w:t>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960" w:type="dxa"/>
            <w:vAlign w:val="bottom"/>
            <w:gridSpan w:val="11"/>
            <w:shd w:val="clear" w:color="auto" w:fill="CCEEFF"/>
          </w:tcPr>
          <w:p>
            <w:pPr>
              <w:spacing w:after="0"/>
              <w:rPr>
                <w:sz w:val="20"/>
                <w:szCs w:val="20"/>
                <w:color w:val="auto"/>
              </w:rPr>
            </w:pPr>
            <w:r>
              <w:rPr>
                <w:rFonts w:ascii="Arial" w:cs="Arial" w:eastAsia="Arial" w:hAnsi="Arial"/>
                <w:sz w:val="16"/>
                <w:szCs w:val="16"/>
                <w:color w:val="0000FF"/>
                <w:w w:val="91"/>
              </w:rPr>
              <w:t>Unaudited Condensed Consolidated Statements of Operations for the fiscal quarter and two fiscal quarters ended June 27,</w:t>
            </w: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880" w:type="dxa"/>
            <w:vAlign w:val="bottom"/>
            <w:tcBorders>
              <w:top w:val="single" w:sz="8" w:color="0000FF"/>
            </w:tcBorders>
            <w:gridSpan w:val="10"/>
            <w:shd w:val="clear" w:color="auto" w:fill="CCEEFF"/>
          </w:tcPr>
          <w:p>
            <w:pPr>
              <w:spacing w:after="0" w:line="183" w:lineRule="exact"/>
              <w:rPr>
                <w:sz w:val="20"/>
                <w:szCs w:val="20"/>
                <w:color w:val="auto"/>
              </w:rPr>
            </w:pPr>
            <w:r>
              <w:rPr>
                <w:rFonts w:ascii="Arial" w:cs="Arial" w:eastAsia="Arial" w:hAnsi="Arial"/>
                <w:sz w:val="16"/>
                <w:szCs w:val="16"/>
                <w:color w:val="0000FF"/>
              </w:rPr>
              <w:t>2020 and June 29, 2019</w:t>
            </w: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jc w:val="center"/>
              <w:spacing w:after="0" w:line="183" w:lineRule="exact"/>
              <w:rPr>
                <w:rFonts w:ascii="Arial" w:cs="Arial" w:eastAsia="Arial" w:hAnsi="Arial"/>
                <w:sz w:val="16"/>
                <w:szCs w:val="16"/>
                <w:u w:val="single" w:color="auto"/>
                <w:color w:val="0000EE"/>
                <w:w w:val="89"/>
              </w:rPr>
            </w:pPr>
            <w:hyperlink w:anchor="page5">
              <w:r>
                <w:rPr>
                  <w:rFonts w:ascii="Arial" w:cs="Arial" w:eastAsia="Arial" w:hAnsi="Arial"/>
                  <w:sz w:val="16"/>
                  <w:szCs w:val="16"/>
                  <w:u w:val="single" w:color="auto"/>
                  <w:color w:val="0000EE"/>
                  <w:w w:val="89"/>
                </w:rPr>
                <w:t>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960" w:type="dxa"/>
            <w:vAlign w:val="bottom"/>
            <w:gridSpan w:val="11"/>
          </w:tcPr>
          <w:p>
            <w:pPr>
              <w:spacing w:after="0"/>
              <w:rPr>
                <w:sz w:val="20"/>
                <w:szCs w:val="20"/>
                <w:color w:val="auto"/>
              </w:rPr>
            </w:pPr>
            <w:r>
              <w:rPr>
                <w:rFonts w:ascii="Arial" w:cs="Arial" w:eastAsia="Arial" w:hAnsi="Arial"/>
                <w:sz w:val="16"/>
                <w:szCs w:val="16"/>
                <w:color w:val="0000FF"/>
                <w:w w:val="95"/>
              </w:rPr>
              <w:t>Unaudited Condensed Consolidated Statements of Comprehensive Income (Loss) for the fiscal quarter and two fiscal</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0" w:type="dxa"/>
            <w:vAlign w:val="bottom"/>
            <w:tcBorders>
              <w:top w:val="single" w:sz="8" w:color="0000FF"/>
            </w:tcBorders>
            <w:gridSpan w:val="7"/>
          </w:tcPr>
          <w:p>
            <w:pPr>
              <w:spacing w:after="0" w:line="183" w:lineRule="exact"/>
              <w:rPr>
                <w:sz w:val="20"/>
                <w:szCs w:val="20"/>
                <w:color w:val="auto"/>
              </w:rPr>
            </w:pPr>
            <w:r>
              <w:rPr>
                <w:rFonts w:ascii="Arial" w:cs="Arial" w:eastAsia="Arial" w:hAnsi="Arial"/>
                <w:sz w:val="16"/>
                <w:szCs w:val="16"/>
                <w:color w:val="0000FF"/>
              </w:rPr>
              <w:t>quarters ended June 27, 2020 and June 29, 2019</w:t>
            </w:r>
          </w:p>
        </w:tc>
        <w:tc>
          <w:tcPr>
            <w:tcW w:w="360" w:type="dxa"/>
            <w:vAlign w:val="bottom"/>
            <w:gridSpan w:val="4"/>
          </w:tcPr>
          <w:p>
            <w:pPr>
              <w:spacing w:after="0"/>
              <w:rPr>
                <w:sz w:val="15"/>
                <w:szCs w:val="15"/>
                <w:color w:val="auto"/>
              </w:rPr>
            </w:pPr>
          </w:p>
        </w:tc>
        <w:tc>
          <w:tcPr>
            <w:tcW w:w="1560" w:type="dxa"/>
            <w:vAlign w:val="bottom"/>
          </w:tcPr>
          <w:p>
            <w:pPr>
              <w:jc w:val="center"/>
              <w:spacing w:after="0" w:line="183" w:lineRule="exact"/>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3</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960" w:type="dxa"/>
            <w:vAlign w:val="bottom"/>
            <w:gridSpan w:val="11"/>
            <w:shd w:val="clear" w:color="auto" w:fill="CCEEFF"/>
          </w:tcPr>
          <w:p>
            <w:pPr>
              <w:spacing w:after="0"/>
              <w:rPr>
                <w:sz w:val="20"/>
                <w:szCs w:val="20"/>
                <w:color w:val="auto"/>
              </w:rPr>
            </w:pPr>
            <w:r>
              <w:rPr>
                <w:rFonts w:ascii="Arial" w:cs="Arial" w:eastAsia="Arial" w:hAnsi="Arial"/>
                <w:sz w:val="16"/>
                <w:szCs w:val="16"/>
                <w:color w:val="0000FF"/>
                <w:w w:val="91"/>
              </w:rPr>
              <w:t>Unaudited Condensed Consolidated Statements of Changes in Stockholders' Equity for the fiscal quarters ended June 27,</w:t>
            </w: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840" w:type="dxa"/>
            <w:vAlign w:val="bottom"/>
            <w:tcBorders>
              <w:top w:val="single" w:sz="8" w:color="0000FF"/>
            </w:tcBorders>
            <w:gridSpan w:val="9"/>
            <w:shd w:val="clear" w:color="auto" w:fill="CCEEFF"/>
          </w:tcPr>
          <w:p>
            <w:pPr>
              <w:spacing w:after="0" w:line="183" w:lineRule="exact"/>
              <w:rPr>
                <w:sz w:val="20"/>
                <w:szCs w:val="20"/>
                <w:color w:val="auto"/>
              </w:rPr>
            </w:pPr>
            <w:r>
              <w:rPr>
                <w:rFonts w:ascii="Arial" w:cs="Arial" w:eastAsia="Arial" w:hAnsi="Arial"/>
                <w:sz w:val="16"/>
                <w:szCs w:val="16"/>
                <w:color w:val="0000FF"/>
              </w:rPr>
              <w:t>2020, March 28, 2020, June 29, 2019 and March 30, 2019</w:t>
            </w:r>
          </w:p>
        </w:tc>
        <w:tc>
          <w:tcPr>
            <w:tcW w:w="120" w:type="dxa"/>
            <w:vAlign w:val="bottom"/>
            <w:tcBorders>
              <w:top w:val="single" w:sz="8" w:color="CCEEFF"/>
            </w:tcBorders>
            <w:gridSpan w:val="2"/>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jc w:val="center"/>
              <w:spacing w:after="0" w:line="183" w:lineRule="exact"/>
              <w:rPr>
                <w:rFonts w:ascii="Arial" w:cs="Arial" w:eastAsia="Arial" w:hAnsi="Arial"/>
                <w:sz w:val="16"/>
                <w:szCs w:val="16"/>
                <w:u w:val="single" w:color="auto"/>
                <w:color w:val="0000EE"/>
                <w:w w:val="89"/>
              </w:rPr>
            </w:pPr>
            <w:hyperlink w:anchor="page7">
              <w:r>
                <w:rPr>
                  <w:rFonts w:ascii="Arial" w:cs="Arial" w:eastAsia="Arial" w:hAnsi="Arial"/>
                  <w:sz w:val="16"/>
                  <w:szCs w:val="16"/>
                  <w:u w:val="single" w:color="auto"/>
                  <w:color w:val="0000EE"/>
                  <w:w w:val="89"/>
                </w:rPr>
                <w:t>4</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960" w:type="dxa"/>
            <w:vAlign w:val="bottom"/>
            <w:gridSpan w:val="11"/>
          </w:tcPr>
          <w:p>
            <w:pPr>
              <w:spacing w:after="0"/>
              <w:rPr>
                <w:sz w:val="20"/>
                <w:szCs w:val="20"/>
                <w:color w:val="auto"/>
              </w:rPr>
            </w:pPr>
            <w:r>
              <w:rPr>
                <w:rFonts w:ascii="Arial" w:cs="Arial" w:eastAsia="Arial" w:hAnsi="Arial"/>
                <w:sz w:val="16"/>
                <w:szCs w:val="16"/>
                <w:color w:val="0000FF"/>
                <w:w w:val="92"/>
              </w:rPr>
              <w:t>Unaudited Condensed Consolidated Statements of Cash Flows for the two fiscal quarters ended June 27, 2020 and June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Borders>
              <w:top w:val="single" w:sz="8" w:color="0000FF"/>
              <w:bottom w:val="single" w:sz="8" w:color="0000FF"/>
            </w:tcBorders>
            <w:gridSpan w:val="2"/>
          </w:tcPr>
          <w:p>
            <w:pPr>
              <w:spacing w:after="0" w:line="183" w:lineRule="exact"/>
              <w:rPr>
                <w:sz w:val="20"/>
                <w:szCs w:val="20"/>
                <w:color w:val="auto"/>
              </w:rPr>
            </w:pPr>
            <w:r>
              <w:rPr>
                <w:rFonts w:ascii="Arial" w:cs="Arial" w:eastAsia="Arial" w:hAnsi="Arial"/>
                <w:sz w:val="16"/>
                <w:szCs w:val="16"/>
                <w:color w:val="0000FF"/>
                <w:w w:val="86"/>
              </w:rPr>
              <w:t>29, 2019</w:t>
            </w:r>
          </w:p>
        </w:tc>
        <w:tc>
          <w:tcPr>
            <w:tcW w:w="980" w:type="dxa"/>
            <w:vAlign w:val="bottom"/>
            <w:tcBorders>
              <w:top w:val="single" w:sz="8" w:color="0000FF"/>
            </w:tcBorders>
          </w:tcPr>
          <w:p>
            <w:pPr>
              <w:spacing w:after="0"/>
              <w:rPr>
                <w:sz w:val="15"/>
                <w:szCs w:val="15"/>
                <w:color w:val="auto"/>
              </w:rPr>
            </w:pPr>
          </w:p>
        </w:tc>
        <w:tc>
          <w:tcPr>
            <w:tcW w:w="15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34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spacing w:after="0" w:line="183" w:lineRule="exact"/>
              <w:rPr>
                <w:rFonts w:ascii="Arial" w:cs="Arial" w:eastAsia="Arial" w:hAnsi="Arial"/>
                <w:sz w:val="16"/>
                <w:szCs w:val="16"/>
                <w:u w:val="single" w:color="auto"/>
                <w:color w:val="0000EE"/>
                <w:w w:val="89"/>
              </w:rPr>
            </w:pPr>
            <w:hyperlink w:anchor="page8">
              <w:r>
                <w:rPr>
                  <w:rFonts w:ascii="Arial" w:cs="Arial" w:eastAsia="Arial" w:hAnsi="Arial"/>
                  <w:sz w:val="16"/>
                  <w:szCs w:val="16"/>
                  <w:u w:val="single" w:color="auto"/>
                  <w:color w:val="0000EE"/>
                  <w:w w:val="89"/>
                </w:rPr>
                <w:t>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Notes to the Unaudited Condensed Consolidated Financial Statements</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9">
              <w:r>
                <w:rPr>
                  <w:rFonts w:ascii="Arial" w:cs="Arial" w:eastAsia="Arial" w:hAnsi="Arial"/>
                  <w:sz w:val="16"/>
                  <w:szCs w:val="16"/>
                  <w:u w:val="single" w:color="auto"/>
                  <w:color w:val="0000EE"/>
                  <w:w w:val="89"/>
                </w:rPr>
                <w:t>6</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680" w:type="dxa"/>
            <w:vAlign w:val="bottom"/>
            <w:gridSpan w:val="2"/>
          </w:tcPr>
          <w:p>
            <w:pPr>
              <w:ind w:left="68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Item 2</w:t>
              </w:r>
            </w:hyperlink>
          </w:p>
        </w:tc>
        <w:tc>
          <w:tcPr>
            <w:tcW w:w="7960" w:type="dxa"/>
            <w:vAlign w:val="bottom"/>
            <w:gridSpan w:val="11"/>
          </w:tcPr>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Management's Discussion and Analysis of Financial Condition and Results of Operations</w:t>
              </w:r>
            </w:hyperlink>
          </w:p>
        </w:tc>
        <w:tc>
          <w:tcPr>
            <w:tcW w:w="1560" w:type="dxa"/>
            <w:vAlign w:val="bottom"/>
          </w:tcPr>
          <w:p>
            <w:pPr>
              <w:jc w:val="center"/>
              <w:spacing w:after="0"/>
              <w:rPr>
                <w:rFonts w:ascii="Arial" w:cs="Arial" w:eastAsia="Arial" w:hAnsi="Arial"/>
                <w:sz w:val="16"/>
                <w:szCs w:val="16"/>
                <w:u w:val="single" w:color="auto"/>
                <w:color w:val="0000EE"/>
                <w:w w:val="89"/>
              </w:rPr>
            </w:pPr>
            <w:hyperlink w:anchor="page24">
              <w:r>
                <w:rPr>
                  <w:rFonts w:ascii="Arial" w:cs="Arial" w:eastAsia="Arial" w:hAnsi="Arial"/>
                  <w:sz w:val="16"/>
                  <w:szCs w:val="16"/>
                  <w:u w:val="single" w:color="auto"/>
                  <w:color w:val="0000EE"/>
                  <w:w w:val="89"/>
                </w:rPr>
                <w:t>21</w:t>
              </w:r>
            </w:hyperlink>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68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Item 3</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Quantitative and Qualitative Disclosures about Market Risk</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38">
              <w:r>
                <w:rPr>
                  <w:rFonts w:ascii="Arial" w:cs="Arial" w:eastAsia="Arial" w:hAnsi="Arial"/>
                  <w:sz w:val="16"/>
                  <w:szCs w:val="16"/>
                  <w:u w:val="single" w:color="auto"/>
                  <w:color w:val="0000EE"/>
                  <w:w w:val="89"/>
                </w:rPr>
                <w:t>35</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680" w:type="dxa"/>
            <w:vAlign w:val="bottom"/>
            <w:gridSpan w:val="2"/>
          </w:tcPr>
          <w:p>
            <w:pPr>
              <w:ind w:left="68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Item 4</w:t>
              </w:r>
            </w:hyperlink>
          </w:p>
        </w:tc>
        <w:tc>
          <w:tcPr>
            <w:tcW w:w="7960" w:type="dxa"/>
            <w:vAlign w:val="bottom"/>
            <w:gridSpan w:val="11"/>
          </w:tcPr>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Controls and Procedures</w:t>
              </w:r>
            </w:hyperlink>
          </w:p>
        </w:tc>
        <w:tc>
          <w:tcPr>
            <w:tcW w:w="1560" w:type="dxa"/>
            <w:vAlign w:val="bottom"/>
          </w:tcPr>
          <w:p>
            <w:pPr>
              <w:jc w:val="center"/>
              <w:spacing w:after="0"/>
              <w:rPr>
                <w:rFonts w:ascii="Arial" w:cs="Arial" w:eastAsia="Arial" w:hAnsi="Arial"/>
                <w:sz w:val="16"/>
                <w:szCs w:val="16"/>
                <w:u w:val="single" w:color="auto"/>
                <w:color w:val="0000EE"/>
                <w:w w:val="89"/>
              </w:rPr>
            </w:pPr>
            <w:hyperlink w:anchor="page38">
              <w:r>
                <w:rPr>
                  <w:rFonts w:ascii="Arial" w:cs="Arial" w:eastAsia="Arial" w:hAnsi="Arial"/>
                  <w:sz w:val="16"/>
                  <w:szCs w:val="16"/>
                  <w:u w:val="single" w:color="auto"/>
                  <w:color w:val="0000EE"/>
                  <w:w w:val="89"/>
                </w:rPr>
                <w:t>35</w:t>
              </w:r>
            </w:hyperlink>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40" w:type="dxa"/>
            <w:vAlign w:val="bottom"/>
            <w:gridSpan w:val="13"/>
          </w:tcPr>
          <w:p>
            <w:pPr>
              <w:spacing w:after="0" w:line="202" w:lineRule="exact"/>
              <w:rPr>
                <w:sz w:val="20"/>
                <w:szCs w:val="20"/>
                <w:color w:val="auto"/>
              </w:rPr>
            </w:pPr>
            <w:r>
              <w:rPr>
                <w:rFonts w:ascii="Arial" w:cs="Arial" w:eastAsia="Arial" w:hAnsi="Arial"/>
                <w:sz w:val="18"/>
                <w:szCs w:val="18"/>
                <w:b w:val="1"/>
                <w:bCs w:val="1"/>
                <w:color w:val="0000EE"/>
              </w:rPr>
              <w:t>Part II. Other Information</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68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1</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Legal Proceedings</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37</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680" w:type="dxa"/>
            <w:vAlign w:val="bottom"/>
            <w:gridSpan w:val="2"/>
          </w:tcPr>
          <w:p>
            <w:pPr>
              <w:ind w:left="68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1A</w:t>
              </w:r>
            </w:hyperlink>
          </w:p>
        </w:tc>
        <w:tc>
          <w:tcPr>
            <w:tcW w:w="7960" w:type="dxa"/>
            <w:vAlign w:val="bottom"/>
            <w:gridSpan w:val="11"/>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Risk Factors</w:t>
              </w:r>
            </w:hyperlink>
          </w:p>
        </w:tc>
        <w:tc>
          <w:tcPr>
            <w:tcW w:w="1560" w:type="dxa"/>
            <w:vAlign w:val="bottom"/>
          </w:tcPr>
          <w:p>
            <w:pPr>
              <w:jc w:val="center"/>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37</w:t>
              </w:r>
            </w:hyperlink>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68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2</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Unregistered Sales of Equity Securities and Use of Proceeds</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37</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680" w:type="dxa"/>
            <w:vAlign w:val="bottom"/>
            <w:gridSpan w:val="2"/>
          </w:tcPr>
          <w:p>
            <w:pPr>
              <w:ind w:left="68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3</w:t>
              </w:r>
            </w:hyperlink>
          </w:p>
        </w:tc>
        <w:tc>
          <w:tcPr>
            <w:tcW w:w="7960" w:type="dxa"/>
            <w:vAlign w:val="bottom"/>
            <w:gridSpan w:val="11"/>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Defaults upon Senior Securities</w:t>
              </w:r>
            </w:hyperlink>
          </w:p>
        </w:tc>
        <w:tc>
          <w:tcPr>
            <w:tcW w:w="1560" w:type="dxa"/>
            <w:vAlign w:val="bottom"/>
          </w:tcPr>
          <w:p>
            <w:pPr>
              <w:jc w:val="center"/>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37</w:t>
              </w:r>
            </w:hyperlink>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68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4</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Mine Safety Disclosures</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37</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680" w:type="dxa"/>
            <w:vAlign w:val="bottom"/>
            <w:gridSpan w:val="2"/>
          </w:tcPr>
          <w:p>
            <w:pPr>
              <w:ind w:left="68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5</w:t>
              </w:r>
            </w:hyperlink>
          </w:p>
        </w:tc>
        <w:tc>
          <w:tcPr>
            <w:tcW w:w="7960" w:type="dxa"/>
            <w:vAlign w:val="bottom"/>
            <w:gridSpan w:val="11"/>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Other Information</w:t>
              </w:r>
            </w:hyperlink>
          </w:p>
        </w:tc>
        <w:tc>
          <w:tcPr>
            <w:tcW w:w="1560" w:type="dxa"/>
            <w:vAlign w:val="bottom"/>
          </w:tcPr>
          <w:p>
            <w:pPr>
              <w:jc w:val="center"/>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37</w:t>
              </w:r>
            </w:hyperlink>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68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Item 6</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Exhibits</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41">
              <w:r>
                <w:rPr>
                  <w:rFonts w:ascii="Arial" w:cs="Arial" w:eastAsia="Arial" w:hAnsi="Arial"/>
                  <w:sz w:val="16"/>
                  <w:szCs w:val="16"/>
                  <w:u w:val="single" w:color="auto"/>
                  <w:color w:val="0000EE"/>
                  <w:w w:val="89"/>
                </w:rPr>
                <w:t>38</w:t>
              </w:r>
            </w:hyperlink>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Signatures</w:t>
              </w:r>
            </w:hyperlink>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42">
              <w:r>
                <w:rPr>
                  <w:rFonts w:ascii="Arial" w:cs="Arial" w:eastAsia="Arial" w:hAnsi="Arial"/>
                  <w:sz w:val="16"/>
                  <w:szCs w:val="16"/>
                  <w:u w:val="single" w:color="auto"/>
                  <w:color w:val="0000EE"/>
                  <w:w w:val="89"/>
                </w:rPr>
                <w:t>39</w:t>
              </w:r>
            </w:hyperlink>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0000EE"/>
              </w:rPr>
              <w:t>Certifications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27, 2020</w:t>
            </w:r>
          </w:p>
        </w:tc>
        <w:tc>
          <w:tcPr>
            <w:tcW w:w="200" w:type="dxa"/>
            <w:vAlign w:val="bottom"/>
          </w:tcPr>
          <w:p>
            <w:pPr>
              <w:spacing w:after="0"/>
              <w:rPr>
                <w:sz w:val="17"/>
                <w:szCs w:val="17"/>
                <w:color w:val="auto"/>
              </w:rPr>
            </w:pPr>
          </w:p>
        </w:tc>
        <w:tc>
          <w:tcPr>
            <w:tcW w:w="178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28, 2019</w:t>
            </w:r>
          </w:p>
        </w:tc>
        <w:tc>
          <w:tcPr>
            <w:tcW w:w="320" w:type="dxa"/>
            <w:vAlign w:val="bottom"/>
          </w:tcPr>
          <w:p>
            <w:pPr>
              <w:spacing w:after="0"/>
              <w:rPr>
                <w:sz w:val="17"/>
                <w:szCs w:val="17"/>
                <w:color w:val="auto"/>
              </w:rPr>
            </w:pPr>
          </w:p>
        </w:tc>
        <w:tc>
          <w:tcPr>
            <w:tcW w:w="1580" w:type="dxa"/>
            <w:vAlign w:val="bottom"/>
          </w:tcPr>
          <w:p>
            <w:pPr>
              <w:jc w:val="right"/>
              <w:ind w:right="424"/>
              <w:spacing w:after="0"/>
              <w:rPr>
                <w:sz w:val="20"/>
                <w:szCs w:val="20"/>
                <w:color w:val="auto"/>
              </w:rPr>
            </w:pPr>
            <w:r>
              <w:rPr>
                <w:rFonts w:ascii="Arial" w:cs="Arial" w:eastAsia="Arial" w:hAnsi="Arial"/>
                <w:sz w:val="15"/>
                <w:szCs w:val="15"/>
                <w:b w:val="1"/>
                <w:bCs w:val="1"/>
                <w:color w:val="auto"/>
              </w:rPr>
              <w:t>June 29, 2019</w:t>
            </w:r>
          </w:p>
        </w:tc>
      </w:tr>
      <w:tr>
        <w:trPr>
          <w:trHeight w:val="268"/>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32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Current assets:</w:t>
            </w:r>
          </w:p>
        </w:tc>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4"/>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1,000,581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214,311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118,458</w:t>
            </w:r>
          </w:p>
        </w:tc>
      </w:tr>
      <w:tr>
        <w:trPr>
          <w:trHeight w:val="176"/>
        </w:trPr>
        <w:tc>
          <w:tcPr>
            <w:tcW w:w="5300" w:type="dxa"/>
            <w:vAlign w:val="bottom"/>
          </w:tcPr>
          <w:p>
            <w:pPr>
              <w:ind w:left="180"/>
              <w:spacing w:after="0"/>
              <w:rPr>
                <w:sz w:val="20"/>
                <w:szCs w:val="20"/>
                <w:color w:val="auto"/>
              </w:rPr>
            </w:pPr>
            <w:r>
              <w:rPr>
                <w:rFonts w:ascii="Arial" w:cs="Arial" w:eastAsia="Arial" w:hAnsi="Arial"/>
                <w:sz w:val="15"/>
                <w:szCs w:val="15"/>
                <w:color w:val="auto"/>
                <w:w w:val="94"/>
              </w:rPr>
              <w:t>Accounts receivable, net of allowance for credit losses of $9,242, $6,354, $3,786,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8"/>
        </w:trPr>
        <w:tc>
          <w:tcPr>
            <w:tcW w:w="5300" w:type="dxa"/>
            <w:vAlign w:val="bottom"/>
          </w:tcPr>
          <w:p>
            <w:pPr>
              <w:ind w:left="180"/>
              <w:spacing w:after="0"/>
              <w:rPr>
                <w:sz w:val="20"/>
                <w:szCs w:val="20"/>
                <w:color w:val="auto"/>
              </w:rPr>
            </w:pPr>
            <w:r>
              <w:rPr>
                <w:rFonts w:ascii="Arial" w:cs="Arial" w:eastAsia="Arial" w:hAnsi="Arial"/>
                <w:sz w:val="15"/>
                <w:szCs w:val="15"/>
                <w:color w:val="auto"/>
              </w:rPr>
              <w:t>respectively</w:t>
            </w:r>
          </w:p>
        </w:tc>
        <w:tc>
          <w:tcPr>
            <w:tcW w:w="320" w:type="dxa"/>
            <w:vAlign w:val="bottom"/>
          </w:tcPr>
          <w:p>
            <w:pPr>
              <w:spacing w:after="0"/>
              <w:rPr>
                <w:sz w:val="17"/>
                <w:szCs w:val="17"/>
                <w:color w:val="auto"/>
              </w:rPr>
            </w:pPr>
          </w:p>
        </w:tc>
        <w:tc>
          <w:tcPr>
            <w:tcW w:w="1620" w:type="dxa"/>
            <w:vAlign w:val="bottom"/>
          </w:tcPr>
          <w:p>
            <w:pPr>
              <w:jc w:val="right"/>
              <w:ind w:right="64"/>
              <w:spacing w:after="0"/>
              <w:rPr>
                <w:sz w:val="20"/>
                <w:szCs w:val="20"/>
                <w:color w:val="auto"/>
              </w:rPr>
            </w:pPr>
            <w:r>
              <w:rPr>
                <w:rFonts w:ascii="Arial" w:cs="Arial" w:eastAsia="Arial" w:hAnsi="Arial"/>
                <w:sz w:val="15"/>
                <w:szCs w:val="15"/>
                <w:color w:val="auto"/>
              </w:rPr>
              <w:t>165,578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251,005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168,176</w:t>
            </w:r>
          </w:p>
        </w:tc>
      </w:tr>
      <w:tr>
        <w:trPr>
          <w:trHeight w:val="180"/>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9"/>
              </w:rPr>
              <w:t>Finished goods inventories, net of inventory reserves of $32,092, $9,283, and</w:t>
            </w:r>
          </w:p>
        </w:tc>
        <w:tc>
          <w:tcPr>
            <w:tcW w:w="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02"/>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$14,119, respectively</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672,205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593,987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697,559</w:t>
            </w:r>
          </w:p>
        </w:tc>
      </w:tr>
      <w:tr>
        <w:trPr>
          <w:trHeight w:val="266"/>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51,180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48,454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56,813</w:t>
            </w:r>
          </w:p>
        </w:tc>
      </w:tr>
      <w:tr>
        <w:trPr>
          <w:trHeight w:val="254"/>
        </w:trPr>
        <w:tc>
          <w:tcPr>
            <w:tcW w:w="5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current assets</w:t>
            </w:r>
          </w:p>
        </w:tc>
        <w:tc>
          <w:tcPr>
            <w:tcW w:w="3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1,889,544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1,107,757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1,041,006</w:t>
            </w:r>
          </w:p>
        </w:tc>
      </w:tr>
      <w:tr>
        <w:trPr>
          <w:trHeight w:val="176"/>
        </w:trPr>
        <w:tc>
          <w:tcPr>
            <w:tcW w:w="5300" w:type="dxa"/>
            <w:vAlign w:val="bottom"/>
          </w:tcPr>
          <w:p>
            <w:pPr>
              <w:ind w:left="40"/>
              <w:spacing w:after="0"/>
              <w:rPr>
                <w:sz w:val="20"/>
                <w:szCs w:val="20"/>
                <w:color w:val="auto"/>
              </w:rPr>
            </w:pPr>
            <w:r>
              <w:rPr>
                <w:rFonts w:ascii="Arial" w:cs="Arial" w:eastAsia="Arial" w:hAnsi="Arial"/>
                <w:sz w:val="15"/>
                <w:szCs w:val="15"/>
                <w:color w:val="auto"/>
              </w:rPr>
              <w:t>Property, plant, and equipment, net of accumulated depreciation of $559,142,</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8"/>
        </w:trPr>
        <w:tc>
          <w:tcPr>
            <w:tcW w:w="5300" w:type="dxa"/>
            <w:vAlign w:val="bottom"/>
          </w:tcPr>
          <w:p>
            <w:pPr>
              <w:ind w:left="40"/>
              <w:spacing w:after="0"/>
              <w:rPr>
                <w:sz w:val="20"/>
                <w:szCs w:val="20"/>
                <w:color w:val="auto"/>
              </w:rPr>
            </w:pPr>
            <w:r>
              <w:rPr>
                <w:rFonts w:ascii="Arial" w:cs="Arial" w:eastAsia="Arial" w:hAnsi="Arial"/>
                <w:sz w:val="15"/>
                <w:szCs w:val="15"/>
                <w:color w:val="auto"/>
              </w:rPr>
              <w:t>$523,848, and $486,319, respectively</w:t>
            </w:r>
          </w:p>
        </w:tc>
        <w:tc>
          <w:tcPr>
            <w:tcW w:w="320" w:type="dxa"/>
            <w:vAlign w:val="bottom"/>
          </w:tcPr>
          <w:p>
            <w:pPr>
              <w:spacing w:after="0"/>
              <w:rPr>
                <w:sz w:val="17"/>
                <w:szCs w:val="17"/>
                <w:color w:val="auto"/>
              </w:rPr>
            </w:pPr>
          </w:p>
        </w:tc>
        <w:tc>
          <w:tcPr>
            <w:tcW w:w="1620" w:type="dxa"/>
            <w:vAlign w:val="bottom"/>
          </w:tcPr>
          <w:p>
            <w:pPr>
              <w:jc w:val="right"/>
              <w:ind w:right="64"/>
              <w:spacing w:after="0"/>
              <w:rPr>
                <w:sz w:val="20"/>
                <w:szCs w:val="20"/>
                <w:color w:val="auto"/>
              </w:rPr>
            </w:pPr>
            <w:r>
              <w:rPr>
                <w:rFonts w:ascii="Arial" w:cs="Arial" w:eastAsia="Arial" w:hAnsi="Arial"/>
                <w:sz w:val="15"/>
                <w:szCs w:val="15"/>
                <w:color w:val="auto"/>
              </w:rPr>
              <w:t>287,941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320,168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333,600</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lease assets</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648,505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687,024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705,631</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Tradenames, net</w:t>
            </w:r>
          </w:p>
        </w:tc>
        <w:tc>
          <w:tcPr>
            <w:tcW w:w="320" w:type="dxa"/>
            <w:vAlign w:val="bottom"/>
          </w:tcPr>
          <w:p>
            <w:pPr>
              <w:spacing w:after="0"/>
              <w:rPr>
                <w:sz w:val="23"/>
                <w:szCs w:val="23"/>
                <w:color w:val="auto"/>
              </w:rPr>
            </w:pPr>
          </w:p>
        </w:tc>
        <w:tc>
          <w:tcPr>
            <w:tcW w:w="1620" w:type="dxa"/>
            <w:vAlign w:val="bottom"/>
          </w:tcPr>
          <w:p>
            <w:pPr>
              <w:jc w:val="right"/>
              <w:ind w:right="64"/>
              <w:spacing w:after="0"/>
              <w:rPr>
                <w:sz w:val="20"/>
                <w:szCs w:val="20"/>
                <w:color w:val="auto"/>
              </w:rPr>
            </w:pPr>
            <w:r>
              <w:rPr>
                <w:rFonts w:ascii="Arial" w:cs="Arial" w:eastAsia="Arial" w:hAnsi="Arial"/>
                <w:sz w:val="15"/>
                <w:szCs w:val="15"/>
                <w:color w:val="auto"/>
              </w:rPr>
              <w:t>308,017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334,642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365,567</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208,573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229,026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228,860</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Customer relationships, net</w:t>
            </w:r>
          </w:p>
        </w:tc>
        <w:tc>
          <w:tcPr>
            <w:tcW w:w="320" w:type="dxa"/>
            <w:vAlign w:val="bottom"/>
          </w:tcPr>
          <w:p>
            <w:pPr>
              <w:spacing w:after="0"/>
              <w:rPr>
                <w:sz w:val="23"/>
                <w:szCs w:val="23"/>
                <w:color w:val="auto"/>
              </w:rPr>
            </w:pPr>
          </w:p>
        </w:tc>
        <w:tc>
          <w:tcPr>
            <w:tcW w:w="1620" w:type="dxa"/>
            <w:vAlign w:val="bottom"/>
          </w:tcPr>
          <w:p>
            <w:pPr>
              <w:jc w:val="right"/>
              <w:ind w:right="64"/>
              <w:spacing w:after="0"/>
              <w:rPr>
                <w:sz w:val="20"/>
                <w:szCs w:val="20"/>
                <w:color w:val="auto"/>
              </w:rPr>
            </w:pPr>
            <w:r>
              <w:rPr>
                <w:rFonts w:ascii="Arial" w:cs="Arial" w:eastAsia="Arial" w:hAnsi="Arial"/>
                <w:sz w:val="15"/>
                <w:szCs w:val="15"/>
                <w:color w:val="auto"/>
              </w:rPr>
              <w:t>38,950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41,126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42,825</w:t>
            </w: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assets</w:t>
            </w:r>
          </w:p>
        </w:tc>
        <w:tc>
          <w:tcPr>
            <w:tcW w:w="32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31,104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33,374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29,671</w:t>
            </w:r>
          </w:p>
        </w:tc>
      </w:tr>
      <w:tr>
        <w:trPr>
          <w:trHeight w:val="280"/>
        </w:trPr>
        <w:tc>
          <w:tcPr>
            <w:tcW w:w="5300" w:type="dxa"/>
            <w:vAlign w:val="bottom"/>
            <w:tcBorders>
              <w:bottom w:val="single" w:sz="8" w:color="CCEEFF"/>
            </w:tcBorders>
          </w:tcPr>
          <w:p>
            <w:pPr>
              <w:ind w:left="600"/>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3,412,634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2,753,117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2,747,160</w:t>
            </w:r>
          </w:p>
        </w:tc>
      </w:tr>
      <w:tr>
        <w:trPr>
          <w:trHeight w:val="197"/>
        </w:trPr>
        <w:tc>
          <w:tcPr>
            <w:tcW w:w="5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b w:val="1"/>
                <w:bCs w:val="1"/>
                <w:color w:val="auto"/>
              </w:rPr>
              <w:t>LIABILITIES AND STOCKHOLDERS' EQUITY</w:t>
            </w:r>
          </w:p>
        </w:tc>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Current liabilities:</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6"/>
        </w:trPr>
        <w:tc>
          <w:tcPr>
            <w:tcW w:w="530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64"/>
              <w:spacing w:after="0"/>
              <w:rPr>
                <w:sz w:val="20"/>
                <w:szCs w:val="20"/>
                <w:color w:val="auto"/>
              </w:rPr>
            </w:pPr>
            <w:r>
              <w:rPr>
                <w:rFonts w:ascii="Arial" w:cs="Arial" w:eastAsia="Arial" w:hAnsi="Arial"/>
                <w:sz w:val="15"/>
                <w:szCs w:val="15"/>
                <w:color w:val="auto"/>
              </w:rPr>
              <w:t>458,075</w:t>
            </w:r>
          </w:p>
        </w:tc>
        <w:tc>
          <w:tcPr>
            <w:tcW w:w="12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183,641</w:t>
            </w:r>
          </w:p>
        </w:tc>
        <w:tc>
          <w:tcPr>
            <w:tcW w:w="100" w:type="dxa"/>
            <w:vAlign w:val="bottom"/>
          </w:tcPr>
          <w:p>
            <w:pPr>
              <w:spacing w:after="0"/>
              <w:rPr>
                <w:sz w:val="23"/>
                <w:szCs w:val="23"/>
                <w:color w:val="auto"/>
              </w:rPr>
            </w:pP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232,869</w:t>
            </w:r>
          </w:p>
        </w:tc>
      </w:tr>
      <w:tr>
        <w:trPr>
          <w:trHeight w:val="274"/>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Current operating lease liabilities</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163,665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160,228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154,719</w:t>
            </w:r>
          </w:p>
        </w:tc>
      </w:tr>
      <w:tr>
        <w:trPr>
          <w:trHeight w:val="266"/>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current liabilities</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80,634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131,631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85,483</w:t>
            </w:r>
          </w:p>
        </w:tc>
      </w:tr>
      <w:tr>
        <w:trPr>
          <w:trHeight w:val="254"/>
        </w:trPr>
        <w:tc>
          <w:tcPr>
            <w:tcW w:w="5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current liabilities</w:t>
            </w:r>
          </w:p>
        </w:tc>
        <w:tc>
          <w:tcPr>
            <w:tcW w:w="3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702,374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475,500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473,071</w:t>
            </w:r>
          </w:p>
        </w:tc>
      </w:tr>
      <w:tr>
        <w:trPr>
          <w:trHeight w:val="216"/>
        </w:trPr>
        <w:tc>
          <w:tcPr>
            <w:tcW w:w="5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Long-term debt, net</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1,232,649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594,672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604,377</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Deferred income taxes</w:t>
            </w:r>
          </w:p>
        </w:tc>
        <w:tc>
          <w:tcPr>
            <w:tcW w:w="320" w:type="dxa"/>
            <w:vAlign w:val="bottom"/>
          </w:tcPr>
          <w:p>
            <w:pPr>
              <w:spacing w:after="0"/>
              <w:rPr>
                <w:sz w:val="23"/>
                <w:szCs w:val="23"/>
                <w:color w:val="auto"/>
              </w:rPr>
            </w:pPr>
          </w:p>
        </w:tc>
        <w:tc>
          <w:tcPr>
            <w:tcW w:w="1620" w:type="dxa"/>
            <w:vAlign w:val="bottom"/>
          </w:tcPr>
          <w:p>
            <w:pPr>
              <w:jc w:val="right"/>
              <w:ind w:right="64"/>
              <w:spacing w:after="0"/>
              <w:rPr>
                <w:sz w:val="20"/>
                <w:szCs w:val="20"/>
                <w:color w:val="auto"/>
              </w:rPr>
            </w:pPr>
            <w:r>
              <w:rPr>
                <w:rFonts w:ascii="Arial" w:cs="Arial" w:eastAsia="Arial" w:hAnsi="Arial"/>
                <w:sz w:val="15"/>
                <w:szCs w:val="15"/>
                <w:color w:val="auto"/>
              </w:rPr>
              <w:t>63,850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74,370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91,190</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Long-term operating lease liabilities</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620,063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664,372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688,650</w:t>
            </w:r>
          </w:p>
        </w:tc>
      </w:tr>
      <w:tr>
        <w:trPr>
          <w:trHeight w:val="266"/>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long-term liabilities</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60,420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64,073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61,975</w:t>
            </w:r>
          </w:p>
        </w:tc>
      </w:tr>
      <w:tr>
        <w:trPr>
          <w:trHeight w:val="254"/>
        </w:trPr>
        <w:tc>
          <w:tcPr>
            <w:tcW w:w="53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liabilities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2,679,356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1,872,987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1,919,263</w:t>
            </w:r>
          </w:p>
        </w:tc>
      </w:tr>
      <w:tr>
        <w:trPr>
          <w:trHeight w:val="216"/>
        </w:trPr>
        <w:tc>
          <w:tcPr>
            <w:tcW w:w="5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Commitments and contingencies - Note 14</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16"/>
        </w:trPr>
        <w:tc>
          <w:tcPr>
            <w:tcW w:w="5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Stockholders' equity:</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176"/>
        </w:trPr>
        <w:tc>
          <w:tcPr>
            <w:tcW w:w="5300" w:type="dxa"/>
            <w:vAlign w:val="bottom"/>
          </w:tcPr>
          <w:p>
            <w:pPr>
              <w:ind w:left="40"/>
              <w:spacing w:after="0"/>
              <w:rPr>
                <w:sz w:val="20"/>
                <w:szCs w:val="20"/>
                <w:color w:val="auto"/>
              </w:rPr>
            </w:pPr>
            <w:r>
              <w:rPr>
                <w:rFonts w:ascii="Arial" w:cs="Arial" w:eastAsia="Arial" w:hAnsi="Arial"/>
                <w:sz w:val="15"/>
                <w:szCs w:val="15"/>
                <w:color w:val="auto"/>
                <w:w w:val="92"/>
              </w:rPr>
              <w:t>Preferred stock; par value $.01 per share; 100,000 shares authorized; none issued or</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8"/>
        </w:trPr>
        <w:tc>
          <w:tcPr>
            <w:tcW w:w="5300" w:type="dxa"/>
            <w:vAlign w:val="bottom"/>
          </w:tcPr>
          <w:p>
            <w:pPr>
              <w:ind w:left="40"/>
              <w:spacing w:after="0"/>
              <w:rPr>
                <w:sz w:val="20"/>
                <w:szCs w:val="20"/>
                <w:color w:val="auto"/>
              </w:rPr>
            </w:pPr>
            <w:r>
              <w:rPr>
                <w:rFonts w:ascii="Arial" w:cs="Arial" w:eastAsia="Arial" w:hAnsi="Arial"/>
                <w:sz w:val="15"/>
                <w:szCs w:val="15"/>
                <w:color w:val="auto"/>
              </w:rPr>
              <w:t>outstanding at June 27, 2020, December 28, 2019, and June 29, 2019</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8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w w:val="97"/>
              </w:rPr>
              <w:t>Common stock, voting; par value $.01 per share; 150,000,000 shares authorized;</w:t>
            </w:r>
          </w:p>
        </w:tc>
        <w:tc>
          <w:tcPr>
            <w:tcW w:w="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62"/>
        </w:trPr>
        <w:tc>
          <w:tcPr>
            <w:tcW w:w="5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w w:val="94"/>
              </w:rPr>
              <w:t>43,636,176, 43,963,103 and 44,868,563 shares issued and outstanding at June 27,</w:t>
            </w:r>
          </w:p>
        </w:tc>
        <w:tc>
          <w:tcPr>
            <w:tcW w:w="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2"/>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2020, December 28, 2019, and June 29, 2019, respectively</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449</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Additional paid-in capital</w:t>
            </w:r>
          </w:p>
        </w:tc>
        <w:tc>
          <w:tcPr>
            <w:tcW w:w="320" w:type="dxa"/>
            <w:vAlign w:val="bottom"/>
          </w:tcPr>
          <w:p>
            <w:pPr>
              <w:spacing w:after="0"/>
              <w:rPr>
                <w:sz w:val="23"/>
                <w:szCs w:val="23"/>
                <w:color w:val="auto"/>
              </w:rPr>
            </w:pPr>
          </w:p>
        </w:tc>
        <w:tc>
          <w:tcPr>
            <w:tcW w:w="1620" w:type="dxa"/>
            <w:vAlign w:val="bottom"/>
          </w:tcPr>
          <w:p>
            <w:pPr>
              <w:jc w:val="right"/>
              <w:ind w:right="64"/>
              <w:spacing w:after="0"/>
              <w:rPr>
                <w:sz w:val="20"/>
                <w:szCs w:val="20"/>
                <w:color w:val="auto"/>
              </w:rPr>
            </w:pPr>
            <w:r>
              <w:rPr>
                <w:rFonts w:ascii="Arial" w:cs="Arial" w:eastAsia="Arial" w:hAnsi="Arial"/>
                <w:sz w:val="15"/>
                <w:szCs w:val="15"/>
                <w:color w:val="auto"/>
              </w:rPr>
              <w:t>5,539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Accumulated other comprehensive loss</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(45,045)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(36,561)</w:t>
            </w:r>
          </w:p>
        </w:tc>
      </w:tr>
      <w:tr>
        <w:trPr>
          <w:trHeight w:val="266"/>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Retained earnings</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772,348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915,324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864,009</w:t>
            </w:r>
          </w:p>
        </w:tc>
      </w:tr>
      <w:tr>
        <w:trPr>
          <w:trHeight w:val="250"/>
        </w:trPr>
        <w:tc>
          <w:tcPr>
            <w:tcW w:w="53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stockholders' equity</w:t>
            </w:r>
          </w:p>
        </w:tc>
        <w:tc>
          <w:tcPr>
            <w:tcW w:w="3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733,278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880,130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827,897</w:t>
            </w:r>
          </w:p>
        </w:tc>
      </w:tr>
      <w:tr>
        <w:trPr>
          <w:trHeight w:val="240"/>
        </w:trPr>
        <w:tc>
          <w:tcPr>
            <w:tcW w:w="5300" w:type="dxa"/>
            <w:vAlign w:val="bottom"/>
          </w:tcPr>
          <w:p>
            <w:pPr>
              <w:ind w:left="720"/>
              <w:spacing w:after="0"/>
              <w:rPr>
                <w:sz w:val="20"/>
                <w:szCs w:val="20"/>
                <w:color w:val="auto"/>
              </w:rPr>
            </w:pPr>
            <w:r>
              <w:rPr>
                <w:rFonts w:ascii="Arial" w:cs="Arial" w:eastAsia="Arial" w:hAnsi="Arial"/>
                <w:sz w:val="15"/>
                <w:szCs w:val="15"/>
                <w:color w:val="auto"/>
              </w:rPr>
              <w:t>Total liabilities and stockholders' equity</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3,412,634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2,753,117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2,747,160</w:t>
            </w: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337"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5"/>
          </w:tcPr>
          <w:p>
            <w:pPr>
              <w:ind w:left="740"/>
              <w:spacing w:after="0"/>
              <w:rPr>
                <w:sz w:val="20"/>
                <w:szCs w:val="20"/>
                <w:color w:val="auto"/>
              </w:rPr>
            </w:pPr>
            <w:r>
              <w:rPr>
                <w:rFonts w:ascii="Arial" w:cs="Arial" w:eastAsia="Arial" w:hAnsi="Arial"/>
                <w:sz w:val="16"/>
                <w:szCs w:val="16"/>
                <w:b w:val="1"/>
                <w:bCs w:val="1"/>
                <w:color w:val="auto"/>
              </w:rPr>
              <w:t>Fiscal quarter ended</w:t>
            </w:r>
          </w:p>
        </w:tc>
        <w:tc>
          <w:tcPr>
            <w:tcW w:w="220" w:type="dxa"/>
            <w:vAlign w:val="bottom"/>
          </w:tcPr>
          <w:p>
            <w:pPr>
              <w:spacing w:after="0"/>
              <w:rPr>
                <w:sz w:val="18"/>
                <w:szCs w:val="18"/>
                <w:color w:val="auto"/>
              </w:rPr>
            </w:pPr>
          </w:p>
        </w:tc>
        <w:tc>
          <w:tcPr>
            <w:tcW w:w="30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4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27, 2020</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29, 2019</w:t>
            </w:r>
          </w:p>
        </w:tc>
        <w:tc>
          <w:tcPr>
            <w:tcW w:w="22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27, 2020</w:t>
            </w:r>
          </w:p>
        </w:tc>
        <w:tc>
          <w:tcPr>
            <w:tcW w:w="220" w:type="dxa"/>
            <w:vAlign w:val="bottom"/>
          </w:tcPr>
          <w:p>
            <w:pPr>
              <w:spacing w:after="0"/>
              <w:rPr>
                <w:sz w:val="20"/>
                <w:szCs w:val="20"/>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June 29, 2019</w:t>
            </w:r>
          </w:p>
        </w:tc>
      </w:tr>
      <w:tr>
        <w:trPr>
          <w:trHeight w:val="33"/>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514,885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734,384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1,169,357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1,475,442</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284,073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410,390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687,445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835,528</w:t>
            </w:r>
          </w:p>
        </w:tc>
      </w:tr>
      <w:tr>
        <w:trPr>
          <w:trHeight w:val="33"/>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Adverse purchase commitments (inventory and 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w:t>
            </w: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235,515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322,996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463,778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638,863</w:t>
            </w:r>
          </w:p>
        </w:tc>
      </w:tr>
      <w:tr>
        <w:trPr>
          <w:trHeight w:val="33"/>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Royalty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18,179</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218,149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268,155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487,986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531,807</w:t>
            </w:r>
          </w:p>
        </w:tc>
      </w:tr>
      <w:tr>
        <w:trPr>
          <w:trHeight w:val="33"/>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Intangible asset impairment</w:t>
            </w:r>
          </w:p>
        </w:tc>
        <w:tc>
          <w:tcPr>
            <w:tcW w:w="2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26,500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125,235</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15,312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9,072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24,176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18,701</w:t>
            </w:r>
          </w:p>
        </w:tc>
      </w:tr>
      <w:tr>
        <w:trPr>
          <w:trHeight w:val="33"/>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7,823</w:t>
            </w: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55,711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(86,218)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99,457</w:t>
            </w:r>
          </w:p>
        </w:tc>
      </w:tr>
      <w:tr>
        <w:trPr>
          <w:trHeight w:val="33"/>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21,054</w:t>
            </w: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8,156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43,937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(70,538)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78,403</w:t>
            </w:r>
          </w:p>
        </w:tc>
      </w:tr>
      <w:tr>
        <w:trPr>
          <w:trHeight w:val="203"/>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Basic net income (loss)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0.97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(loss) per common share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1.00</w:t>
            </w: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5"/>
          </w:tcPr>
          <w:p>
            <w:pPr>
              <w:ind w:left="740"/>
              <w:spacing w:after="0"/>
              <w:rPr>
                <w:sz w:val="20"/>
                <w:szCs w:val="20"/>
                <w:color w:val="auto"/>
              </w:rPr>
            </w:pPr>
            <w:r>
              <w:rPr>
                <w:rFonts w:ascii="Arial" w:cs="Arial" w:eastAsia="Arial" w:hAnsi="Arial"/>
                <w:sz w:val="16"/>
                <w:szCs w:val="16"/>
                <w:b w:val="1"/>
                <w:bCs w:val="1"/>
                <w:color w:val="auto"/>
              </w:rPr>
              <w:t>Fiscal quarter ended</w:t>
            </w:r>
          </w:p>
        </w:tc>
        <w:tc>
          <w:tcPr>
            <w:tcW w:w="220" w:type="dxa"/>
            <w:vAlign w:val="bottom"/>
          </w:tcPr>
          <w:p>
            <w:pPr>
              <w:spacing w:after="0"/>
              <w:rPr>
                <w:sz w:val="18"/>
                <w:szCs w:val="18"/>
                <w:color w:val="auto"/>
              </w:rPr>
            </w:pPr>
          </w:p>
        </w:tc>
        <w:tc>
          <w:tcPr>
            <w:tcW w:w="30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4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27, 2020</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29, 2019</w:t>
            </w:r>
          </w:p>
        </w:tc>
        <w:tc>
          <w:tcPr>
            <w:tcW w:w="22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27, 2020</w:t>
            </w:r>
          </w:p>
        </w:tc>
        <w:tc>
          <w:tcPr>
            <w:tcW w:w="220" w:type="dxa"/>
            <w:vAlign w:val="bottom"/>
          </w:tcPr>
          <w:p>
            <w:pPr>
              <w:spacing w:after="0"/>
              <w:rPr>
                <w:sz w:val="20"/>
                <w:szCs w:val="20"/>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June 29, 2019</w:t>
            </w:r>
          </w:p>
        </w:tc>
      </w:tr>
      <w:tr>
        <w:trPr>
          <w:trHeight w:val="33"/>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78,403</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5,778</w:t>
            </w:r>
          </w:p>
        </w:tc>
      </w:tr>
      <w:tr>
        <w:trPr>
          <w:trHeight w:val="243"/>
        </w:trPr>
        <w:tc>
          <w:tcPr>
            <w:tcW w:w="462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11,737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46,804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(79,949)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84,181</w:t>
            </w: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33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Common stock</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stockholders’</w:t>
            </w:r>
          </w:p>
        </w:tc>
      </w:tr>
      <w:tr>
        <w:trPr>
          <w:trHeight w:val="210"/>
        </w:trPr>
        <w:tc>
          <w:tcPr>
            <w:tcW w:w="33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 shares</w:t>
            </w: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stock - $</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capital</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4"/>
              </w:rPr>
              <w:t>loss</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equity</w:t>
            </w:r>
          </w:p>
        </w:tc>
      </w:tr>
      <w:tr>
        <w:trPr>
          <w:trHeight w:val="33"/>
        </w:trPr>
        <w:tc>
          <w:tcPr>
            <w:tcW w:w="3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45,629,014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909,816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869,433</w:t>
            </w:r>
          </w:p>
        </w:tc>
      </w:tr>
      <w:tr>
        <w:trPr>
          <w:trHeight w:val="237"/>
        </w:trPr>
        <w:tc>
          <w:tcPr>
            <w:tcW w:w="33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4,780</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restricted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182,722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(460,257)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(39,966)</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37,377</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Balance at March 30, 2019</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45,379,827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(39,428)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888,378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849,404</w:t>
            </w:r>
          </w:p>
        </w:tc>
      </w:tr>
      <w:tr>
        <w:trPr>
          <w:trHeight w:val="33"/>
        </w:trPr>
        <w:tc>
          <w:tcPr>
            <w:tcW w:w="3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1,566</w:t>
            </w:r>
          </w:p>
        </w:tc>
      </w:tr>
      <w:tr>
        <w:trPr>
          <w:trHeight w:val="220"/>
        </w:trPr>
        <w:tc>
          <w:tcPr>
            <w:tcW w:w="3380" w:type="dxa"/>
            <w:vAlign w:val="bottom"/>
          </w:tcPr>
          <w:p>
            <w:pPr>
              <w:ind w:left="40"/>
              <w:spacing w:after="0"/>
              <w:rPr>
                <w:sz w:val="20"/>
                <w:szCs w:val="20"/>
                <w:color w:val="auto"/>
              </w:rPr>
            </w:pPr>
            <w:r>
              <w:rPr>
                <w:rFonts w:ascii="Arial" w:cs="Arial" w:eastAsia="Arial" w:hAnsi="Arial"/>
                <w:sz w:val="16"/>
                <w:szCs w:val="16"/>
                <w:color w:val="auto"/>
              </w:rPr>
              <w:t>Withholdings from vesting</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380" w:type="dxa"/>
            <w:vAlign w:val="bottom"/>
          </w:tcPr>
          <w:p>
            <w:pPr>
              <w:ind w:left="40"/>
              <w:spacing w:after="0"/>
              <w:rPr>
                <w:sz w:val="20"/>
                <w:szCs w:val="20"/>
                <w:color w:val="auto"/>
              </w:rPr>
            </w:pPr>
            <w:r>
              <w:rPr>
                <w:rFonts w:ascii="Arial" w:cs="Arial" w:eastAsia="Arial" w:hAnsi="Arial"/>
                <w:sz w:val="16"/>
                <w:szCs w:val="16"/>
                <w:color w:val="auto"/>
              </w:rPr>
              <w:t>of restricted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activity</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5,194</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(52,477)</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Cash dividends declared and paid</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(22,545)</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46,804</w:t>
            </w:r>
          </w:p>
        </w:tc>
      </w:tr>
      <w:tr>
        <w:trPr>
          <w:trHeight w:val="243"/>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Balance at June 29, 2019</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44,868,563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(36,561)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864,009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827,897</w:t>
            </w:r>
          </w:p>
        </w:tc>
      </w:tr>
      <w:tr>
        <w:trPr>
          <w:trHeight w:val="20"/>
        </w:trPr>
        <w:tc>
          <w:tcPr>
            <w:tcW w:w="3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60" w:hanging="332"/>
        <w:spacing w:after="0" w:line="25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The Company reclassified $1.5 million of tax benefits from "Accumulated other comprehensive loss" to "Retained earnings" for the tax effects resulting from the December 22, 2017 enactment of the Tax Cut and Jobs Act in accordance with the adoption of ASU 2018-02, </w:t>
      </w:r>
      <w:r>
        <w:rPr>
          <w:rFonts w:ascii="Arial" w:cs="Arial" w:eastAsia="Arial" w:hAnsi="Arial"/>
          <w:sz w:val="14"/>
          <w:szCs w:val="14"/>
          <w:i w:val="1"/>
          <w:iCs w:val="1"/>
          <w:color w:val="auto"/>
        </w:rPr>
        <w:t>Reclassification of Certain Tax Effects from Accumulated Other Comprehensive Income</w:t>
      </w:r>
      <w:r>
        <w:rPr>
          <w:rFonts w:ascii="Arial" w:cs="Arial" w:eastAsia="Arial" w:hAnsi="Arial"/>
          <w:sz w:val="14"/>
          <w:szCs w:val="14"/>
          <w:color w:val="auto"/>
        </w:rPr>
        <w:t xml:space="preserve"> in the first quarter of fiscal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35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 stock</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stockholders’</w:t>
            </w:r>
          </w:p>
        </w:tc>
      </w:tr>
      <w:tr>
        <w:trPr>
          <w:trHeight w:val="210"/>
        </w:trPr>
        <w:tc>
          <w:tcPr>
            <w:tcW w:w="35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 shares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stock - $</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capital</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4"/>
              </w:rPr>
              <w:t>loss</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equity</w:t>
            </w:r>
          </w:p>
        </w:tc>
      </w:tr>
      <w:tr>
        <w:trPr>
          <w:trHeight w:val="3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28, 2019</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43,963,103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915,324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880,130</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33,158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1,840</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restricted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(4,712)</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132,759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(474,684)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(45,255)</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(26,260)</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(78,694)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(91,686)</w:t>
            </w:r>
          </w:p>
        </w:tc>
      </w:tr>
      <w:tr>
        <w:trPr>
          <w:trHeight w:val="3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28, 2020</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43,610,725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716,002</w:t>
            </w:r>
          </w:p>
        </w:tc>
      </w:tr>
      <w:tr>
        <w:trPr>
          <w:trHeight w:val="217"/>
        </w:trPr>
        <w:tc>
          <w:tcPr>
            <w:tcW w:w="35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Withholdings from vesting</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of restricted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Restricted stock activity</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12,287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4,540</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Comprehensive income</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11,737</w:t>
            </w:r>
          </w:p>
        </w:tc>
      </w:tr>
      <w:tr>
        <w:trPr>
          <w:trHeight w:val="3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27, 2020</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43,636,176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772,348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733,278</w:t>
            </w:r>
          </w:p>
        </w:tc>
      </w:tr>
      <w:tr>
        <w:trPr>
          <w:trHeight w:val="20"/>
        </w:trPr>
        <w:tc>
          <w:tcPr>
            <w:tcW w:w="3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337"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CARTER’S,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4"/>
          </w:tcPr>
          <w:p>
            <w:pPr>
              <w:jc w:val="right"/>
              <w:ind w:right="1024"/>
              <w:spacing w:after="0"/>
              <w:rPr>
                <w:sz w:val="20"/>
                <w:szCs w:val="20"/>
                <w:color w:val="auto"/>
              </w:rPr>
            </w:pPr>
            <w:r>
              <w:rPr>
                <w:rFonts w:ascii="Arial" w:cs="Arial" w:eastAsia="Arial" w:hAnsi="Arial"/>
                <w:sz w:val="15"/>
                <w:szCs w:val="15"/>
                <w:b w:val="1"/>
                <w:bCs w:val="1"/>
                <w:color w:val="auto"/>
              </w:rPr>
              <w:t>Two fiscal quarters ended</w:t>
            </w:r>
          </w:p>
        </w:tc>
      </w:tr>
      <w:tr>
        <w:trPr>
          <w:trHeight w:val="263"/>
        </w:trPr>
        <w:tc>
          <w:tcPr>
            <w:tcW w:w="7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27, 2020</w:t>
            </w:r>
          </w:p>
        </w:tc>
        <w:tc>
          <w:tcPr>
            <w:tcW w:w="320" w:type="dxa"/>
            <w:vAlign w:val="bottom"/>
          </w:tcPr>
          <w:p>
            <w:pPr>
              <w:spacing w:after="0"/>
              <w:rPr>
                <w:sz w:val="22"/>
                <w:szCs w:val="22"/>
                <w:color w:val="auto"/>
              </w:rPr>
            </w:pPr>
          </w:p>
        </w:tc>
        <w:tc>
          <w:tcPr>
            <w:tcW w:w="1580" w:type="dxa"/>
            <w:vAlign w:val="bottom"/>
          </w:tcPr>
          <w:p>
            <w:pPr>
              <w:jc w:val="right"/>
              <w:ind w:right="424"/>
              <w:spacing w:after="0"/>
              <w:rPr>
                <w:sz w:val="20"/>
                <w:szCs w:val="20"/>
                <w:color w:val="auto"/>
              </w:rPr>
            </w:pPr>
            <w:r>
              <w:rPr>
                <w:rFonts w:ascii="Arial" w:cs="Arial" w:eastAsia="Arial" w:hAnsi="Arial"/>
                <w:sz w:val="15"/>
                <w:szCs w:val="15"/>
                <w:b w:val="1"/>
                <w:bCs w:val="1"/>
                <w:color w:val="auto"/>
              </w:rPr>
              <w:t>June 29, 2019</w:t>
            </w:r>
          </w:p>
        </w:tc>
      </w:tr>
      <w:tr>
        <w:trPr>
          <w:trHeight w:val="268"/>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operating activities:</w:t>
            </w:r>
          </w:p>
        </w:tc>
        <w:tc>
          <w:tcPr>
            <w:tcW w:w="3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Net (loss) income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(70,538)</w:t>
            </w:r>
          </w:p>
        </w:tc>
        <w:tc>
          <w:tcPr>
            <w:tcW w:w="100" w:type="dxa"/>
            <w:vAlign w:val="bottom"/>
          </w:tcPr>
          <w:p>
            <w:pPr>
              <w:spacing w:after="0"/>
              <w:rPr>
                <w:sz w:val="23"/>
                <w:szCs w:val="23"/>
                <w:color w:val="auto"/>
              </w:rPr>
            </w:pP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78,403</w:t>
            </w: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Adjustments to reconcile net (loss) income to net cash provided by operating activities:</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Depreciation of property, plant, and equipment</w:t>
            </w:r>
          </w:p>
        </w:tc>
        <w:tc>
          <w:tcPr>
            <w:tcW w:w="300" w:type="dxa"/>
            <w:vAlign w:val="bottom"/>
          </w:tcPr>
          <w:p>
            <w:pPr>
              <w:spacing w:after="0"/>
              <w:rPr>
                <w:sz w:val="23"/>
                <w:szCs w:val="23"/>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43,774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44,991</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Amortization of intangible assets</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1,874</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Provisions for (recoveries of) excess and obsolete inventory</w:t>
            </w:r>
          </w:p>
        </w:tc>
        <w:tc>
          <w:tcPr>
            <w:tcW w:w="300" w:type="dxa"/>
            <w:vAlign w:val="bottom"/>
          </w:tcPr>
          <w:p>
            <w:pPr>
              <w:spacing w:after="0"/>
              <w:rPr>
                <w:sz w:val="23"/>
                <w:szCs w:val="23"/>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23,058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(938)</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 impairment</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17,742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Intangible asset impairments</w:t>
            </w:r>
          </w:p>
        </w:tc>
        <w:tc>
          <w:tcPr>
            <w:tcW w:w="300" w:type="dxa"/>
            <w:vAlign w:val="bottom"/>
          </w:tcPr>
          <w:p>
            <w:pPr>
              <w:spacing w:after="0"/>
              <w:rPr>
                <w:sz w:val="23"/>
                <w:szCs w:val="23"/>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26,500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asset impairments and loss on disposal of property, plant and equipment, net of recoveries</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7,332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385</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Amortization of debt issuance costs</w:t>
            </w:r>
          </w:p>
        </w:tc>
        <w:tc>
          <w:tcPr>
            <w:tcW w:w="300" w:type="dxa"/>
            <w:vAlign w:val="bottom"/>
          </w:tcPr>
          <w:p>
            <w:pPr>
              <w:spacing w:after="0"/>
              <w:rPr>
                <w:sz w:val="23"/>
                <w:szCs w:val="23"/>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916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737</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Stock-based compensation expense</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6,485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9,807</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Unrealized foreign currency exchange loss (gain), net</w:t>
            </w:r>
          </w:p>
        </w:tc>
        <w:tc>
          <w:tcPr>
            <w:tcW w:w="300" w:type="dxa"/>
            <w:vAlign w:val="bottom"/>
          </w:tcPr>
          <w:p>
            <w:pPr>
              <w:spacing w:after="0"/>
              <w:rPr>
                <w:sz w:val="23"/>
                <w:szCs w:val="23"/>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1,621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(142)</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Provisions for (recoveries of) doubtful accounts receivable from customers</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3,036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(2,869)</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Loss on extinguishment of debt</w:t>
            </w:r>
          </w:p>
        </w:tc>
        <w:tc>
          <w:tcPr>
            <w:tcW w:w="30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7,823</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income taxes (benefit) expense</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4,268</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Effect of changes in operating assets and liabilities:</w:t>
            </w: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4"/>
        </w:trPr>
        <w:tc>
          <w:tcPr>
            <w:tcW w:w="73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Accounts receivable</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80,566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93,315</w:t>
            </w:r>
          </w:p>
        </w:tc>
      </w:tr>
      <w:tr>
        <w:trPr>
          <w:trHeight w:val="266"/>
        </w:trPr>
        <w:tc>
          <w:tcPr>
            <w:tcW w:w="7320" w:type="dxa"/>
            <w:vAlign w:val="bottom"/>
          </w:tcPr>
          <w:p>
            <w:pPr>
              <w:ind w:left="500"/>
              <w:spacing w:after="0"/>
              <w:rPr>
                <w:sz w:val="20"/>
                <w:szCs w:val="20"/>
                <w:color w:val="auto"/>
              </w:rPr>
            </w:pPr>
            <w:r>
              <w:rPr>
                <w:rFonts w:ascii="Arial" w:cs="Arial" w:eastAsia="Arial" w:hAnsi="Arial"/>
                <w:sz w:val="15"/>
                <w:szCs w:val="15"/>
                <w:color w:val="auto"/>
              </w:rPr>
              <w:t>Finished goods inventories</w:t>
            </w:r>
          </w:p>
        </w:tc>
        <w:tc>
          <w:tcPr>
            <w:tcW w:w="3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(106,922)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(119,508)</w:t>
            </w:r>
          </w:p>
        </w:tc>
      </w:tr>
      <w:tr>
        <w:trPr>
          <w:trHeight w:val="274"/>
        </w:trPr>
        <w:tc>
          <w:tcPr>
            <w:tcW w:w="73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Prepaid expenses and other assets</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(18,298)</w:t>
            </w:r>
          </w:p>
        </w:tc>
      </w:tr>
      <w:tr>
        <w:trPr>
          <w:trHeight w:val="266"/>
        </w:trPr>
        <w:tc>
          <w:tcPr>
            <w:tcW w:w="732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Accounts payable and other liabilities</w:t>
            </w:r>
          </w:p>
        </w:tc>
        <w:tc>
          <w:tcPr>
            <w:tcW w:w="3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214,796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4,617</w:t>
            </w:r>
          </w:p>
        </w:tc>
      </w:tr>
      <w:tr>
        <w:trPr>
          <w:trHeight w:val="250"/>
        </w:trPr>
        <w:tc>
          <w:tcPr>
            <w:tcW w:w="73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238,813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104,465</w:t>
            </w:r>
          </w:p>
        </w:tc>
      </w:tr>
      <w:tr>
        <w:trPr>
          <w:trHeight w:val="213"/>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flows from investing activities:</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Capital expenditures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(16,708)</w:t>
            </w:r>
          </w:p>
        </w:tc>
        <w:tc>
          <w:tcPr>
            <w:tcW w:w="100" w:type="dxa"/>
            <w:vAlign w:val="bottom"/>
          </w:tcPr>
          <w:p>
            <w:pPr>
              <w:spacing w:after="0"/>
              <w:rPr>
                <w:sz w:val="23"/>
                <w:szCs w:val="23"/>
                <w:color w:val="auto"/>
              </w:rPr>
            </w:pP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(24,992)</w:t>
            </w:r>
          </w:p>
        </w:tc>
      </w:tr>
      <w:tr>
        <w:trPr>
          <w:trHeight w:val="270"/>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Disposals and recoveries from property, plant, and equipment</w:t>
            </w:r>
          </w:p>
        </w:tc>
        <w:tc>
          <w:tcPr>
            <w:tcW w:w="30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749</w:t>
            </w:r>
          </w:p>
        </w:tc>
      </w:tr>
      <w:tr>
        <w:trPr>
          <w:trHeight w:val="250"/>
        </w:trPr>
        <w:tc>
          <w:tcPr>
            <w:tcW w:w="7320" w:type="dxa"/>
            <w:vAlign w:val="bottom"/>
            <w:tcBorders>
              <w:bottom w:val="single" w:sz="8" w:color="CCEEFF"/>
            </w:tcBorders>
          </w:tcPr>
          <w:p>
            <w:pPr>
              <w:ind w:left="72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(16,708)</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(24,243)</w:t>
            </w:r>
          </w:p>
        </w:tc>
      </w:tr>
      <w:tr>
        <w:trPr>
          <w:trHeight w:val="214"/>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66"/>
        </w:trPr>
        <w:tc>
          <w:tcPr>
            <w:tcW w:w="7320" w:type="dxa"/>
            <w:vAlign w:val="bottom"/>
          </w:tcPr>
          <w:p>
            <w:pPr>
              <w:ind w:left="40"/>
              <w:spacing w:after="0"/>
              <w:rPr>
                <w:sz w:val="20"/>
                <w:szCs w:val="20"/>
                <w:color w:val="auto"/>
              </w:rPr>
            </w:pPr>
            <w:r>
              <w:rPr>
                <w:rFonts w:ascii="Arial" w:cs="Arial" w:eastAsia="Arial" w:hAnsi="Arial"/>
                <w:sz w:val="15"/>
                <w:szCs w:val="15"/>
                <w:color w:val="auto"/>
              </w:rPr>
              <w:t>Cash flows from financing activities:</w:t>
            </w: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Proceeds from senior notes due 2025</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500,000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Proceeds from senior notes due 2027</w:t>
            </w:r>
          </w:p>
        </w:tc>
        <w:tc>
          <w:tcPr>
            <w:tcW w:w="30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500,000</w:t>
            </w: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 of senior notes due 2021</w:t>
            </w:r>
          </w:p>
        </w:tc>
        <w:tc>
          <w:tcPr>
            <w:tcW w:w="30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w:t>
            </w: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Premiums paid to extinguish debt</w:t>
            </w:r>
          </w:p>
        </w:tc>
        <w:tc>
          <w:tcPr>
            <w:tcW w:w="30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(5,252)</w:t>
            </w: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 of debt issuance costs</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(5,793)</w:t>
            </w: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Borrowings under secured revolving credit facility</w:t>
            </w:r>
          </w:p>
        </w:tc>
        <w:tc>
          <w:tcPr>
            <w:tcW w:w="300" w:type="dxa"/>
            <w:vAlign w:val="bottom"/>
          </w:tcPr>
          <w:p>
            <w:pPr>
              <w:spacing w:after="0"/>
              <w:rPr>
                <w:sz w:val="23"/>
                <w:szCs w:val="23"/>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644,000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80,000</w:t>
            </w: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Payments on secured revolving credit facility</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(166,000)</w:t>
            </w: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Repurchases of common stock</w:t>
            </w:r>
          </w:p>
        </w:tc>
        <w:tc>
          <w:tcPr>
            <w:tcW w:w="3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(45,255)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(92,443)</w:t>
            </w: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Dividends paid</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(26,260)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(45,260)</w:t>
            </w: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Withholdings from vestings of restricted stock</w:t>
            </w:r>
          </w:p>
        </w:tc>
        <w:tc>
          <w:tcPr>
            <w:tcW w:w="3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(4,789)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(4,126)</w:t>
            </w:r>
          </w:p>
        </w:tc>
      </w:tr>
      <w:tr>
        <w:trPr>
          <w:trHeight w:val="270"/>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Proceeds from exercises of stock options</w:t>
            </w:r>
          </w:p>
        </w:tc>
        <w:tc>
          <w:tcPr>
            <w:tcW w:w="3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2,916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6,346</w:t>
            </w:r>
          </w:p>
        </w:tc>
      </w:tr>
      <w:tr>
        <w:trPr>
          <w:trHeight w:val="250"/>
        </w:trPr>
        <w:tc>
          <w:tcPr>
            <w:tcW w:w="7320" w:type="dxa"/>
            <w:vAlign w:val="bottom"/>
            <w:tcBorders>
              <w:bottom w:val="single" w:sz="8" w:color="CCEEFF"/>
            </w:tcBorders>
          </w:tcPr>
          <w:p>
            <w:pPr>
              <w:ind w:left="600"/>
              <w:spacing w:after="0"/>
              <w:rPr>
                <w:sz w:val="20"/>
                <w:szCs w:val="20"/>
                <w:color w:val="auto"/>
              </w:rPr>
            </w:pPr>
            <w:r>
              <w:rPr>
                <w:rFonts w:ascii="Arial" w:cs="Arial" w:eastAsia="Arial" w:hAnsi="Arial"/>
                <w:sz w:val="15"/>
                <w:szCs w:val="15"/>
                <w:color w:val="auto"/>
              </w:rPr>
              <w:t>Net cash provided by (used in) financing activities</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562,973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(132,528)</w:t>
            </w:r>
          </w:p>
        </w:tc>
      </w:tr>
      <w:tr>
        <w:trPr>
          <w:trHeight w:val="213"/>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66"/>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effect of exchange rate changes on cash and cash equivalents</w:t>
            </w:r>
          </w:p>
        </w:tc>
        <w:tc>
          <w:tcPr>
            <w:tcW w:w="3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1,192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687</w:t>
            </w:r>
          </w:p>
        </w:tc>
      </w:tr>
      <w:tr>
        <w:trPr>
          <w:trHeight w:val="254"/>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increase (decrease) in cash and cash equivalents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786,270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(51,619)</w:t>
            </w:r>
          </w:p>
        </w:tc>
      </w:tr>
      <w:tr>
        <w:trPr>
          <w:trHeight w:val="266"/>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3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214,311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170,077</w:t>
            </w:r>
          </w:p>
        </w:tc>
      </w:tr>
      <w:tr>
        <w:trPr>
          <w:trHeight w:val="24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1,000,581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118,458</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337" w:right="3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9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Carter's, Inc. and its wholly owned subsidiaries (collectively, the "Company," "its," "us" and "our") design, source, and market branded childrenswear and accessories under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Simple Joys</w:t>
      </w:r>
      <w:r>
        <w:rPr>
          <w:rFonts w:ascii="Arial" w:cs="Arial" w:eastAsia="Arial" w:hAnsi="Arial"/>
          <w:sz w:val="16"/>
          <w:szCs w:val="16"/>
          <w:color w:val="auto"/>
        </w:rPr>
        <w:t xml:space="preserve">, </w:t>
      </w:r>
      <w:r>
        <w:rPr>
          <w:rFonts w:ascii="Arial" w:cs="Arial" w:eastAsia="Arial" w:hAnsi="Arial"/>
          <w:sz w:val="16"/>
          <w:szCs w:val="16"/>
          <w:i w:val="1"/>
          <w:iCs w:val="1"/>
          <w:color w:val="auto"/>
        </w:rPr>
        <w:t>Precious Baby</w:t>
      </w:r>
      <w:r>
        <w:rPr>
          <w:rFonts w:ascii="Arial" w:cs="Arial" w:eastAsia="Arial" w:hAnsi="Arial"/>
          <w:sz w:val="16"/>
          <w:szCs w:val="16"/>
          <w:color w:val="auto"/>
        </w:rPr>
        <w:t xml:space="preserve">, </w:t>
      </w:r>
      <w:r>
        <w:rPr>
          <w:rFonts w:ascii="Arial" w:cs="Arial" w:eastAsia="Arial" w:hAnsi="Arial"/>
          <w:sz w:val="16"/>
          <w:szCs w:val="16"/>
          <w:i w:val="1"/>
          <w:iCs w:val="1"/>
          <w:color w:val="auto"/>
        </w:rPr>
        <w:t>Little Planet</w:t>
      </w:r>
      <w:r>
        <w:rPr>
          <w:rFonts w:ascii="Arial" w:cs="Arial" w:eastAsia="Arial" w:hAnsi="Arial"/>
          <w:sz w:val="16"/>
          <w:szCs w:val="16"/>
          <w:color w:val="auto"/>
        </w:rPr>
        <w:t>,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(loss), statement of stockholders' equity, and cash flows of the Company for the interim periods presented. Except as otherwise disclosed, all such adjustments consist only of those of a normal recurring nature. Operating results for the fiscal quarter ended June 27, 2020 are not necessarily indicative of the results that may be expected for the current fiscal year ending January 2, 2021.</w:t>
      </w:r>
    </w:p>
    <w:p>
      <w:pPr>
        <w:spacing w:after="0" w:line="14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condensed consolidated balance sheet as of December 28, 2019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During the second quarter of fiscal year 2020, it was determined that there were amounts presented incorrectly in the statement of cash flows for the annual and interim year to date periods subsequent to the December 30, 2018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due to the presentation of the non-cash impact of the initial and subsequent recognition of the Right of Use (“ROU”) assets and lease liabilities within the “Prepaid expenses and other assets” and “Accounts payable and other liabilities” line items, respectively, within operating cash flows. This incorrect presentation had no impact on net cash (used in) provided by operating activities for any of the periods. We assessed the materiality of the incorrect presentation and concluded that the previously issued financial statements were not materially misstated. The presentation errors resulted in an offsetting overstatement of cash used for prepaid expenses and other assets and cash provided by accounts payable and other liabilities of $739 million, $773 million and $815 million for the three, six and nine-months ended March 30, 2019, June 29, 2019 and September 28, 2019, respectively, $828 million for the year ended December 28, 2019 and $29 million for the three months ended March 28, 2020. The accompanying unaudited condensed consolidated statement of cash flows appropriately reflect the corrected presentation of these non-cash activities. In addition, the Company has reclassified and will reclassify prior comparable period amounts to present ROU asset amortization and lease liability payment activity on a net basis within the “Accounts payable and other liabilities” line item. The revisions to the nine months ended September 30, 2019, year ended December 31, 2019 and three months ended March 31, 2020 will be presented in future Forms 10-Q and 10-K filings. We will continue to provide supplemental noncash cash flow disclosure information in the notes to the financial statements, as well as correct for the omission of such disclosure during the 2019 interim periods in connection with our 2020 quarterly filings.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337"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2019, an outbreak of a new strain of coronavirus (“COVID-19”) began in Wuhan, China. In March 2020, the World Health Organization declared COVID-19 a pandemic and the President of the United States declared a national emergency. As a result of COVID-19, the Company temporarily closed its retail stores in North America and implemented several actions during fiscal 2020 to enhance liquidity and financial flexibility including the deferral of lease payments, reductions in discretionary spending, amending its revolving credit facility, issuing $500 million principal amount of senior notes, and suspending dividends and share repurchases.</w:t>
      </w:r>
    </w:p>
    <w:p>
      <w:pPr>
        <w:spacing w:after="0" w:line="14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Beginning in April 2020, the Company suspended rent payments under the leases for our temporarily closed stores in North America and has been in discussions with landlords to obtain rent concessions. The Company considered the Financial Accounting Standards Board's ("FASB") recent guidance regarding lease concessions as a result of the effects of the COVID-19 pandemic and has elected to treat these rent concessions as lease modifications. Lease modifications resulting from COVID-19 related rent concessions were not material to the financial statements for the fiscal quarter ended June 27, 2020. The Company has resumed making the required rent payments under the leases for the stores that reopened as of the end of the fiscal quarter. See Note 4, </w:t>
      </w:r>
      <w:r>
        <w:rPr>
          <w:rFonts w:ascii="Arial" w:cs="Arial" w:eastAsia="Arial" w:hAnsi="Arial"/>
          <w:sz w:val="17"/>
          <w:szCs w:val="17"/>
          <w:i w:val="1"/>
          <w:iCs w:val="1"/>
          <w:color w:val="auto"/>
        </w:rPr>
        <w:t>Leases</w:t>
      </w:r>
      <w:r>
        <w:rPr>
          <w:rFonts w:ascii="Arial" w:cs="Arial" w:eastAsia="Arial" w:hAnsi="Arial"/>
          <w:sz w:val="17"/>
          <w:szCs w:val="17"/>
          <w:color w:val="auto"/>
        </w:rPr>
        <w:t>, for further details on deferral of rent payments under these leases.</w:t>
      </w:r>
    </w:p>
    <w:p>
      <w:pPr>
        <w:spacing w:after="0" w:line="1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May 4, 2020, the Company, through its wholly owned subsidiary, The William Carter Company ("TWCC"), successfully amended its revolving credit facility. This amendment provided for, among other things, a waiver of financial covenants through the balance of fiscal year 2020, revised covenant requirements through the third quarter of fiscal year 2021 and the ability to raise additional unsecured financing at the Company’s discretion. Additionally, on May 11, 2020, TWCC issued $500 million principal amount of senior notes at par, bearing interest at a rate of 5.500% per annum, and maturing on May 15, 2025.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details on the amendment to the revolving credit facility and the issuance of $500 million principal amount of senior notes.</w:t>
      </w:r>
    </w:p>
    <w:p>
      <w:pPr>
        <w:spacing w:after="0" w:line="15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announced in the first two quarters of fiscal 2020, that in connection with the COVID-19 pandemic, it suspended its common stock share repurchase program and its quarterly cash dividend. The Company's Board of Directors will evaluate future capital distributions, including dividend declarations, based on a number of factors, including business conditions, our financial performance, and other considerations.</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also assessed certain accounting matters that generally require consideration of forecasted financial information in context with the information reasonably available to us and the unknown future impacts of COVID-19 as of June 27, 2020 and through the date of this report filing. The accounting matters assessed included, but were not limited to, our allowance for doubtful accounts, inventory reserves, adverse inventory and fabric purchase commitments, stock based compensation, and the carrying value of our goodwill and other long-lived assets. Based on these assessments, in the second quarter of fiscal 2020, the Company recorded impairments on operating lease assets and other long-lived assets for our underperforming retail stores of $3.7 million, and a benefit in excess inventory and fabric purchase commitment charges of $9.9 million related to better than expected sales of inventory that was reserved for in the first fiscal quarter of 2020 due to COVID-19 related disruptions. For the two fiscal quarters ending June 27, 2020, the Company recorded impairments on operating lease assets and other long-lived assets for our underperforming retail stores of $5.0 million, inventory related charges of $23.1 million, adverse inventory and fabric purchase commitments of $18.1 million, intangible asset impairments of $26.5 million, and goodwill impairment of $17.7 million. There could be a further material impact to our consolidated financial statements in future reporting periods if at a future date we determine that these assessments of the magnitude and duration of COVID-19, as well as other factors, were incorrect.</w:t>
      </w:r>
    </w:p>
    <w:p>
      <w:pPr>
        <w:spacing w:after="0" w:line="12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Additional COVID-19 related charges in the second quarter of fiscal 2020 include incremental payroll continuation and employee related costs of $7.3 million, costs associated with additional protective equipment and cleaning supplies of $4.1 million, restructuring costs of $2.3 million, and other COVID-19-related costs of $1.1 million, as well as a payroll tax benefit of $1.8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accounting policies the Company follows are set forth in its most recently filed Annual Report on Form 10-K. There have been no material changes to these accounting policies. New accounting pronouncements adopted at the beginning of fiscal 2020 are noted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At the beginning of fiscal 2020, the Company adopted Accounting Standards Update ("ASU") No. 2016-13, </w:t>
      </w:r>
      <w:r>
        <w:rPr>
          <w:rFonts w:ascii="Arial" w:cs="Arial" w:eastAsia="Arial" w:hAnsi="Arial"/>
          <w:sz w:val="18"/>
          <w:szCs w:val="18"/>
          <w:i w:val="1"/>
          <w:iCs w:val="1"/>
          <w:color w:val="auto"/>
        </w:rPr>
        <w:t>Financial Instruments-Credit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326): Measurement of Credit Losses on Financial Instruments </w:t>
      </w:r>
      <w:r>
        <w:rPr>
          <w:rFonts w:ascii="Arial" w:cs="Arial" w:eastAsia="Arial" w:hAnsi="Arial"/>
          <w:sz w:val="18"/>
          <w:szCs w:val="18"/>
          <w:color w:val="auto"/>
        </w:rPr>
        <w:t>("ASU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This new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guidance changed how entities account for credit impairment for trade and other receivables, as well as for certain financial assets and other instruments. ASU 2016-13 replaced the previous "incurred loss" model with an "expected loss" model, that requires an entity to recognize a loss (or allowance) upon initial recognition of the asset that reflects all future events that will lead to a loss being realized, regardless of whether it is probable that the future event will occur. The Company estimates current expected credit losses based on collection history and management’s assessment of the current economic trends, business environment, customers’ financial condition, accounts receivable aging, and customer disputes that may impact the level of future credit losses. The effect of the adoption of ASU 2016-13 was not material to the Company's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At the beginning of fiscal 2020, the Company adopted ASU No. 2017-04, </w:t>
      </w:r>
      <w:r>
        <w:rPr>
          <w:rFonts w:ascii="Arial" w:cs="Arial" w:eastAsia="Arial" w:hAnsi="Arial"/>
          <w:sz w:val="16"/>
          <w:szCs w:val="16"/>
          <w:i w:val="1"/>
          <w:iCs w:val="1"/>
          <w:color w:val="auto"/>
        </w:rPr>
        <w:t>Intangibles-Goodwill and Other (Topic 350): Simplifying the Test for 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w:t>
      </w:r>
      <w:r>
        <w:rPr>
          <w:rFonts w:ascii="Arial" w:cs="Arial" w:eastAsia="Arial" w:hAnsi="Arial"/>
          <w:sz w:val="16"/>
          <w:szCs w:val="16"/>
          <w:color w:val="auto"/>
        </w:rPr>
        <w:t>("ASU 2017-04")</w:t>
      </w:r>
      <w:r>
        <w:rPr>
          <w:rFonts w:ascii="Arial" w:cs="Arial" w:eastAsia="Arial" w:hAnsi="Arial"/>
          <w:sz w:val="16"/>
          <w:szCs w:val="16"/>
          <w:i w:val="1"/>
          <w:iCs w:val="1"/>
          <w:color w:val="auto"/>
        </w:rPr>
        <w:t xml:space="preserve">. </w:t>
      </w:r>
      <w:r>
        <w:rPr>
          <w:rFonts w:ascii="Arial" w:cs="Arial" w:eastAsia="Arial" w:hAnsi="Arial"/>
          <w:sz w:val="16"/>
          <w:szCs w:val="16"/>
          <w:color w:val="auto"/>
        </w:rPr>
        <w:t>ASU 2017-04 eliminates the requirement to calculate the implied fair value of goodwill (step 2 of the current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does not change the current guidance for completing step 1 of the goodwill impairment test, and an entity can still perform the current optional qualitative goodwill impairment assessment before determining whether to proceed to step 1. The effect of the adoption of ASU 2017-04 had no impact to the Company's consolidated financial statements. During the first quarter of fiscal 2020, the Company conducted an interim quantitative impairment assessment on the goodwill ascribed to the Other International reporting unit. As a result of this assessment and based on the application of ASU 2017-04, a goodwill impairment charge of $17.7 million was recorded to our Other International reporting unit. See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for further details on the impairment charge and valuation methodology.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 (Topic 740)</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r>
        <w:rPr>
          <w:rFonts w:ascii="Arial" w:cs="Arial" w:eastAsia="Arial" w:hAnsi="Arial"/>
          <w:sz w:val="18"/>
          <w:szCs w:val="18"/>
          <w:i w:val="1"/>
          <w:iCs w:val="1"/>
          <w:color w:val="auto"/>
        </w:rPr>
        <w:t>,</w:t>
      </w:r>
      <w:r>
        <w:rPr>
          <w:rFonts w:ascii="Arial" w:cs="Arial" w:eastAsia="Arial" w:hAnsi="Arial"/>
          <w:sz w:val="18"/>
          <w:szCs w:val="18"/>
          <w:color w:val="auto"/>
        </w:rPr>
        <w:t xml:space="preserve"> as part of its overall simplification initiative to reduce costs and complexity of applying accounting standards while maintaining or improving the usefulness of the information provided to users of financial statements. Amendments include removal of certain exceptions to the general principles of Topic 740, "Income Taxes," and simplification in several other areas. ASU 2019-12 is effective for annual reporting periods beginning after December 15, 2020, and interim periods therein, with early adoption permitted. The Company elected to early adopt this guidance in the first quarter of fiscal 2020. The Company retrospectively adopted the provision related to the classification of taxes partially based on income and has determined that the adoption of this standard did not have a material impact on its prior period financial statements. The provisions related to intra period tax allocation and interim recognition of enactment of tax laws are being adopted on a prospective basis. The effect of the adoption of ASU 2019-12 was not material to the Company's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9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second quarter and two quarters ended fiscal 2020 and 2019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7"/>
          </w:tcPr>
          <w:p>
            <w:pPr>
              <w:ind w:left="200"/>
              <w:spacing w:after="0"/>
              <w:rPr>
                <w:sz w:val="20"/>
                <w:szCs w:val="20"/>
                <w:color w:val="auto"/>
              </w:rPr>
            </w:pPr>
            <w:r>
              <w:rPr>
                <w:rFonts w:ascii="Arial" w:cs="Arial" w:eastAsia="Arial" w:hAnsi="Arial"/>
                <w:sz w:val="16"/>
                <w:szCs w:val="16"/>
                <w:b w:val="1"/>
                <w:bCs w:val="1"/>
                <w:color w:val="auto"/>
              </w:rPr>
              <w:t>Fiscal quarter ended June 27, 2020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1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7"/>
                <w:szCs w:val="17"/>
                <w:color w:val="auto"/>
              </w:rPr>
            </w:pPr>
          </w:p>
        </w:tc>
        <w:tc>
          <w:tcPr>
            <w:tcW w:w="1520" w:type="dxa"/>
            <w:vAlign w:val="bottom"/>
            <w:gridSpan w:val="4"/>
          </w:tcPr>
          <w:p>
            <w:pPr>
              <w:ind w:left="180"/>
              <w:spacing w:after="0"/>
              <w:rPr>
                <w:sz w:val="20"/>
                <w:szCs w:val="20"/>
                <w:color w:val="auto"/>
              </w:rPr>
            </w:pPr>
            <w:r>
              <w:rPr>
                <w:rFonts w:ascii="Arial" w:cs="Arial" w:eastAsia="Arial" w:hAnsi="Arial"/>
                <w:sz w:val="16"/>
                <w:szCs w:val="16"/>
                <w:b w:val="1"/>
                <w:bCs w:val="1"/>
                <w:color w:val="auto"/>
              </w:rPr>
              <w:t>U.S. Retail</w:t>
            </w:r>
          </w:p>
        </w:tc>
        <w:tc>
          <w:tcPr>
            <w:tcW w:w="220" w:type="dxa"/>
            <w:vAlign w:val="bottom"/>
          </w:tcPr>
          <w:p>
            <w:pPr>
              <w:spacing w:after="0"/>
              <w:rPr>
                <w:sz w:val="17"/>
                <w:szCs w:val="17"/>
                <w:color w:val="auto"/>
              </w:rPr>
            </w:pPr>
          </w:p>
        </w:tc>
        <w:tc>
          <w:tcPr>
            <w:tcW w:w="1560" w:type="dxa"/>
            <w:vAlign w:val="bottom"/>
            <w:gridSpan w:val="4"/>
          </w:tcPr>
          <w:p>
            <w:pPr>
              <w:ind w:left="100"/>
              <w:spacing w:after="0"/>
              <w:rPr>
                <w:sz w:val="20"/>
                <w:szCs w:val="20"/>
                <w:color w:val="auto"/>
              </w:rPr>
            </w:pPr>
            <w:r>
              <w:rPr>
                <w:rFonts w:ascii="Arial" w:cs="Arial" w:eastAsia="Arial" w:hAnsi="Arial"/>
                <w:sz w:val="16"/>
                <w:szCs w:val="16"/>
                <w:b w:val="1"/>
                <w:bCs w:val="1"/>
                <w:color w:val="auto"/>
              </w:rPr>
              <w:t>U.S. Wholesale</w:t>
            </w:r>
          </w:p>
        </w:tc>
        <w:tc>
          <w:tcPr>
            <w:tcW w:w="38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400" w:type="dxa"/>
            <w:vAlign w:val="bottom"/>
          </w:tcPr>
          <w:p>
            <w:pPr>
              <w:spacing w:after="0"/>
              <w:rPr>
                <w:sz w:val="17"/>
                <w:szCs w:val="17"/>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48"/>
        </w:trPr>
        <w:tc>
          <w:tcPr>
            <w:tcW w:w="4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151,744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167,285</w:t>
            </w: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20" w:type="dxa"/>
            <w:vAlign w:val="bottom"/>
            <w:gridSpan w:val="3"/>
          </w:tcPr>
          <w:p>
            <w:pPr>
              <w:jc w:val="right"/>
              <w:ind w:right="39"/>
              <w:spacing w:after="0"/>
              <w:rPr>
                <w:sz w:val="20"/>
                <w:szCs w:val="20"/>
                <w:color w:val="auto"/>
              </w:rPr>
            </w:pPr>
            <w:r>
              <w:rPr>
                <w:rFonts w:ascii="Arial" w:cs="Arial" w:eastAsia="Arial" w:hAnsi="Arial"/>
                <w:sz w:val="16"/>
                <w:szCs w:val="16"/>
                <w:color w:val="auto"/>
              </w:rPr>
              <w:t>316,016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31,584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347,600</w:t>
            </w:r>
          </w:p>
        </w:tc>
      </w:tr>
      <w:tr>
        <w:trPr>
          <w:trHeight w:val="33"/>
        </w:trPr>
        <w:tc>
          <w:tcPr>
            <w:tcW w:w="4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316,016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151,744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514,885</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1,508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3,588</w:t>
            </w:r>
          </w:p>
        </w:tc>
      </w:tr>
      <w:tr>
        <w:trPr>
          <w:trHeight w:val="33"/>
        </w:trPr>
        <w:tc>
          <w:tcPr>
            <w:tcW w:w="4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37"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(dollars in thousands)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Wholesale channel</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Royalty income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(dollars in thousands)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Wholesale channel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Royalty income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(dollars in thousands)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Wholesale channel</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Direct-to-consumer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Two fiscal quarters ended June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4457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6"/>
                <w:szCs w:val="16"/>
                <w:color w:val="auto"/>
              </w:rPr>
            </w:pPr>
          </w:p>
        </w:tc>
        <w:tc>
          <w:tcPr>
            <w:tcW w:w="1560" w:type="dxa"/>
            <w:vAlign w:val="bottom"/>
            <w:gridSpan w:val="4"/>
          </w:tcPr>
          <w:p>
            <w:pPr>
              <w:ind w:left="100"/>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6"/>
                <w:szCs w:val="16"/>
                <w:color w:val="auto"/>
              </w:rPr>
            </w:pPr>
          </w:p>
        </w:tc>
        <w:tc>
          <w:tcPr>
            <w:tcW w:w="1540" w:type="dxa"/>
            <w:vAlign w:val="bottom"/>
            <w:gridSpan w:val="4"/>
          </w:tcPr>
          <w:p>
            <w:pPr>
              <w:ind w:left="120"/>
              <w:spacing w:after="0"/>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6"/>
                <w:szCs w:val="16"/>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5"/>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4"/>
                <w:szCs w:val="24"/>
                <w:color w:val="auto"/>
              </w:rPr>
            </w:pP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403,874</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54,272</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458,146</w:t>
            </w:r>
          </w:p>
        </w:tc>
      </w:tr>
      <w:tr>
        <w:trPr>
          <w:trHeight w:val="270"/>
        </w:trPr>
        <w:tc>
          <w:tcPr>
            <w:tcW w:w="280" w:type="dxa"/>
            <w:vAlign w:val="bottom"/>
          </w:tcPr>
          <w:p>
            <w:pPr>
              <w:spacing w:after="0"/>
              <w:rPr>
                <w:sz w:val="23"/>
                <w:szCs w:val="23"/>
                <w:color w:val="auto"/>
              </w:rPr>
            </w:pPr>
          </w:p>
        </w:tc>
        <w:tc>
          <w:tcPr>
            <w:tcW w:w="1420" w:type="dxa"/>
            <w:vAlign w:val="bottom"/>
            <w:gridSpan w:val="3"/>
          </w:tcPr>
          <w:p>
            <w:pPr>
              <w:jc w:val="right"/>
              <w:ind w:right="59"/>
              <w:spacing w:after="0"/>
              <w:rPr>
                <w:sz w:val="20"/>
                <w:szCs w:val="20"/>
                <w:color w:val="auto"/>
              </w:rPr>
            </w:pPr>
            <w:r>
              <w:rPr>
                <w:rFonts w:ascii="Arial" w:cs="Arial" w:eastAsia="Arial" w:hAnsi="Arial"/>
                <w:sz w:val="16"/>
                <w:szCs w:val="16"/>
                <w:color w:val="auto"/>
              </w:rPr>
              <w:t>636,733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74,478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711,211</w:t>
            </w:r>
          </w:p>
        </w:tc>
      </w:tr>
      <w:tr>
        <w:trPr>
          <w:trHeight w:val="33"/>
        </w:trPr>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59"/>
              <w:spacing w:after="0"/>
              <w:rPr>
                <w:sz w:val="20"/>
                <w:szCs w:val="20"/>
                <w:color w:val="auto"/>
              </w:rPr>
            </w:pPr>
            <w:r>
              <w:rPr>
                <w:rFonts w:ascii="Arial" w:cs="Arial" w:eastAsia="Arial" w:hAnsi="Arial"/>
                <w:sz w:val="16"/>
                <w:szCs w:val="16"/>
                <w:color w:val="auto"/>
              </w:rPr>
              <w:t>636,733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3"/>
          </w:tcPr>
          <w:p>
            <w:pPr>
              <w:jc w:val="right"/>
              <w:ind w:right="39"/>
              <w:spacing w:after="0"/>
              <w:rPr>
                <w:sz w:val="20"/>
                <w:szCs w:val="20"/>
                <w:color w:val="auto"/>
              </w:rPr>
            </w:pPr>
            <w:r>
              <w:rPr>
                <w:rFonts w:ascii="Arial" w:cs="Arial" w:eastAsia="Arial" w:hAnsi="Arial"/>
                <w:sz w:val="16"/>
                <w:szCs w:val="16"/>
                <w:color w:val="auto"/>
              </w:rPr>
              <w:t>403,874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128,750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1,169,357</w:t>
            </w:r>
          </w:p>
        </w:tc>
      </w:tr>
      <w:tr>
        <w:trPr>
          <w:trHeight w:val="33"/>
        </w:trPr>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34"/>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59"/>
              <w:spacing w:after="0"/>
              <w:rPr>
                <w:sz w:val="20"/>
                <w:szCs w:val="20"/>
                <w:color w:val="auto"/>
              </w:rPr>
            </w:pPr>
            <w:r>
              <w:rPr>
                <w:rFonts w:ascii="Arial" w:cs="Arial" w:eastAsia="Arial" w:hAnsi="Arial"/>
                <w:sz w:val="16"/>
                <w:szCs w:val="16"/>
                <w:color w:val="auto"/>
              </w:rPr>
              <w:t>3,746</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3"/>
          </w:tcPr>
          <w:p>
            <w:pPr>
              <w:jc w:val="right"/>
              <w:ind w:right="39"/>
              <w:spacing w:after="0"/>
              <w:rPr>
                <w:sz w:val="20"/>
                <w:szCs w:val="20"/>
                <w:color w:val="auto"/>
              </w:rPr>
            </w:pPr>
            <w:r>
              <w:rPr>
                <w:rFonts w:ascii="Arial" w:cs="Arial" w:eastAsia="Arial" w:hAnsi="Arial"/>
                <w:sz w:val="16"/>
                <w:szCs w:val="16"/>
                <w:color w:val="auto"/>
              </w:rPr>
              <w:t>5,590</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1,590</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10,926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-827405</wp:posOffset>
            </wp:positionV>
            <wp:extent cx="708914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-484505</wp:posOffset>
            </wp:positionV>
            <wp:extent cx="7089140" cy="179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9705"/>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-149860</wp:posOffset>
            </wp:positionV>
            <wp:extent cx="70891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350"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Fiscal quarter ended June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4474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32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36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Pr>
          <w:p>
            <w:pPr>
              <w:spacing w:after="0"/>
              <w:rPr>
                <w:sz w:val="16"/>
                <w:szCs w:val="16"/>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Total</w:t>
            </w:r>
          </w:p>
        </w:tc>
      </w:tr>
      <w:tr>
        <w:trPr>
          <w:trHeight w:val="20"/>
        </w:trPr>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85"/>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color w:val="auto"/>
              </w:rPr>
              <w:t>229,091</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24,742</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253,833</w:t>
            </w:r>
          </w:p>
        </w:tc>
      </w:tr>
      <w:tr>
        <w:trPr>
          <w:trHeight w:val="270"/>
        </w:trPr>
        <w:tc>
          <w:tcPr>
            <w:tcW w:w="480" w:type="dxa"/>
            <w:vAlign w:val="bottom"/>
          </w:tcPr>
          <w:p>
            <w:pPr>
              <w:spacing w:after="0"/>
              <w:rPr>
                <w:sz w:val="23"/>
                <w:szCs w:val="23"/>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423,128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57,423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480,551</w:t>
            </w:r>
          </w:p>
        </w:tc>
      </w:tr>
      <w:tr>
        <w:trPr>
          <w:trHeight w:val="33"/>
        </w:trPr>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423,128</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color w:val="auto"/>
              </w:rPr>
              <w:t>229,091</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82,165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734,384</w:t>
            </w:r>
          </w:p>
        </w:tc>
      </w:tr>
      <w:tr>
        <w:trPr>
          <w:trHeight w:val="33"/>
        </w:trPr>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33"/>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4,452</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color w:val="auto"/>
              </w:rPr>
              <w:t>4,162</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9,635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-826770</wp:posOffset>
            </wp:positionV>
            <wp:extent cx="71151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-2640330</wp:posOffset>
            </wp:positionH>
            <wp:positionV relativeFrom="paragraph">
              <wp:posOffset>-483870</wp:posOffset>
            </wp:positionV>
            <wp:extent cx="7115175"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-2640330</wp:posOffset>
            </wp:positionH>
            <wp:positionV relativeFrom="paragraph">
              <wp:posOffset>-149860</wp:posOffset>
            </wp:positionV>
            <wp:extent cx="71151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50"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Two fiscal quarters ended June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4457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6"/>
                <w:szCs w:val="16"/>
                <w:color w:val="auto"/>
              </w:rPr>
            </w:pPr>
          </w:p>
        </w:tc>
        <w:tc>
          <w:tcPr>
            <w:tcW w:w="1560" w:type="dxa"/>
            <w:vAlign w:val="bottom"/>
            <w:gridSpan w:val="4"/>
          </w:tcPr>
          <w:p>
            <w:pPr>
              <w:ind w:left="100"/>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6"/>
                <w:szCs w:val="16"/>
                <w:color w:val="auto"/>
              </w:rPr>
            </w:pPr>
          </w:p>
        </w:tc>
        <w:tc>
          <w:tcPr>
            <w:tcW w:w="1540" w:type="dxa"/>
            <w:vAlign w:val="bottom"/>
            <w:gridSpan w:val="4"/>
          </w:tcPr>
          <w:p>
            <w:pPr>
              <w:ind w:left="120"/>
              <w:spacing w:after="0"/>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6"/>
                <w:szCs w:val="16"/>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5"/>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4"/>
                <w:szCs w:val="24"/>
                <w:color w:val="auto"/>
              </w:rPr>
            </w:pP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504,458</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65,530</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569,988</w:t>
            </w:r>
          </w:p>
        </w:tc>
      </w:tr>
      <w:tr>
        <w:trPr>
          <w:trHeight w:val="270"/>
        </w:trPr>
        <w:tc>
          <w:tcPr>
            <w:tcW w:w="280" w:type="dxa"/>
            <w:vAlign w:val="bottom"/>
          </w:tcPr>
          <w:p>
            <w:pPr>
              <w:spacing w:after="0"/>
              <w:rPr>
                <w:sz w:val="23"/>
                <w:szCs w:val="23"/>
                <w:color w:val="auto"/>
              </w:rPr>
            </w:pPr>
          </w:p>
        </w:tc>
        <w:tc>
          <w:tcPr>
            <w:tcW w:w="1420" w:type="dxa"/>
            <w:vAlign w:val="bottom"/>
            <w:gridSpan w:val="3"/>
          </w:tcPr>
          <w:p>
            <w:pPr>
              <w:jc w:val="right"/>
              <w:ind w:right="59"/>
              <w:spacing w:after="0"/>
              <w:rPr>
                <w:sz w:val="20"/>
                <w:szCs w:val="20"/>
                <w:color w:val="auto"/>
              </w:rPr>
            </w:pPr>
            <w:r>
              <w:rPr>
                <w:rFonts w:ascii="Arial" w:cs="Arial" w:eastAsia="Arial" w:hAnsi="Arial"/>
                <w:sz w:val="16"/>
                <w:szCs w:val="16"/>
                <w:color w:val="auto"/>
              </w:rPr>
              <w:t>800,182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105,272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905,454</w:t>
            </w:r>
          </w:p>
        </w:tc>
      </w:tr>
      <w:tr>
        <w:trPr>
          <w:trHeight w:val="33"/>
        </w:trPr>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59"/>
              <w:spacing w:after="0"/>
              <w:rPr>
                <w:sz w:val="20"/>
                <w:szCs w:val="20"/>
                <w:color w:val="auto"/>
              </w:rPr>
            </w:pPr>
            <w:r>
              <w:rPr>
                <w:rFonts w:ascii="Arial" w:cs="Arial" w:eastAsia="Arial" w:hAnsi="Arial"/>
                <w:sz w:val="16"/>
                <w:szCs w:val="16"/>
                <w:color w:val="auto"/>
              </w:rPr>
              <w:t>800,182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3"/>
          </w:tcPr>
          <w:p>
            <w:pPr>
              <w:jc w:val="right"/>
              <w:ind w:right="39"/>
              <w:spacing w:after="0"/>
              <w:rPr>
                <w:sz w:val="20"/>
                <w:szCs w:val="20"/>
                <w:color w:val="auto"/>
              </w:rPr>
            </w:pPr>
            <w:r>
              <w:rPr>
                <w:rFonts w:ascii="Arial" w:cs="Arial" w:eastAsia="Arial" w:hAnsi="Arial"/>
                <w:sz w:val="16"/>
                <w:szCs w:val="16"/>
                <w:color w:val="auto"/>
              </w:rPr>
              <w:t>504,458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170,802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1,475,442</w:t>
            </w:r>
          </w:p>
        </w:tc>
      </w:tr>
      <w:tr>
        <w:trPr>
          <w:trHeight w:val="33"/>
        </w:trPr>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-539115</wp:posOffset>
            </wp:positionV>
            <wp:extent cx="70891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-196215</wp:posOffset>
            </wp:positionV>
            <wp:extent cx="708914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18034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137160</wp:posOffset>
            </wp:positionV>
            <wp:extent cx="70891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720"/>
            <w:col w:w="7060"/>
          </w:cols>
          <w:pgMar w:left="320" w:top="337" w:right="339" w:bottom="1440" w:gutter="0" w:footer="0" w:header="0"/>
          <w:type w:val="continuous"/>
        </w:sectPr>
      </w:pPr>
    </w:p>
    <w:p>
      <w:pPr>
        <w:spacing w:after="0" w:line="47" w:lineRule="exact"/>
        <w:rPr>
          <w:sz w:val="20"/>
          <w:szCs w:val="20"/>
          <w:color w:val="auto"/>
        </w:rPr>
      </w:pPr>
    </w:p>
    <w:p>
      <w:pPr>
        <w:ind w:left="60"/>
        <w:spacing w:after="0"/>
        <w:tabs>
          <w:tab w:leader="none" w:pos="4200" w:val="left"/>
          <w:tab w:leader="none" w:pos="5380" w:val="left"/>
          <w:tab w:leader="none" w:pos="6020" w:val="left"/>
          <w:tab w:leader="none" w:pos="7100" w:val="left"/>
          <w:tab w:leader="none" w:pos="7780" w:val="left"/>
          <w:tab w:leader="none" w:pos="8940" w:val="left"/>
          <w:tab w:leader="none" w:pos="9560" w:val="left"/>
          <w:tab w:leader="none" w:pos="10640" w:val="left"/>
        </w:tabs>
        <w:rPr>
          <w:sz w:val="20"/>
          <w:szCs w:val="20"/>
          <w:color w:val="auto"/>
        </w:rPr>
      </w:pPr>
      <w:r>
        <w:rPr>
          <w:rFonts w:ascii="Arial" w:cs="Arial" w:eastAsia="Arial" w:hAnsi="Arial"/>
          <w:sz w:val="16"/>
          <w:szCs w:val="16"/>
          <w:color w:val="auto"/>
        </w:rPr>
        <w:t>Royalty income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6,443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10,012</w:t>
        <w:tab/>
        <w:t>$</w:t>
      </w:r>
      <w:r>
        <w:rPr>
          <w:sz w:val="20"/>
          <w:szCs w:val="20"/>
          <w:color w:val="auto"/>
        </w:rPr>
        <w:tab/>
      </w:r>
      <w:r>
        <w:rPr>
          <w:rFonts w:ascii="Arial" w:cs="Arial" w:eastAsia="Arial" w:hAnsi="Arial"/>
          <w:sz w:val="16"/>
          <w:szCs w:val="16"/>
          <w:color w:val="auto"/>
        </w:rPr>
        <w:t>1,724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18,179</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27, 2020</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340" w:type="dxa"/>
            <w:vAlign w:val="bottom"/>
          </w:tcPr>
          <w:p>
            <w:pPr>
              <w:spacing w:after="0"/>
              <w:rPr>
                <w:sz w:val="18"/>
                <w:szCs w:val="18"/>
                <w:color w:val="auto"/>
              </w:rPr>
            </w:pPr>
          </w:p>
        </w:tc>
        <w:tc>
          <w:tcPr>
            <w:tcW w:w="1680" w:type="dxa"/>
            <w:vAlign w:val="bottom"/>
          </w:tcPr>
          <w:p>
            <w:pPr>
              <w:jc w:val="right"/>
              <w:ind w:right="459"/>
              <w:spacing w:after="0"/>
              <w:rPr>
                <w:sz w:val="20"/>
                <w:szCs w:val="20"/>
                <w:color w:val="auto"/>
              </w:rPr>
            </w:pPr>
            <w:r>
              <w:rPr>
                <w:rFonts w:ascii="Arial" w:cs="Arial" w:eastAsia="Arial" w:hAnsi="Arial"/>
                <w:sz w:val="16"/>
                <w:szCs w:val="16"/>
                <w:b w:val="1"/>
                <w:bCs w:val="1"/>
                <w:color w:val="auto"/>
              </w:rPr>
              <w:t>June 29, 2019</w:t>
            </w:r>
          </w:p>
        </w:tc>
      </w:tr>
      <w:tr>
        <w:trPr>
          <w:trHeight w:val="33"/>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 receivables from wholesale customers, net</w:t>
            </w:r>
            <w:r>
              <w:rPr>
                <w:rFonts w:ascii="Arial" w:cs="Arial" w:eastAsia="Arial" w:hAnsi="Arial"/>
                <w:sz w:val="21"/>
                <w:szCs w:val="21"/>
                <w:color w:val="auto"/>
                <w:vertAlign w:val="superscript"/>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159,043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239,059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156,256</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Royalties receivable</w:t>
            </w:r>
          </w:p>
        </w:tc>
        <w:tc>
          <w:tcPr>
            <w:tcW w:w="34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5,371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6,982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8,469</w:t>
            </w:r>
          </w:p>
        </w:tc>
      </w:tr>
      <w:tr>
        <w:trPr>
          <w:trHeight w:val="3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12,273</w:t>
            </w:r>
          </w:p>
        </w:tc>
      </w:tr>
      <w:tr>
        <w:trPr>
          <w:trHeight w:val="217"/>
        </w:trPr>
        <w:tc>
          <w:tcPr>
            <w:tcW w:w="5080" w:type="dxa"/>
            <w:vAlign w:val="bottom"/>
          </w:tcPr>
          <w:p>
            <w:pPr>
              <w:ind w:left="40"/>
              <w:spacing w:after="0"/>
              <w:rPr>
                <w:sz w:val="20"/>
                <w:szCs w:val="20"/>
                <w:color w:val="auto"/>
              </w:rPr>
            </w:pPr>
            <w:r>
              <w:rPr>
                <w:rFonts w:ascii="Arial" w:cs="Arial" w:eastAsia="Arial" w:hAnsi="Arial"/>
                <w:sz w:val="16"/>
                <w:szCs w:val="16"/>
                <w:color w:val="auto"/>
              </w:rPr>
              <w:t>Total gross receivables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179,602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262,288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176,998</w:t>
            </w:r>
          </w:p>
        </w:tc>
      </w:tr>
      <w:tr>
        <w:trPr>
          <w:trHeight w:val="33"/>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Wholesale accounts receivable reserves</w:t>
            </w: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(11,283)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(8,822)</w:t>
            </w:r>
          </w:p>
        </w:tc>
      </w:tr>
      <w:tr>
        <w:trPr>
          <w:trHeight w:val="33"/>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r>
              <w:rPr>
                <w:rFonts w:ascii="Arial" w:cs="Arial" w:eastAsia="Arial" w:hAnsi="Arial"/>
                <w:sz w:val="21"/>
                <w:szCs w:val="21"/>
                <w:color w:val="auto"/>
                <w:vertAlign w:val="superscript"/>
              </w:rPr>
              <w: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168,176</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40" w:right="200" w:hanging="332"/>
        <w:spacing w:after="0" w:line="27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reclassified $1.7 million and $1.6 million of customer support related items from Wholesale accounts receivable reserves into Trade receivables from wholesale customers, net for the periods ended December 28, 2019 and June 29,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337"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6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27, 2020</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340" w:type="dxa"/>
            <w:vAlign w:val="bottom"/>
          </w:tcPr>
          <w:p>
            <w:pPr>
              <w:spacing w:after="0"/>
              <w:rPr>
                <w:sz w:val="18"/>
                <w:szCs w:val="18"/>
                <w:color w:val="auto"/>
              </w:rPr>
            </w:pPr>
          </w:p>
        </w:tc>
        <w:tc>
          <w:tcPr>
            <w:tcW w:w="1680" w:type="dxa"/>
            <w:vAlign w:val="bottom"/>
          </w:tcPr>
          <w:p>
            <w:pPr>
              <w:jc w:val="right"/>
              <w:ind w:right="459"/>
              <w:spacing w:after="0"/>
              <w:rPr>
                <w:sz w:val="20"/>
                <w:szCs w:val="20"/>
                <w:color w:val="auto"/>
              </w:rPr>
            </w:pPr>
            <w:r>
              <w:rPr>
                <w:rFonts w:ascii="Arial" w:cs="Arial" w:eastAsia="Arial" w:hAnsi="Arial"/>
                <w:sz w:val="16"/>
                <w:szCs w:val="16"/>
                <w:b w:val="1"/>
                <w:bCs w:val="1"/>
                <w:color w:val="auto"/>
              </w:rPr>
              <w:t>June 29, 2019</w:t>
            </w:r>
          </w:p>
        </w:tc>
      </w:tr>
      <w:tr>
        <w:trPr>
          <w:trHeight w:val="33"/>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liabilities - current:</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Unredeemed gift cards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15,667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17,563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13,804</w:t>
            </w:r>
          </w:p>
        </w:tc>
      </w:tr>
      <w:tr>
        <w:trPr>
          <w:trHeight w:val="33"/>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Unredeemed customer loyalty rewards</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5,610</w:t>
            </w:r>
          </w:p>
        </w:tc>
      </w:tr>
      <w:tr>
        <w:trPr>
          <w:trHeight w:val="27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w:t>
            </w:r>
          </w:p>
        </w:tc>
      </w:tr>
      <w:tr>
        <w:trPr>
          <w:trHeight w:val="25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20,128</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500" w:right="120" w:hanging="492"/>
        <w:spacing w:after="0" w:line="273"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Carter's credit card - upfront bonus - 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38" w:lineRule="exact"/>
        <w:rPr>
          <w:rFonts w:ascii="Arial" w:cs="Arial" w:eastAsia="Arial" w:hAnsi="Arial"/>
          <w:sz w:val="14"/>
          <w:szCs w:val="14"/>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4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June 27, 2020, the Company's finance leases were not material to the consolidated balance sheets, consolidated statements of operations, or statements of cash flows.</w:t>
      </w:r>
    </w:p>
    <w:p>
      <w:pPr>
        <w:spacing w:after="0" w:line="13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As a result of the COVID-19 pandemic, the Company suspended rent payments under the leases for our temporarily closed stores in North America. The Company has continued to recognize expense and has established an accrual for the fixed rent payments that were not made. As of June 27, 2020, the Company accrued $35.8 million in fixed rent payments. The accrued rent was included within accounts payable on the Company's consolidated balance sheets. The Company has resumed making the required rent payments under the leases for the stores that reopened as of the end of the fiscal quarter.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the second quarter and first two quarters of fiscal 2020, the Company recorded operating lease asset impairment charges totaling $3.2 million and $4.7 million, respectively related to underperforming stores primarily as a result of decreased net revenues and cash flow projections resulting from the COVID-19 disruption and other facility and office closures. See Note 11,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details on the fair value calculations for operating lease assets for the retail stores.</w:t>
      </w:r>
    </w:p>
    <w:p>
      <w:pPr>
        <w:spacing w:after="0" w:line="1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 for the second quarter and first two quarters of fiscal 2020 and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ind w:left="540"/>
              <w:spacing w:after="0"/>
              <w:rPr>
                <w:sz w:val="20"/>
                <w:szCs w:val="20"/>
                <w:color w:val="auto"/>
              </w:rPr>
            </w:pPr>
            <w:r>
              <w:rPr>
                <w:rFonts w:ascii="Arial" w:cs="Arial" w:eastAsia="Arial" w:hAnsi="Arial"/>
                <w:sz w:val="16"/>
                <w:szCs w:val="16"/>
                <w:b w:val="1"/>
                <w:bCs w:val="1"/>
                <w:color w:val="auto"/>
              </w:rPr>
              <w:t>Fiscal quarter ended</w:t>
            </w:r>
          </w:p>
        </w:tc>
        <w:tc>
          <w:tcPr>
            <w:tcW w:w="160" w:type="dxa"/>
            <w:vAlign w:val="bottom"/>
          </w:tcPr>
          <w:p>
            <w:pPr>
              <w:spacing w:after="0"/>
              <w:rPr>
                <w:sz w:val="18"/>
                <w:szCs w:val="18"/>
                <w:color w:val="auto"/>
              </w:rPr>
            </w:pPr>
          </w:p>
        </w:tc>
        <w:tc>
          <w:tcPr>
            <w:tcW w:w="26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5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27, 2020</w:t>
            </w: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 2019</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27, 2020</w:t>
            </w:r>
          </w:p>
        </w:tc>
        <w:tc>
          <w:tcPr>
            <w:tcW w:w="1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June 29, 2019</w:t>
            </w:r>
          </w:p>
        </w:tc>
      </w:tr>
      <w:tr>
        <w:trPr>
          <w:trHeight w:val="33"/>
        </w:trPr>
        <w:tc>
          <w:tcPr>
            <w:tcW w:w="5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87,907</w:t>
            </w:r>
          </w:p>
        </w:tc>
      </w:tr>
      <w:tr>
        <w:trPr>
          <w:trHeight w:val="270"/>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19,219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14,753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35,504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31,201</w:t>
            </w: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64,746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119,108</w:t>
            </w: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short-term leases, which are immaterial, and operating lease asset impairment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240" w:type="dxa"/>
            <w:vAlign w:val="bottom"/>
            <w:gridSpan w:val="3"/>
          </w:tcPr>
          <w:p>
            <w:pPr>
              <w:ind w:left="900"/>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80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8000" w:type="dxa"/>
            <w:vAlign w:val="bottom"/>
          </w:tcPr>
          <w:p>
            <w:pPr>
              <w:spacing w:after="0"/>
              <w:rPr>
                <w:sz w:val="20"/>
                <w:szCs w:val="20"/>
                <w:color w:val="auto"/>
              </w:rPr>
            </w:pPr>
          </w:p>
        </w:tc>
        <w:tc>
          <w:tcPr>
            <w:tcW w:w="1680" w:type="dxa"/>
            <w:vAlign w:val="bottom"/>
            <w:gridSpan w:val="2"/>
          </w:tcPr>
          <w:p>
            <w:pPr>
              <w:ind w:left="320"/>
              <w:spacing w:after="0"/>
              <w:rPr>
                <w:sz w:val="20"/>
                <w:szCs w:val="20"/>
                <w:color w:val="auto"/>
              </w:rPr>
            </w:pPr>
            <w:r>
              <w:rPr>
                <w:rFonts w:ascii="Arial" w:cs="Arial" w:eastAsia="Arial" w:hAnsi="Arial"/>
                <w:sz w:val="16"/>
                <w:szCs w:val="16"/>
                <w:b w:val="1"/>
                <w:bCs w:val="1"/>
                <w:color w:val="auto"/>
              </w:rPr>
              <w:t>June 27, 2020</w:t>
            </w:r>
          </w:p>
        </w:tc>
        <w:tc>
          <w:tcPr>
            <w:tcW w:w="1560" w:type="dxa"/>
            <w:vAlign w:val="bottom"/>
          </w:tcPr>
          <w:p>
            <w:pPr>
              <w:ind w:left="300"/>
              <w:spacing w:after="0"/>
              <w:rPr>
                <w:sz w:val="20"/>
                <w:szCs w:val="20"/>
                <w:color w:val="auto"/>
              </w:rPr>
            </w:pPr>
            <w:r>
              <w:rPr>
                <w:rFonts w:ascii="Arial" w:cs="Arial" w:eastAsia="Arial" w:hAnsi="Arial"/>
                <w:sz w:val="16"/>
                <w:szCs w:val="16"/>
                <w:b w:val="1"/>
                <w:bCs w:val="1"/>
                <w:color w:val="auto"/>
              </w:rPr>
              <w:t>June 29, 2019</w:t>
            </w:r>
          </w:p>
        </w:tc>
      </w:tr>
      <w:tr>
        <w:trPr>
          <w:trHeight w:val="33"/>
        </w:trPr>
        <w:tc>
          <w:tcPr>
            <w:tcW w:w="80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remaining operating lease term (years)</w:t>
            </w:r>
          </w:p>
        </w:tc>
        <w:tc>
          <w:tcPr>
            <w:tcW w:w="15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6.2</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Weighted average discount rate for operating leases</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560" w:type="dxa"/>
            <w:vAlign w:val="bottom"/>
          </w:tcPr>
          <w:p>
            <w:pPr>
              <w:jc w:val="right"/>
              <w:ind w:right="499"/>
              <w:spacing w:after="0"/>
              <w:rPr>
                <w:sz w:val="20"/>
                <w:szCs w:val="20"/>
                <w:color w:val="auto"/>
              </w:rPr>
            </w:pPr>
            <w:r>
              <w:rPr>
                <w:rFonts w:ascii="Arial" w:cs="Arial" w:eastAsia="Arial" w:hAnsi="Arial"/>
                <w:sz w:val="16"/>
                <w:szCs w:val="16"/>
                <w:color w:val="auto"/>
              </w:rPr>
              <w:t>4.45%</w:t>
            </w:r>
          </w:p>
        </w:tc>
      </w:tr>
    </w:tbl>
    <w:p>
      <w:pPr>
        <w:spacing w:after="0" w:line="200" w:lineRule="exact"/>
        <w:rPr>
          <w:sz w:val="20"/>
          <w:szCs w:val="20"/>
          <w:color w:val="auto"/>
        </w:rPr>
      </w:pPr>
    </w:p>
    <w:p>
      <w:pPr>
        <w:spacing w:after="0" w:line="2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the second quarter and first two quarters of fiscal 2020 was $47.6 million and $97.8 million, respectively. The total cash paid reflects the contractual amounts due to be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paid in cash. For the fiscal quarter ended June 27, 2020, the Company deferred cash payments of $35.8 million of these amounts, which are included in the statement of cash flows as part of the change in Accounts payable and other liabilities.</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the second quarter and two quarters of fiscal 2019 was $47.9 million and $95.2 million, respectively.</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Non-cash transactions to recognize operating assets and liabilities for the second quarter and first two quarters of fiscal 2020 were $15.8 million and $45.2 million, respectively. Non-cash transactions to recognize operating assets and liabilities for the second quarter and first two quarters of fiscal 2019 were $34.4 million and $54.4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June 27, 2020, the maturities of lease liabilities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Operating leases</w:t>
            </w:r>
          </w:p>
        </w:tc>
      </w:tr>
      <w:tr>
        <w:trPr>
          <w:trHeight w:val="33"/>
        </w:trPr>
        <w:tc>
          <w:tcPr>
            <w:tcW w:w="9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Remainder of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96,877</w:t>
            </w:r>
          </w:p>
        </w:tc>
      </w:tr>
      <w:tr>
        <w:trPr>
          <w:trHeight w:val="224"/>
        </w:trPr>
        <w:tc>
          <w:tcPr>
            <w:tcW w:w="9560" w:type="dxa"/>
            <w:vAlign w:val="bottom"/>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183,977</w:t>
            </w:r>
          </w:p>
        </w:tc>
      </w:tr>
      <w:tr>
        <w:trPr>
          <w:trHeight w:val="33"/>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157,716</w:t>
            </w:r>
          </w:p>
        </w:tc>
      </w:tr>
      <w:tr>
        <w:trPr>
          <w:trHeight w:val="223"/>
        </w:trPr>
        <w:tc>
          <w:tcPr>
            <w:tcW w:w="9560" w:type="dxa"/>
            <w:vAlign w:val="bottom"/>
          </w:tcPr>
          <w:p>
            <w:pPr>
              <w:ind w:left="4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130,122</w:t>
            </w:r>
          </w:p>
        </w:tc>
      </w:tr>
      <w:tr>
        <w:trPr>
          <w:trHeight w:val="33"/>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105,001</w:t>
            </w:r>
          </w:p>
        </w:tc>
      </w:tr>
      <w:tr>
        <w:trPr>
          <w:trHeight w:val="224"/>
        </w:trPr>
        <w:tc>
          <w:tcPr>
            <w:tcW w:w="9560" w:type="dxa"/>
            <w:vAlign w:val="bottom"/>
          </w:tcPr>
          <w:p>
            <w:pPr>
              <w:ind w:left="40"/>
              <w:spacing w:after="0"/>
              <w:rPr>
                <w:sz w:val="20"/>
                <w:szCs w:val="20"/>
                <w:color w:val="auto"/>
              </w:rPr>
            </w:pPr>
            <w:r>
              <w:rPr>
                <w:rFonts w:ascii="Arial" w:cs="Arial" w:eastAsia="Arial" w:hAnsi="Arial"/>
                <w:sz w:val="16"/>
                <w:szCs w:val="16"/>
                <w:color w:val="auto"/>
              </w:rPr>
              <w:t>After 2024</w:t>
            </w:r>
          </w:p>
        </w:tc>
        <w:tc>
          <w:tcPr>
            <w:tcW w:w="2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203,133</w:t>
            </w:r>
          </w:p>
        </w:tc>
      </w:tr>
      <w:tr>
        <w:trPr>
          <w:trHeight w:val="33"/>
        </w:trPr>
        <w:tc>
          <w:tcPr>
            <w:tcW w:w="9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876,826</w:t>
            </w:r>
          </w:p>
        </w:tc>
      </w:tr>
      <w:tr>
        <w:trPr>
          <w:trHeight w:val="224"/>
        </w:trPr>
        <w:tc>
          <w:tcPr>
            <w:tcW w:w="9560" w:type="dxa"/>
            <w:vAlign w:val="bottom"/>
          </w:tcPr>
          <w:p>
            <w:pPr>
              <w:ind w:left="40"/>
              <w:spacing w:after="0"/>
              <w:rPr>
                <w:sz w:val="20"/>
                <w:szCs w:val="20"/>
                <w:color w:val="auto"/>
              </w:rPr>
            </w:pPr>
            <w:r>
              <w:rPr>
                <w:rFonts w:ascii="Arial" w:cs="Arial" w:eastAsia="Arial" w:hAnsi="Arial"/>
                <w:sz w:val="16"/>
                <w:szCs w:val="16"/>
                <w:color w:val="auto"/>
              </w:rPr>
              <w:t>Less: Interest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(93,098)</w:t>
            </w:r>
          </w:p>
        </w:tc>
      </w:tr>
      <w:tr>
        <w:trPr>
          <w:trHeight w:val="33"/>
        </w:trPr>
        <w:tc>
          <w:tcPr>
            <w:tcW w:w="9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lease liabilities</w:t>
            </w:r>
            <w:r>
              <w:rPr>
                <w:rFonts w:ascii="Arial" w:cs="Arial" w:eastAsia="Arial" w:hAnsi="Arial"/>
                <w:sz w:val="21"/>
                <w:szCs w:val="21"/>
                <w:color w:val="auto"/>
                <w:vertAlign w:val="superscript"/>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783,728</w:t>
            </w:r>
          </w:p>
        </w:tc>
      </w:tr>
      <w:tr>
        <w:trPr>
          <w:trHeight w:val="20"/>
        </w:trPr>
        <w:tc>
          <w:tcPr>
            <w:tcW w:w="9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28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 We used the incremental borrowing rate on December 30, 2018, for operating leases that commenced prior to that date.</w:t>
      </w:r>
    </w:p>
    <w:p>
      <w:pPr>
        <w:spacing w:after="0" w:line="13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June 27, 2020, the minimum rental commitments for additional operating lease contracts that have not yet commenced, primarily for retail stores, are $12.6 million. These operating leases will commence between fiscal year 2020 and fiscal year 2023 with lease terms of 6 years to 10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27, 2020</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300" w:type="dxa"/>
            <w:vAlign w:val="bottom"/>
          </w:tcPr>
          <w:p>
            <w:pPr>
              <w:spacing w:after="0"/>
              <w:rPr>
                <w:sz w:val="18"/>
                <w:szCs w:val="18"/>
                <w:color w:val="auto"/>
              </w:rPr>
            </w:pPr>
          </w:p>
        </w:tc>
        <w:tc>
          <w:tcPr>
            <w:tcW w:w="160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29, 2019</w:t>
            </w:r>
          </w:p>
        </w:tc>
      </w:tr>
      <w:tr>
        <w:trPr>
          <w:trHeight w:val="33"/>
        </w:trPr>
        <w:tc>
          <w:tcPr>
            <w:tcW w:w="5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foreign currency translation adjustments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(27,186)</w:t>
            </w:r>
          </w:p>
        </w:tc>
      </w:tr>
      <w:tr>
        <w:trPr>
          <w:trHeight w:val="270"/>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Pension and post-retirement obligations</w:t>
            </w:r>
            <w:r>
              <w:rPr>
                <w:rFonts w:ascii="Arial" w:cs="Arial" w:eastAsia="Arial" w:hAnsi="Arial"/>
                <w:sz w:val="21"/>
                <w:szCs w:val="21"/>
                <w:color w:val="auto"/>
                <w:vertAlign w:val="superscript"/>
              </w:rPr>
              <w:t>(*)</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(9,375)</w:t>
            </w:r>
          </w:p>
        </w:tc>
      </w:tr>
      <w:tr>
        <w:trPr>
          <w:trHeight w:val="244"/>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accumulated other 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(36,561)</w:t>
            </w:r>
          </w:p>
        </w:tc>
      </w:tr>
      <w:tr>
        <w:trPr>
          <w:trHeight w:val="20"/>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income taxes of $2.8 million, $2.8 million, and $2.9 million for the period ended June 27, 2020, December 28, 2019, and June 29, 2019, respectively.</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first two quarters of both fiscal 2020 and fiscal 2019, no amounts were reclassified from Accumulated other comprehensive loss to the statement of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37" w:right="339" w:bottom="1440" w:gutter="0" w:footer="0" w:header="0"/>
        </w:sectPr>
      </w:pPr>
    </w:p>
    <w:bookmarkStart w:id="14" w:name="page15"/>
    <w:bookmarkEnd w:id="14"/>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changes in the carrying amount of goodwill attributable to each segment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U.S. Wholesale</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Foreign currency impact</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1,759</w:t>
            </w: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29, 2019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70,472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228,860</w:t>
            </w: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28, 2019</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229,026</w:t>
            </w:r>
          </w:p>
        </w:tc>
      </w:tr>
      <w:tr>
        <w:trPr>
          <w:trHeight w:val="270"/>
        </w:trPr>
        <w:tc>
          <w:tcPr>
            <w:tcW w:w="5400" w:type="dxa"/>
            <w:vAlign w:val="bottom"/>
          </w:tcPr>
          <w:p>
            <w:pPr>
              <w:ind w:left="40"/>
              <w:spacing w:after="0"/>
              <w:rPr>
                <w:sz w:val="20"/>
                <w:szCs w:val="20"/>
                <w:color w:val="auto"/>
              </w:rPr>
            </w:pPr>
            <w:r>
              <w:rPr>
                <w:rFonts w:ascii="Arial" w:cs="Arial" w:eastAsia="Arial" w:hAnsi="Arial"/>
                <w:sz w:val="16"/>
                <w:szCs w:val="16"/>
                <w:color w:val="auto"/>
              </w:rPr>
              <w:t>Goodwill impairment</w:t>
            </w:r>
            <w:r>
              <w:rPr>
                <w:rFonts w:ascii="Arial" w:cs="Arial" w:eastAsia="Arial" w:hAnsi="Arial"/>
                <w:sz w:val="21"/>
                <w:szCs w:val="21"/>
                <w:color w:val="auto"/>
                <w:vertAlign w:val="superscript"/>
              </w:rPr>
              <w:t>(*)</w:t>
            </w:r>
          </w:p>
        </w:tc>
        <w:tc>
          <w:tcPr>
            <w:tcW w:w="2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(17,742)</w:t>
            </w: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impact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(2,711)</w:t>
            </w:r>
          </w:p>
        </w:tc>
      </w:tr>
      <w:tr>
        <w:trPr>
          <w:trHeight w:val="244"/>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Balance at June 27, 2020</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50,185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208,573</w:t>
            </w: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500" w:right="280" w:hanging="492"/>
        <w:spacing w:after="0" w:line="273"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first quarter of fiscal 2020, a charge of $17.7 million was recorded to reflect the impairment of the value ascribed to the goodwill in the Other International reporting unit in the International segment.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value of the Company's intangible assets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27, 2020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28, 2019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average useful</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w:t>
            </w: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auto"/>
              </w:rPr>
              <w:t>Gross amount</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Net amount</w:t>
            </w:r>
          </w:p>
        </w:tc>
        <w:tc>
          <w:tcPr>
            <w:tcW w:w="16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Carter's tradename</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220,233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color w:val="auto"/>
              </w:rPr>
              <w:t>OshKosh tradename</w:t>
            </w:r>
            <w:r>
              <w:rPr>
                <w:rFonts w:ascii="Arial" w:cs="Arial" w:eastAsia="Arial" w:hAnsi="Arial"/>
                <w:sz w:val="21"/>
                <w:szCs w:val="21"/>
                <w:color w:val="auto"/>
                <w:vertAlign w:val="superscript"/>
              </w:rPr>
              <w:t>(1)</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4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70,000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Skip Hop tradename</w:t>
            </w:r>
            <w:r>
              <w:rPr>
                <w:rFonts w:ascii="Arial" w:cs="Arial" w:eastAsia="Arial" w:hAnsi="Arial"/>
                <w:sz w:val="21"/>
                <w:szCs w:val="21"/>
                <w:color w:val="auto"/>
                <w:vertAlign w:val="superscript"/>
              </w:rPr>
              <w:t>(2)</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Finite-life tradenames</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5-20 years</w:t>
            </w:r>
          </w:p>
        </w:tc>
        <w:tc>
          <w:tcPr>
            <w:tcW w:w="2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2,784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2,909</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309,144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308,017</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335,644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334,642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15 years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37,055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38,643</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w w:val="95"/>
              </w:rPr>
              <w:t>Carter's Mexico customer relationships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10 years</w:t>
            </w:r>
          </w:p>
        </w:tc>
        <w:tc>
          <w:tcPr>
            <w:tcW w:w="2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2,814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50,114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11,164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38,950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41,126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500" w:right="560" w:hanging="492"/>
        <w:spacing w:after="0" w:line="273"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$13.6 million, $1.6 million, and $0.3 million was recorded on our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 in the U.S. Retail, U.S. Wholesale, and International segments, respectively, to reflect the impairment of the value ascribed to the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w:t>
      </w:r>
    </w:p>
    <w:p>
      <w:pPr>
        <w:spacing w:after="0" w:line="38" w:lineRule="exact"/>
        <w:rPr>
          <w:rFonts w:ascii="Arial" w:cs="Arial" w:eastAsia="Arial" w:hAnsi="Arial"/>
          <w:sz w:val="14"/>
          <w:szCs w:val="14"/>
          <w:color w:val="auto"/>
        </w:rPr>
      </w:pPr>
    </w:p>
    <w:p>
      <w:pPr>
        <w:ind w:left="500" w:right="220" w:hanging="492"/>
        <w:spacing w:after="0" w:line="257"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$6.8 million, $3.7 million, and $0.5 million was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Fiscal 2019 includes a tradename impairment charge of $30.8 million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29, 2019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58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586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0"/>
        </w:trPr>
        <w:tc>
          <w:tcPr>
            <w:tcW w:w="58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useful life</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r>
      <w:tr>
        <w:trPr>
          <w:trHeight w:val="33"/>
        </w:trPr>
        <w:tc>
          <w:tcPr>
            <w:tcW w:w="58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5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tradename</w:t>
            </w: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r>
      <w:tr>
        <w:trPr>
          <w:trHeight w:val="237"/>
        </w:trPr>
        <w:tc>
          <w:tcPr>
            <w:tcW w:w="5860" w:type="dxa"/>
            <w:vAlign w:val="bottom"/>
          </w:tcPr>
          <w:p>
            <w:pPr>
              <w:ind w:left="60"/>
              <w:spacing w:after="0"/>
              <w:rPr>
                <w:sz w:val="20"/>
                <w:szCs w:val="20"/>
                <w:color w:val="auto"/>
              </w:rPr>
            </w:pPr>
            <w:r>
              <w:rPr>
                <w:rFonts w:ascii="Arial" w:cs="Arial" w:eastAsia="Arial" w:hAnsi="Arial"/>
                <w:sz w:val="16"/>
                <w:szCs w:val="16"/>
                <w:color w:val="auto"/>
              </w:rPr>
              <w:t>OshKosh tradename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Indefinite</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r>
      <w:tr>
        <w:trPr>
          <w:trHeight w:val="33"/>
        </w:trPr>
        <w:tc>
          <w:tcPr>
            <w:tcW w:w="5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Skip Hop tradename</w:t>
            </w: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r>
      <w:tr>
        <w:trPr>
          <w:trHeight w:val="237"/>
        </w:trPr>
        <w:tc>
          <w:tcPr>
            <w:tcW w:w="5860" w:type="dxa"/>
            <w:vAlign w:val="bottom"/>
          </w:tcPr>
          <w:p>
            <w:pPr>
              <w:ind w:left="60"/>
              <w:spacing w:after="0"/>
              <w:rPr>
                <w:sz w:val="20"/>
                <w:szCs w:val="20"/>
                <w:color w:val="auto"/>
              </w:rPr>
            </w:pPr>
            <w:r>
              <w:rPr>
                <w:rFonts w:ascii="Arial" w:cs="Arial" w:eastAsia="Arial" w:hAnsi="Arial"/>
                <w:sz w:val="16"/>
                <w:szCs w:val="16"/>
                <w:color w:val="auto"/>
              </w:rPr>
              <w:t>Finite-life tradenames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5-20 years</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3,034</w:t>
            </w:r>
          </w:p>
        </w:tc>
      </w:tr>
      <w:tr>
        <w:trPr>
          <w:trHeight w:val="33"/>
        </w:trPr>
        <w:tc>
          <w:tcPr>
            <w:tcW w:w="58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366,444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365,567</w:t>
            </w:r>
          </w:p>
        </w:tc>
      </w:tr>
      <w:tr>
        <w:trPr>
          <w:trHeight w:val="20"/>
        </w:trPr>
        <w:tc>
          <w:tcPr>
            <w:tcW w:w="5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8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15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40,232</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Carter's Mexico customer relationships</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10 years</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2,593</w:t>
            </w:r>
          </w:p>
        </w:tc>
      </w:tr>
      <w:tr>
        <w:trPr>
          <w:trHeight w:val="33"/>
        </w:trPr>
        <w:tc>
          <w:tcPr>
            <w:tcW w:w="58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42,825</w:t>
            </w:r>
          </w:p>
        </w:tc>
      </w:tr>
      <w:tr>
        <w:trPr>
          <w:trHeight w:val="20"/>
        </w:trPr>
        <w:tc>
          <w:tcPr>
            <w:tcW w:w="5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Due to the decrease in the Company's market capitalization, lower than</w:t>
      </w:r>
    </w:p>
    <w:p>
      <w:pPr>
        <w:sectPr>
          <w:pgSz w:w="11900" w:h="16838" w:orient="portrait"/>
          <w:cols w:equalWidth="0" w:num="1">
            <w:col w:w="11240"/>
          </w:cols>
          <w:pgMar w:left="320" w:top="337" w:right="33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337"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expected actual sales, and lower projected sales and profitability, primarily due to the impacts from the outbreak of COVID-19, the Company concluded that impairment indicators existed for the first quarter of fiscal 2020. As a result, during the first quarter of fiscal 2020, the Company conducted interim quantitative impairment assessments of the goodwill ascribed to the Other International reporting unit recorded in connection with the allocation of goodwill to the newly created International segment as a result of the acquisition of Bonnie Togs in 2011 and on the value of the Company's indefinite-lived </w:t>
      </w:r>
      <w:r>
        <w:rPr>
          <w:rFonts w:ascii="Arial" w:cs="Arial" w:eastAsia="Arial" w:hAnsi="Arial"/>
          <w:sz w:val="18"/>
          <w:szCs w:val="18"/>
          <w:i w:val="1"/>
          <w:iCs w:val="1"/>
          <w:color w:val="auto"/>
        </w:rPr>
        <w:t xml:space="preserve">OshKosh </w:t>
      </w:r>
      <w:r>
        <w:rPr>
          <w:rFonts w:ascii="Arial" w:cs="Arial" w:eastAsia="Arial" w:hAnsi="Arial"/>
          <w:sz w:val="18"/>
          <w:szCs w:val="18"/>
          <w:color w:val="auto"/>
        </w:rPr>
        <w:t>and</w:t>
      </w:r>
      <w:r>
        <w:rPr>
          <w:rFonts w:ascii="Arial" w:cs="Arial" w:eastAsia="Arial" w:hAnsi="Arial"/>
          <w:sz w:val="18"/>
          <w:szCs w:val="18"/>
          <w:i w:val="1"/>
          <w:iCs w:val="1"/>
          <w:color w:val="auto"/>
        </w:rPr>
        <w:t xml:space="preserve"> Skip Hop </w:t>
      </w:r>
      <w:r>
        <w:rPr>
          <w:rFonts w:ascii="Arial" w:cs="Arial" w:eastAsia="Arial" w:hAnsi="Arial"/>
          <w:sz w:val="18"/>
          <w:szCs w:val="18"/>
          <w:color w:val="auto"/>
        </w:rPr>
        <w:t>tradename assets that was recorded in connection with the acquisition of OshKosh B'Gosh Inc. in July 2005 and Skip Hop</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in February 2017, respectively.</w:t>
      </w:r>
    </w:p>
    <w:p>
      <w:pPr>
        <w:spacing w:after="0" w:line="1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goodwill impairment assessment for the Other International reporting unit was performed in accordance with ASC 350, "Intangibles--Goodwill and Other" ("ASC 350") and compares the carrying value of the Other International reporting unit to its fair value. Consistent with prior practice, the fair value of the Other International reporting unit was determined using discounted cash flows ("income approach") and relevant data from guideline public companies ("market approach"). As a result of this assessment, a goodwill impairment charge of $17.7 million was recorded to our Other International reporting unit in the International segment during the first quarter of fiscal 2020. The goodwill impairment charge recorded on our Other International reporting unit during the first quarter of fiscal 2020 included charges of $9.4 million, $5.2 million, and $3.1 million to Skip Hop, Carter's, and Carter's Mexico goodwill, respectively.</w:t>
      </w:r>
    </w:p>
    <w:p>
      <w:pPr>
        <w:spacing w:after="0" w:line="15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charges of $15.5 million and $11.0 million were recorded during the first quarter of fiscal 2020 on our indefinite-lived </w:t>
      </w:r>
      <w:r>
        <w:rPr>
          <w:rFonts w:ascii="Arial" w:cs="Arial" w:eastAsia="Arial" w:hAnsi="Arial"/>
          <w:sz w:val="17"/>
          <w:szCs w:val="17"/>
          <w:i w:val="1"/>
          <w:iCs w:val="1"/>
          <w:color w:val="auto"/>
        </w:rPr>
        <w:t xml:space="preserve">OshKosh </w:t>
      </w:r>
      <w:r>
        <w:rPr>
          <w:rFonts w:ascii="Arial" w:cs="Arial" w:eastAsia="Arial" w:hAnsi="Arial"/>
          <w:sz w:val="17"/>
          <w:szCs w:val="17"/>
          <w:color w:val="auto"/>
        </w:rPr>
        <w:t>and</w:t>
      </w:r>
      <w:r>
        <w:rPr>
          <w:rFonts w:ascii="Arial" w:cs="Arial" w:eastAsia="Arial" w:hAnsi="Arial"/>
          <w:sz w:val="17"/>
          <w:szCs w:val="17"/>
          <w:i w:val="1"/>
          <w:iCs w:val="1"/>
          <w:color w:val="auto"/>
        </w:rPr>
        <w:t xml:space="preserve"> Skip Hop </w:t>
      </w:r>
      <w:r>
        <w:rPr>
          <w:rFonts w:ascii="Arial" w:cs="Arial" w:eastAsia="Arial" w:hAnsi="Arial"/>
          <w:sz w:val="17"/>
          <w:szCs w:val="17"/>
          <w:color w:val="auto"/>
        </w:rPr>
        <w:t>tradename assets, respectively. The charge recorded during the first quarter of fiscal 2020 on our indefinite-lived</w:t>
      </w:r>
      <w:r>
        <w:rPr>
          <w:rFonts w:ascii="Arial" w:cs="Arial" w:eastAsia="Arial" w:hAnsi="Arial"/>
          <w:sz w:val="17"/>
          <w:szCs w:val="17"/>
          <w:i w:val="1"/>
          <w:iCs w:val="1"/>
          <w:color w:val="auto"/>
        </w:rPr>
        <w:t xml:space="preserve"> OshKosh </w:t>
      </w:r>
      <w:r>
        <w:rPr>
          <w:rFonts w:ascii="Arial" w:cs="Arial" w:eastAsia="Arial" w:hAnsi="Arial"/>
          <w:sz w:val="17"/>
          <w:szCs w:val="17"/>
          <w:color w:val="auto"/>
        </w:rPr>
        <w:t xml:space="preserve">tradename asset included charges of $13.6 million, $1.6 million, and $0.3 million in the U.S. Retail, U.S. Wholesale, and International segments, respectively, to reflect the impairment of the value ascribed to the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The charge recorded on our indefinite-lived </w:t>
      </w:r>
      <w:r>
        <w:rPr>
          <w:rFonts w:ascii="Arial" w:cs="Arial" w:eastAsia="Arial" w:hAnsi="Arial"/>
          <w:sz w:val="17"/>
          <w:szCs w:val="17"/>
          <w:i w:val="1"/>
          <w:iCs w:val="1"/>
          <w:color w:val="auto"/>
        </w:rPr>
        <w:t xml:space="preserve">Skip Hop </w:t>
      </w:r>
      <w:r>
        <w:rPr>
          <w:rFonts w:ascii="Arial" w:cs="Arial" w:eastAsia="Arial" w:hAnsi="Arial"/>
          <w:sz w:val="17"/>
          <w:szCs w:val="17"/>
          <w:color w:val="auto"/>
        </w:rPr>
        <w:t>tradename asset during the first quarter of fiscal 2020 included charges of $6.8 million, $3.7 million, and $0.5 million in the U.S. Wholesale,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carrying values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after the impairment charges and as of June 27, 2020 were $70.0 million and $15.0 million, respectively.</w:t>
      </w:r>
    </w:p>
    <w:p>
      <w:pPr>
        <w:spacing w:after="0" w:line="14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were no impairments of goodwill or indefinite-lived or indefinite-lived intangible assets during the second quarter of fiscal 2020. Although the Company determined that no further impairment exists for the Company's other goodwill or indefinite-lived or definite-lived intangible assets, these assets could be at risk for impairment should global economic conditions continue to deteriorate as a result of COVID-19.</w:t>
      </w:r>
    </w:p>
    <w:p>
      <w:pPr>
        <w:spacing w:after="0" w:line="1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Amortization expense for intangible assets subject to amortization was approximately $0.9 million for both second fiscal quarters ended June 27, 2020 and June 29, 2019. Amortization expense was approximately $1.9 million for each of the first two quarters of fiscal 2020 and for the first two quarters of fiscal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Amortization</w:t>
            </w:r>
          </w:p>
        </w:tc>
      </w:tr>
      <w:tr>
        <w:trPr>
          <w:trHeight w:val="210"/>
        </w:trPr>
        <w:tc>
          <w:tcPr>
            <w:tcW w:w="97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b w:val="1"/>
                <w:bCs w:val="1"/>
                <w:color w:val="auto"/>
              </w:rPr>
              <w:t>expense</w:t>
            </w:r>
          </w:p>
        </w:tc>
      </w:tr>
      <w:tr>
        <w:trPr>
          <w:trHeight w:val="33"/>
        </w:trPr>
        <w:tc>
          <w:tcPr>
            <w:tcW w:w="9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3,694</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3,694</w:t>
            </w:r>
          </w:p>
        </w:tc>
      </w:tr>
      <w:tr>
        <w:trPr>
          <w:trHeight w:val="33"/>
        </w:trPr>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3,652</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2024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3,622</w:t>
            </w:r>
          </w:p>
        </w:tc>
      </w:tr>
      <w:tr>
        <w:trPr>
          <w:trHeight w:val="33"/>
        </w:trPr>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3,622</w:t>
            </w:r>
          </w:p>
        </w:tc>
      </w:tr>
      <w:tr>
        <w:trPr>
          <w:trHeight w:val="33"/>
        </w:trPr>
        <w:tc>
          <w:tcPr>
            <w:tcW w:w="9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June 27, 2020 was approximately $650.4 million, based on settled repurchase transactions. The authorizations have no expiration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3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5"/>
          </w:tcPr>
          <w:p>
            <w:pPr>
              <w:ind w:left="640"/>
              <w:spacing w:after="0"/>
              <w:rPr>
                <w:sz w:val="20"/>
                <w:szCs w:val="20"/>
                <w:color w:val="auto"/>
              </w:rPr>
            </w:pPr>
            <w:r>
              <w:rPr>
                <w:rFonts w:ascii="Arial" w:cs="Arial" w:eastAsia="Arial" w:hAnsi="Arial"/>
                <w:sz w:val="16"/>
                <w:szCs w:val="16"/>
                <w:b w:val="1"/>
                <w:bCs w:val="1"/>
                <w:color w:val="auto"/>
              </w:rPr>
              <w:t>Fiscal quarter ended</w:t>
            </w:r>
          </w:p>
        </w:tc>
        <w:tc>
          <w:tcPr>
            <w:tcW w:w="180" w:type="dxa"/>
            <w:vAlign w:val="bottom"/>
          </w:tcPr>
          <w:p>
            <w:pPr>
              <w:spacing w:after="0"/>
              <w:rPr>
                <w:sz w:val="18"/>
                <w:szCs w:val="18"/>
                <w:color w:val="auto"/>
              </w:rPr>
            </w:pPr>
          </w:p>
        </w:tc>
        <w:tc>
          <w:tcPr>
            <w:tcW w:w="28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Two fiscal quarters ended</w:t>
            </w:r>
          </w:p>
        </w:tc>
      </w:tr>
      <w:tr>
        <w:trPr>
          <w:trHeight w:val="46"/>
        </w:trPr>
        <w:tc>
          <w:tcPr>
            <w:tcW w:w="50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27, 2020</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29, 2019</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27, 2020</w:t>
            </w:r>
          </w:p>
        </w:tc>
        <w:tc>
          <w:tcPr>
            <w:tcW w:w="180" w:type="dxa"/>
            <w:vAlign w:val="bottom"/>
          </w:tcPr>
          <w:p>
            <w:pPr>
              <w:spacing w:after="0"/>
              <w:rPr>
                <w:sz w:val="20"/>
                <w:szCs w:val="20"/>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June 29, 2019</w:t>
            </w:r>
          </w:p>
        </w:tc>
      </w:tr>
      <w:tr>
        <w:trPr>
          <w:trHeight w:val="33"/>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repurchased</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545,620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474,684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1,005,877</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Aggregate cost of shares repurchased (dollars in thousands)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52,477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45,255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92,443</w:t>
            </w:r>
          </w:p>
        </w:tc>
      </w:tr>
      <w:tr>
        <w:trPr>
          <w:trHeight w:val="33"/>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95.34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91.90</w:t>
            </w:r>
          </w:p>
        </w:tc>
      </w:tr>
      <w:tr>
        <w:trPr>
          <w:trHeight w:val="33"/>
        </w:trPr>
        <w:tc>
          <w:tcPr>
            <w:tcW w:w="5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26, 2020, the Company announced, that in connection with the COVID-19 pandemic, it suspended its common stock share repurchase program. The timing and amount of any future repurchases will be determined by the Company based on its evaluation of market conditions, share price, other investment priorities, and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the first fiscal quarter ended March 28, 2020, the Company declared and paid cash dividends per share of $0.60. On May 1, 2020, in connection with the COVID-19 pandemic, the Company suspended its quarterly cash dividend. As a result, the Company did not declare or pay cash dividends in the second fiscal quarter ended June 27, 2020. The Board of Directors will evaluate future dividend declarations based on a number of factors, including business conditions, the Company's financial performance, and other considerations. In the second fiscal quarter and two fiscal quarters ended June 29, 2019, the Company declared and paid cash dividends per share of $0.50 and $1.00, respectively.</w:t>
      </w:r>
    </w:p>
    <w:p>
      <w:pPr>
        <w:spacing w:after="0" w:line="13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Provisions in the Company's secured revolving credit facility have the effect of restricting the Company's ability to pay cash dividends on, or make future repurchases of, its common stock through the date the Company delivers its financial statements and associated certificates relating to the third fiscal quarter of 2021, and could have the effect of restricting the Company's ability to do so thereafter, as described in the Company's Annual Report on Form 10-K for the 2019 fiscal year ended December 28, 2019, and in Note 8, </w:t>
      </w:r>
      <w:r>
        <w:rPr>
          <w:rFonts w:ascii="Arial" w:cs="Arial" w:eastAsia="Arial" w:hAnsi="Arial"/>
          <w:sz w:val="17"/>
          <w:szCs w:val="17"/>
          <w:i w:val="1"/>
          <w:iCs w:val="1"/>
          <w:color w:val="auto"/>
        </w:rPr>
        <w:t>Long-Term Debt</w:t>
      </w:r>
      <w:r>
        <w:rPr>
          <w:rFonts w:ascii="Arial" w:cs="Arial" w:eastAsia="Arial" w:hAnsi="Arial"/>
          <w:sz w:val="17"/>
          <w:szCs w:val="17"/>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27, 2020</w:t>
            </w:r>
          </w:p>
        </w:tc>
        <w:tc>
          <w:tcPr>
            <w:tcW w:w="18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28, 2019</w:t>
            </w:r>
          </w:p>
        </w:tc>
        <w:tc>
          <w:tcPr>
            <w:tcW w:w="300" w:type="dxa"/>
            <w:vAlign w:val="bottom"/>
          </w:tcPr>
          <w:p>
            <w:pPr>
              <w:spacing w:after="0"/>
              <w:rPr>
                <w:sz w:val="18"/>
                <w:szCs w:val="18"/>
                <w:color w:val="auto"/>
              </w:rPr>
            </w:pPr>
          </w:p>
        </w:tc>
        <w:tc>
          <w:tcPr>
            <w:tcW w:w="160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29, 2019</w:t>
            </w:r>
          </w:p>
        </w:tc>
      </w:tr>
      <w:tr>
        <w:trPr>
          <w:trHeight w:val="3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5.500% Senior Notes due 2025</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5.625% Senior Notes due 2027</w:t>
            </w:r>
          </w:p>
        </w:tc>
        <w:tc>
          <w:tcPr>
            <w:tcW w:w="2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500,000</w:t>
            </w:r>
          </w:p>
        </w:tc>
      </w:tr>
      <w:tr>
        <w:trPr>
          <w:trHeight w:val="3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at amounts repayable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Less unamortized issuance-related costs for senior notes</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(11,351)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(5,623)</w:t>
            </w:r>
          </w:p>
        </w:tc>
      </w:tr>
      <w:tr>
        <w:trPr>
          <w:trHeight w:val="3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net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988,649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494,672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494,377</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Secured revolving credit facility</w:t>
            </w:r>
          </w:p>
        </w:tc>
        <w:tc>
          <w:tcPr>
            <w:tcW w:w="2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244,000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110,000</w:t>
            </w:r>
          </w:p>
        </w:tc>
      </w:tr>
      <w:tr>
        <w:trPr>
          <w:trHeight w:val="3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long-term debt, net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1,232,649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594,672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604,377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To improve the Company's cash position in light of the uncertainty and disruption related to COVID-19, the Company drew $639.0 million under its secured revolving credit facility in the month of March 2020, and in May 2020 repaid a portion of the outstanding borrowings with the net proceeds of a new $500 million senior notes offering, as discussed below, and cash on hand. As of June 27, 2020, the Company had $244.0 million in outstanding borrowings under its secured revolving credit facility, exclusive of $5.0 million of outstanding letters of credit. As of June 27, 2020, approximately $501.0 million was available for future borrowing. All outstanding borrowings under the Company's secured revolving credit facility are classified as non-current liabilities on the Company's consolidated balance sheets because of the contractual repayment terms under the credit facility.</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May 4, 2020, the Company, through its wholly owned subsidiary, The William Carter Company ("TWCC"), entered into Amendment No.2 ("Amendment") to its fourth amended and restated credit agreement. This Amendment provided for, among other things, a waiver of financial covenants through the balance of fiscal year 2020, revised covenant requirements through the third quarter of fiscal year 2021 and the ability to raise additional unsecured financing, at the Company’s discretion.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37"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Among other things, the Amendment provides that the Consolidated Fixed Charge Coverage Ratio and Lease Adjusted Leverage Ratio covenants, in each case, as defined in the Amendment, are waived during the period from and including the second fiscal quarter of 2020 through and including the fourth fiscal quarter of 2020. Thereafter, the Lease Adjusted Leverage Ratio is set at 5.50:1.00 for the first fiscal quarter of 2021 and, during the remainder of 2021, gradually steps down to 4.00:1.00 for the fourth fiscal quarter of 2021 and, subject to the consummation of a Material Acquisition (as defined in the Amendment), thereafter. The Consolidated Fixed Charge Coverage Ratio is set at 1.25:1.00 for the first fiscal quarter of 2021 and, during the remainder of 2021 and, gradually steps back up to 1.85:1.00 for the fourth fiscal quarter of 2021 and, subject to the consummation of a Material Acquisition, thereafter.</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 Amendment provides that during the period from May 4, 2020 through the date the Company delivers its financial statements and associated certificates relating to the third fiscal quarter of 2021, the Company must maintain a minimum liquidity (defined as cash-on-hand plus availability under its secured revolving credit facility) on the last day of each fiscal month of at least $700 million. Also, during this period, the availability of certain exceptions to the lien, investment, indebtedness, and restricted payment negative covenants (including those related to dividend payments and share repurchases) are limited or removed, and any incremental credit extensions and the possibility of a collateral and covenant release periods are suspended.</w:t>
      </w:r>
    </w:p>
    <w:p>
      <w:pPr>
        <w:spacing w:after="0" w:line="1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Additionally, the Amendment provides that, among other things during the period from May 4, 2020 through the date the Company delivers its financial statements and associated certificates relating to the third quarter of fiscal 2021, interest rate margins applicable to the secured revolving credit facility will increase to 2.125% for LIBOR rate loans (which may be adjusted based on a leverage-based pricing grid ranging from 1.125% to 2.375%) and 1.125% for base rate loans (which may be adjusted based on a leverage-based pricing grid ranging from 0.125% to 1.375%). The Amendment also provides for a commitment fee initially equal to 0.35% per annum and ranging from 0.15% per annum to 0.40% per annum, based upon a leverage-based pricing grid, which is payable quarterly in arrears with respect to the average daily unused portion of the revolving loan commitments.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Approximately $1.2 million, including both bank fees and other third party expenses, has been capitalized in connection with the amendment and is being amortized over the remaining term of the secured revolving credit facility.</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interest rate margins applicable to our secured revolving credit facility as of June 27, 2020 were 2.125% for LIBOR rate loans and 1.125% for base rate loans.</w:t>
      </w:r>
    </w:p>
    <w:p>
      <w:pPr>
        <w:spacing w:after="0" w:line="13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As of June 27, 2020, U.S. dollar borrowings outstanding under the secured revolving credit facility accrued interest at a LIBOR rate plus the applicable margin, which resulted in a weighted-average borrowing rate of 3.13%. There were no foreign currency borrowings outstanding on June 27, 2020.</w:t>
      </w:r>
    </w:p>
    <w:p>
      <w:pPr>
        <w:spacing w:after="0" w:line="83" w:lineRule="exact"/>
        <w:rPr>
          <w:sz w:val="20"/>
          <w:szCs w:val="20"/>
          <w:color w:val="auto"/>
        </w:rPr>
      </w:pPr>
    </w:p>
    <w:p>
      <w:pPr>
        <w:ind w:right="1460"/>
        <w:spacing w:after="0" w:line="399" w:lineRule="auto"/>
        <w:rPr>
          <w:sz w:val="20"/>
          <w:szCs w:val="20"/>
          <w:color w:val="auto"/>
        </w:rPr>
      </w:pPr>
      <w:r>
        <w:rPr>
          <w:rFonts w:ascii="Arial" w:cs="Arial" w:eastAsia="Arial" w:hAnsi="Arial"/>
          <w:sz w:val="18"/>
          <w:szCs w:val="18"/>
          <w:color w:val="auto"/>
        </w:rPr>
        <w:t xml:space="preserve">As of June 27, 2020, the Company was in compliance with the financial and other covenants under the secured revolving credit facility. </w:t>
      </w:r>
      <w:r>
        <w:rPr>
          <w:rFonts w:ascii="Arial" w:cs="Arial" w:eastAsia="Arial" w:hAnsi="Arial"/>
          <w:sz w:val="18"/>
          <w:szCs w:val="18"/>
          <w:b w:val="1"/>
          <w:bCs w:val="1"/>
          <w:color w:val="auto"/>
        </w:rPr>
        <w:t>Senior Notes</w:t>
      </w:r>
    </w:p>
    <w:p>
      <w:pPr>
        <w:spacing w:after="0" w:line="257" w:lineRule="auto"/>
        <w:rPr>
          <w:sz w:val="20"/>
          <w:szCs w:val="20"/>
          <w:color w:val="auto"/>
        </w:rPr>
      </w:pPr>
      <w:r>
        <w:rPr>
          <w:rFonts w:ascii="Arial" w:cs="Arial" w:eastAsia="Arial" w:hAnsi="Arial"/>
          <w:sz w:val="18"/>
          <w:szCs w:val="18"/>
          <w:color w:val="auto"/>
        </w:rPr>
        <w:t>On May 11, 2020, TWCC issued $500 million principal amount of senior notes at par, bearing interest at a rate of 5.500% per annum, and maturing on May 15, 2025, all of which were outstanding as of June 27, 2020. TWCC received net proceeds from the offering of the senior notes of approximately $494.5 million, after deducting underwriting fees, which TWCC used to repay borrowings outstanding under the Company's secured revolving credit facility. Approximately $6.5 million, including both bank fees and other third party expenses, has been capitalized in connection with the issuance and is being amortized over the term of the senior notes.</w:t>
      </w:r>
    </w:p>
    <w:p>
      <w:pPr>
        <w:spacing w:after="0" w:line="5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as of June 27, 2020, the Company had outstanding $500 million principal amount of senior notes at par, bearing interest at a rate of 5.625% per annum, and maturing on March 15, 2027.</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337" w:right="359" w:bottom="1440" w:gutter="0" w:footer="0" w:header="0"/>
        </w:sectPr>
      </w:pPr>
    </w:p>
    <w:bookmarkStart w:id="18" w:name="page19"/>
    <w:bookmarkEnd w:id="18"/>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5"/>
          </w:tcPr>
          <w:p>
            <w:pPr>
              <w:ind w:left="700"/>
              <w:spacing w:after="0"/>
              <w:rPr>
                <w:sz w:val="20"/>
                <w:szCs w:val="20"/>
                <w:color w:val="auto"/>
              </w:rPr>
            </w:pPr>
            <w:r>
              <w:rPr>
                <w:rFonts w:ascii="Arial" w:cs="Arial" w:eastAsia="Arial" w:hAnsi="Arial"/>
                <w:sz w:val="16"/>
                <w:szCs w:val="16"/>
                <w:b w:val="1"/>
                <w:bCs w:val="1"/>
                <w:color w:val="auto"/>
              </w:rPr>
              <w:t>Fiscal quarter ended</w:t>
            </w:r>
          </w:p>
        </w:tc>
        <w:tc>
          <w:tcPr>
            <w:tcW w:w="200" w:type="dxa"/>
            <w:vAlign w:val="bottom"/>
          </w:tcPr>
          <w:p>
            <w:pPr>
              <w:spacing w:after="0"/>
              <w:rPr>
                <w:sz w:val="18"/>
                <w:szCs w:val="18"/>
                <w:color w:val="auto"/>
              </w:rPr>
            </w:pPr>
          </w:p>
        </w:tc>
        <w:tc>
          <w:tcPr>
            <w:tcW w:w="30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27, 2020</w:t>
            </w:r>
          </w:p>
        </w:tc>
        <w:tc>
          <w:tcPr>
            <w:tcW w:w="20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29, 2019</w:t>
            </w:r>
          </w:p>
        </w:tc>
        <w:tc>
          <w:tcPr>
            <w:tcW w:w="20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27, 2020</w:t>
            </w:r>
          </w:p>
        </w:tc>
        <w:tc>
          <w:tcPr>
            <w:tcW w:w="200" w:type="dxa"/>
            <w:vAlign w:val="bottom"/>
          </w:tcPr>
          <w:p>
            <w:pPr>
              <w:spacing w:after="0"/>
              <w:rPr>
                <w:sz w:val="20"/>
                <w:szCs w:val="20"/>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June 29, 2019</w:t>
            </w:r>
          </w:p>
        </w:tc>
      </w:tr>
      <w:tr>
        <w:trPr>
          <w:trHeight w:val="33"/>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2,242</w:t>
            </w: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4,746</w:t>
            </w:r>
          </w:p>
        </w:tc>
      </w:tr>
      <w:tr>
        <w:trPr>
          <w:trHeight w:val="237"/>
        </w:trPr>
        <w:tc>
          <w:tcPr>
            <w:tcW w:w="4580" w:type="dxa"/>
            <w:vAlign w:val="bottom"/>
          </w:tcPr>
          <w:p>
            <w:pPr>
              <w:ind w:left="140"/>
              <w:spacing w:after="0"/>
              <w:rPr>
                <w:sz w:val="20"/>
                <w:szCs w:val="20"/>
                <w:color w:val="auto"/>
              </w:rPr>
            </w:pPr>
            <w:r>
              <w:rPr>
                <w:rFonts w:ascii="Arial" w:cs="Arial" w:eastAsia="Arial" w:hAnsi="Arial"/>
                <w:sz w:val="16"/>
                <w:szCs w:val="16"/>
                <w:color w:val="auto"/>
              </w:rPr>
              <w:t>Performance-based awards</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1,658</w:t>
            </w:r>
          </w:p>
        </w:tc>
      </w:tr>
      <w:tr>
        <w:trPr>
          <w:trHeight w:val="33"/>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 awards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1,161</w:t>
            </w:r>
          </w:p>
        </w:tc>
      </w:tr>
      <w:tr>
        <w:trPr>
          <w:trHeight w:val="243"/>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4,540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5,194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6,485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9,807</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recognizes compensation cost ratably over the applicable performance periods based on the estimated probability of achievement of its performance targets at the end of each period. During the first quarter of fiscal 2020, the achievement of performance target estimates was revised resulting in a $2.8 million reversal of previously recognized stock-based compensation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4"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As of June 27, 2020, the Company had gross unrecognized income tax benefits of approximately $13.9 million, of which $11.9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Included in the reserves for unrecognized tax benefits at June 27, 2020 is approximately $2.1 million of reserves for which the statute of limitations is expected to expire within the next fiscal year. If these tax benefits are ultimately recognized, such recognition, net of federal income taxes, may affect the annual effective income tax rate for fiscal 2020 or fiscal 2021 along with the effective income tax rate in the quarter in which the benefits are recognized.</w:t>
      </w:r>
    </w:p>
    <w:p>
      <w:pPr>
        <w:spacing w:after="0" w:line="10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recognizes interest related to unrecognized tax benefits as a component of interest expense and recognizes penalties related to unrecognized income tax benefits as a component of income tax expense. During the second fiscal quarter ended June 27, 2020 and June 29, 2019, interest expense on uncertain tax positions was not material. During each of the first two quarters of fiscal 2020 and fiscal 2019, interest expense recorded on uncertain tax positions was $0.5 million. The Company had approximately $2.8 million, $2.3 million, and $2.4 million of interest accrued on uncertain tax positions as of June 27, 2020, December 28, 2019, and June 29, 2019, respectively.</w:t>
      </w:r>
    </w:p>
    <w:p>
      <w:pPr>
        <w:spacing w:after="0" w:line="13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 early adopted the provisions of ASU 2019-12 in the first quarter of 2020 in order to simplify its income tax accounting disclosures during 2020 as a result of incurring an operating loss. The Company retrospectively adopted the provision related to the classification of taxes partially based on income and has determined that the adoption of this standard did not have a material impact on its prior period financial statements. The provisions related to intra period tax allocation and interim recognition of enactment of tax laws are being adopted on a prospective basis.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This law includes several taxpayer favorable provisions that may impact the Company, including an employee retention credit, relaxed interest expense limitations, a carryback of net operating losses, accelerated depreciation on certain store build out costs, and the deferral of employer FICA taxes. It is likely that this act will reduce the Company’s cash requirement for taxes over the balance of fiscal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$16.4 million, $19.7 million, and $17.3 million at June 27, 2020, December 28, 2019, and June 29, 2019, respectively. These investments are classified as Level 1 within the fair value hierarchy. Gains on the investments in marketable securities were $1.1 million for the second fiscal quarter ended June 27, 2020. Gains on the investments in marketable securities were not material for the second fiscal</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337" w:right="3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quarter ended June 29, 2019. Losses on the investments in marketable securities were $1.9 million for the two fiscal quarters ended June 27, 2020. Gains on the investments in marketable securities were $1.7 million for the two fiscal quarters ended June 29, 2019. These amounts are included in Other expense (income), net on the Company's consolidated statement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27, 2020, the fair value of the Company's $244.0 million in outstanding borrowings under its secured revolving credit facility approximated the carrying value.</w:t>
      </w:r>
    </w:p>
    <w:p>
      <w:pPr>
        <w:spacing w:after="0" w:line="13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fair value of the Company's senior notes at June 27, 2020 was approximately $1.04 billion. The fair value of these senior notes with a notional value and carrying value (gross of debt cost) of $1.00 billion was estimated using a quoted price as provided in the secondary market, which considers the Company's credit risk and market related conditions, and is therefore within Level 2 of the fair value hierarchy.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tangible assets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Long lived assets, which for us primarily consist of operating lease assets and store assets, are reviewed for impairment whenever events or changes in circumstances indicate that the carrying amount of the assets may not be recoverable. The asset group is defined as the lowest level for which identifiable cash flows are available and largely independent of cash flows of other groups of assets, which for our retail stores, is at the store level. For impaired assets, we recognize a loss equal to the difference between the carrying amount of the asset or asset group and its estimated fair value, which is recorded in Selling, general and administrative expenses on the Company's consolidated statements of operations. For operating lease assets, the Company determines the fair value of the assets by discounting the estimated market rental rates over the remaining term of the lease. These estimates can be affected by factors such as future store results, real estate demand, store closure plans, property specific discount rates, and economic conditions that can be difficult to predict. These fair value measurements qualify as level 3 measurements in the fair value hierarchy.</w:t>
      </w:r>
    </w:p>
    <w:p>
      <w:pPr>
        <w:spacing w:after="0" w:line="1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impact of the COVID-19 pandemic resulted in a qualitative indication of impairment related to our store long-lived assets. During the second quarter and first two quarters of fiscal 2020, the Company recorded impairment charges of operating lease assets and other long-lived assets for our underperforming retail stores of $3.7 million and $5.0 million, respectively. The impairment charges were recorded in Selling, general and administrative expenses on the Company's consolidated statements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Goodwill and indefinite-lived intangible assets are tested annually or if a triggering event occurs that indicates an impairment loss may have been incurred using fair value measurements with unobservable inputs (Level 3).</w:t>
      </w:r>
    </w:p>
    <w:p>
      <w:pPr>
        <w:spacing w:after="0" w:line="13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Due to the decrease in the Company's market capitalization, lower than expected actual sales, and lower projected sales and profitability due to the impacts from the outbreak of COVID-19, the Company concluded that impairment indicators existed for the first quarter of fiscal 2020. As a result, during the first quarter of fiscal 2020, the Company conducted interim quantitative impairment assessments on goodwill ascribed to the Other International reporting unit and on the value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that was recorded in connection with the acquisition of OshKosh B'Gosh, Inc. in July 2005 and Skip Hop Holdings, Inc. in February 2017, respectively.</w:t>
      </w:r>
    </w:p>
    <w:p>
      <w:pPr>
        <w:spacing w:after="0" w:line="13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Based on these assessments, a goodwill impairment charge of $17.7 million was recorded during the first quarter of fiscal 2020 to our Other International reporting unit in the International segment and charges of $15.5 million and $11.0 million were recorded on our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respectively. The charge recorded on our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 asset during the first quarter of fiscal 2020 included charges of $13.6 million, $1.6 million, and $0.3 million in the U.S. Retail, U.S. Wholesale, and International segments, respectively, to reflect the impairment of the value ascribed to the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 asset. The charge recorded on our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during the first quarter of fiscal 2020 included charges of $6.8 million, $3.7 million, and $0.5 million in the U.S. Wholesale, International, and U.S. Retail segments, respectively, to reflect the impairment of the value ascribed to the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The carrying values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after the impairment charge and as of June 27, 2020 were $70.0 million and $15.0 million, respectively. See Note 6, </w:t>
      </w:r>
      <w:r>
        <w:rPr>
          <w:rFonts w:ascii="Arial" w:cs="Arial" w:eastAsia="Arial" w:hAnsi="Arial"/>
          <w:sz w:val="16"/>
          <w:szCs w:val="16"/>
          <w:i w:val="1"/>
          <w:iCs w:val="1"/>
          <w:color w:val="auto"/>
        </w:rPr>
        <w:t>Goodwill and Intangibles</w:t>
      </w:r>
      <w:r>
        <w:rPr>
          <w:rFonts w:ascii="Arial" w:cs="Arial" w:eastAsia="Arial" w:hAnsi="Arial"/>
          <w:sz w:val="16"/>
          <w:szCs w:val="16"/>
          <w:color w:val="auto"/>
        </w:rPr>
        <w:t>, for further details on the impairment charges and valuation methodologies.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37" w:right="339" w:bottom="1440" w:gutter="0" w:footer="0" w:header="0"/>
        </w:sectPr>
      </w:pPr>
    </w:p>
    <w:bookmarkStart w:id="20" w:name="page21"/>
    <w:bookmarkEnd w:id="20"/>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gridSpan w:val="5"/>
          </w:tcPr>
          <w:p>
            <w:pPr>
              <w:ind w:left="560"/>
              <w:spacing w:after="0"/>
              <w:rPr>
                <w:sz w:val="20"/>
                <w:szCs w:val="20"/>
                <w:color w:val="auto"/>
              </w:rPr>
            </w:pPr>
            <w:r>
              <w:rPr>
                <w:rFonts w:ascii="Arial" w:cs="Arial" w:eastAsia="Arial" w:hAnsi="Arial"/>
                <w:sz w:val="16"/>
                <w:szCs w:val="16"/>
                <w:b w:val="1"/>
                <w:bCs w:val="1"/>
                <w:color w:val="auto"/>
              </w:rPr>
              <w:t>Fiscal quarter ended</w:t>
            </w:r>
          </w:p>
        </w:tc>
        <w:tc>
          <w:tcPr>
            <w:tcW w:w="160" w:type="dxa"/>
            <w:vAlign w:val="bottom"/>
          </w:tcPr>
          <w:p>
            <w:pPr>
              <w:spacing w:after="0"/>
              <w:rPr>
                <w:sz w:val="19"/>
                <w:szCs w:val="19"/>
                <w:color w:val="auto"/>
              </w:rPr>
            </w:pPr>
          </w:p>
        </w:tc>
        <w:tc>
          <w:tcPr>
            <w:tcW w:w="26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27, 2020</w:t>
            </w: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 2019</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27, 2020</w:t>
            </w:r>
          </w:p>
        </w:tc>
        <w:tc>
          <w:tcPr>
            <w:tcW w:w="1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June 29, 2019</w:t>
            </w: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Weighted-average number of common and common equivalent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360"/>
              <w:spacing w:after="0"/>
              <w:rPr>
                <w:sz w:val="20"/>
                <w:szCs w:val="20"/>
                <w:color w:val="auto"/>
              </w:rPr>
            </w:pPr>
            <w:r>
              <w:rPr>
                <w:rFonts w:ascii="Arial" w:cs="Arial" w:eastAsia="Arial" w:hAnsi="Arial"/>
                <w:sz w:val="16"/>
                <w:szCs w:val="16"/>
                <w:color w:val="auto"/>
              </w:rPr>
              <w:t>Basic number of common shares outstanding</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43,162,571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44,706,307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43,259,103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44,888,552</w:t>
            </w: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Dilutive effect of equity awards</w:t>
            </w:r>
            <w:r>
              <w:rPr>
                <w:rFonts w:ascii="Arial" w:cs="Arial" w:eastAsia="Arial" w:hAnsi="Arial"/>
                <w:sz w:val="21"/>
                <w:szCs w:val="21"/>
                <w:color w:val="auto"/>
                <w:vertAlign w:val="superscript"/>
              </w:rPr>
              <w: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147,480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332,070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310,479</w:t>
            </w:r>
          </w:p>
        </w:tc>
      </w:tr>
      <w:tr>
        <w:trPr>
          <w:trHeight w:val="283"/>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Diluted number of common and common equivalent shares outstanding</w:t>
            </w:r>
          </w:p>
        </w:tc>
        <w:tc>
          <w:tcPr>
            <w:tcW w:w="1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43,310,051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45,038,377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43,259,103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45,199,031</w:t>
            </w:r>
          </w:p>
        </w:tc>
      </w:tr>
      <w:tr>
        <w:trPr>
          <w:trHeight w:val="203"/>
        </w:trPr>
        <w:tc>
          <w:tcPr>
            <w:tcW w:w="5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w w:val="94"/>
              </w:rPr>
              <w:t>Basic net income (loss) per common share (in thousands, except per share data):</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78,403</w:t>
            </w:r>
          </w:p>
        </w:tc>
      </w:tr>
      <w:tr>
        <w:trPr>
          <w:trHeight w:val="237"/>
        </w:trPr>
        <w:tc>
          <w:tcPr>
            <w:tcW w:w="5520" w:type="dxa"/>
            <w:vAlign w:val="bottom"/>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(loss) available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77,718</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3"/>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0"/>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net income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Diluted net income (loss) per common share (in thousands, except per share data):</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8,156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43,937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(70,538)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78,403</w:t>
            </w: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w:t>
            </w:r>
          </w:p>
        </w:tc>
      </w:tr>
      <w:tr>
        <w:trPr>
          <w:trHeight w:val="283"/>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(loss) available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8,070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43,542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(70,790)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77,720</w:t>
            </w:r>
          </w:p>
        </w:tc>
      </w:tr>
      <w:tr>
        <w:trPr>
          <w:trHeight w:val="203"/>
        </w:trPr>
        <w:tc>
          <w:tcPr>
            <w:tcW w:w="5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7"/>
        </w:trPr>
        <w:tc>
          <w:tcPr>
            <w:tcW w:w="5520" w:type="dxa"/>
            <w:vAlign w:val="bottom"/>
          </w:tcPr>
          <w:p>
            <w:pPr>
              <w:ind w:left="360"/>
              <w:spacing w:after="0"/>
              <w:rPr>
                <w:sz w:val="20"/>
                <w:szCs w:val="20"/>
                <w:color w:val="auto"/>
              </w:rPr>
            </w:pPr>
            <w:r>
              <w:rPr>
                <w:rFonts w:ascii="Arial" w:cs="Arial" w:eastAsia="Arial" w:hAnsi="Arial"/>
                <w:sz w:val="16"/>
                <w:szCs w:val="16"/>
                <w:color w:val="auto"/>
              </w:rPr>
              <w:t>Diluted net income (loss)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0.97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1.72</w:t>
            </w: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7"/>
        </w:trPr>
        <w:tc>
          <w:tcPr>
            <w:tcW w:w="5520" w:type="dxa"/>
            <w:vAlign w:val="bottom"/>
          </w:tcPr>
          <w:p>
            <w:pPr>
              <w:ind w:left="360"/>
              <w:spacing w:after="0"/>
              <w:rPr>
                <w:sz w:val="20"/>
                <w:szCs w:val="20"/>
                <w:color w:val="auto"/>
              </w:rPr>
            </w:pPr>
            <w:r>
              <w:rPr>
                <w:rFonts w:ascii="Arial" w:cs="Arial" w:eastAsia="Arial" w:hAnsi="Arial"/>
                <w:sz w:val="16"/>
                <w:szCs w:val="16"/>
                <w:color w:val="auto"/>
                <w:w w:val="97"/>
              </w:rPr>
              <w:t>Anti-dilutive awards excluded from diluted earnings per share computation</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957,041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311,300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559,470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513,742</w:t>
            </w:r>
          </w:p>
        </w:tc>
      </w:tr>
    </w:tbl>
    <w:p>
      <w:pPr>
        <w:spacing w:after="0" w:line="95" w:lineRule="exact"/>
        <w:rPr>
          <w:sz w:val="20"/>
          <w:szCs w:val="20"/>
          <w:color w:val="auto"/>
        </w:rPr>
      </w:pPr>
    </w:p>
    <w:p>
      <w:pPr>
        <w:ind w:left="980" w:right="340" w:hanging="972"/>
        <w:spacing w:after="0" w:line="273" w:lineRule="auto"/>
        <w:tabs>
          <w:tab w:leader="none" w:pos="494"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two fiscal quarters ended June 27, 2020, there were 230,286 potentially dilutive equity awards that were excluded from the diluted earnings per share calculation because the Company incurred a net loss for this period and their inclusion would be anti-dilutive.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AND LONG-TERM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any comparable period,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27, 2020</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28, 2019</w:t>
            </w:r>
          </w:p>
        </w:tc>
        <w:tc>
          <w:tcPr>
            <w:tcW w:w="260" w:type="dxa"/>
            <w:vAlign w:val="bottom"/>
          </w:tcPr>
          <w:p>
            <w:pPr>
              <w:spacing w:after="0"/>
              <w:rPr>
                <w:sz w:val="18"/>
                <w:szCs w:val="18"/>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June 29, 2019</w:t>
            </w:r>
          </w:p>
        </w:tc>
      </w:tr>
      <w:tr>
        <w:trPr>
          <w:trHeight w:val="33"/>
        </w:trPr>
        <w:tc>
          <w:tcPr>
            <w:tcW w:w="5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5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7,600</w:t>
            </w:r>
          </w:p>
        </w:tc>
      </w:tr>
      <w:tr>
        <w:trPr>
          <w:trHeight w:val="33"/>
        </w:trPr>
        <w:tc>
          <w:tcPr>
            <w:tcW w:w="5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long-term liabilities that exceeded five percent of total liabilities, at the end of any comparable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0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The Company's contractual obligations and commitments include obligations associated with leases, the secured revolving credit agreement, senior notes, employee benefit plans, and facility consolidations/closures as disclosed in Note 16, </w:t>
      </w:r>
      <w:r>
        <w:rPr>
          <w:rFonts w:ascii="Arial" w:cs="Arial" w:eastAsia="Arial" w:hAnsi="Arial"/>
          <w:sz w:val="18"/>
          <w:szCs w:val="18"/>
          <w:i w:val="1"/>
          <w:iCs w:val="1"/>
          <w:color w:val="auto"/>
        </w:rPr>
        <w:t>Organizational Restructuring and Office Consolidation</w:t>
      </w:r>
      <w:r>
        <w:rPr>
          <w:rFonts w:ascii="Arial" w:cs="Arial" w:eastAsia="Arial" w:hAnsi="Arial"/>
          <w:sz w:val="18"/>
          <w:szCs w:val="18"/>
          <w:color w:val="auto"/>
        </w:rPr>
        <w:t>, to the consolidated financial statements.</w:t>
      </w:r>
    </w:p>
    <w:p>
      <w:pPr>
        <w:spacing w:after="0" w:line="14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also has minimum inventory purchase commitments, including fabric commitments, with our suppliers which secure a portion of our material needs for future seasons. In light of the COVID-19 pandemic, some of our orders may be canceled. For the second fiscal quarter ended June 27, 2020, the Company reserved $18.8 million for adverse inventory and fabric purchase commitments.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37" w:right="339" w:bottom="1440" w:gutter="0" w:footer="0" w:header="0"/>
        </w:sectPr>
      </w:pPr>
    </w:p>
    <w:bookmarkStart w:id="21" w:name="page22"/>
    <w:bookmarkEnd w:id="21"/>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presents certain information for our reportable segments and unallocated corporate expenses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Fiscal quarter ended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Two fiscal quarters ended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June 27,</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June 29,</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June 27,</w:t>
            </w: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Total Net</w:t>
            </w:r>
          </w:p>
        </w:tc>
        <w:tc>
          <w:tcPr>
            <w:tcW w:w="14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June 29,</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Total Net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total net sales</w:t>
            </w:r>
          </w:p>
        </w:tc>
        <w:tc>
          <w:tcPr>
            <w:tcW w:w="16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total net sales</w:t>
            </w:r>
          </w:p>
        </w:tc>
        <w:tc>
          <w:tcPr>
            <w:tcW w:w="14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Sales</w:t>
            </w:r>
          </w:p>
        </w:tc>
        <w:tc>
          <w:tcPr>
            <w:tcW w:w="14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5"/>
              </w:rPr>
              <w:t>Sales</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U.S. Retail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316,016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61.4 %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423,128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57.6 %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636,733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54.5 %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800,182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54.2 %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U.S. Wholesale</w:t>
            </w: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151,744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29.5 %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229,091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31.2 %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403,874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34.5 %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504,458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34.2 %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47,125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82,165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128,750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170,802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160" w:type="dxa"/>
            <w:vAlign w:val="bottom"/>
            <w:gridSpan w:val="3"/>
          </w:tcPr>
          <w:p>
            <w:pPr>
              <w:ind w:left="320"/>
              <w:spacing w:after="0"/>
              <w:rPr>
                <w:sz w:val="20"/>
                <w:szCs w:val="20"/>
                <w:color w:val="auto"/>
              </w:rPr>
            </w:pPr>
            <w:r>
              <w:rPr>
                <w:rFonts w:ascii="Arial" w:cs="Arial" w:eastAsia="Arial" w:hAnsi="Arial"/>
                <w:sz w:val="16"/>
                <w:szCs w:val="16"/>
                <w:color w:val="auto"/>
              </w:rPr>
              <w:t>Total 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514,885</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734,384</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1,169,357</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1,475,442</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Segment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Segment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Segment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16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Operating income (loss):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86"/>
              </w:rPr>
              <w:t>Net Sales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86"/>
              </w:rPr>
              <w:t>Net Sales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88"/>
              </w:rPr>
              <w:t>Net Sales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U.S. Retail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23,720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51,146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75,095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U.S. Wholesale</w:t>
            </w: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21,192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35,335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23,423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90,791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(33,219)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21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Corporate expenses</w:t>
            </w:r>
            <w:r>
              <w:rPr>
                <w:rFonts w:ascii="Arial" w:cs="Arial" w:eastAsia="Arial" w:hAnsi="Arial"/>
                <w:sz w:val="21"/>
                <w:szCs w:val="21"/>
                <w:color w:val="auto"/>
                <w:vertAlign w:val="superscript"/>
              </w:rPr>
              <w:t>(*)</w:t>
            </w: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(18,444)</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(26,262)</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(39,072)</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(49,867)</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3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Total operating income (loss) $</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20,954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64,476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125,235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right="380" w:hanging="492"/>
        <w:spacing w:after="0" w:line="257"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 Two fiscal quarters ended June 27, 2020 and June 29, 2019 each include $1.6 million in charges related to organizational restructuring.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6"/>
                <w:szCs w:val="16"/>
                <w:i w:val="1"/>
                <w:iCs w:val="1"/>
                <w:color w:val="auto"/>
              </w:rPr>
              <w:t>(dollars in millions)</w:t>
            </w:r>
          </w:p>
        </w:tc>
        <w:tc>
          <w:tcPr>
            <w:tcW w:w="140" w:type="dxa"/>
            <w:vAlign w:val="bottom"/>
          </w:tcPr>
          <w:p>
            <w:pPr>
              <w:spacing w:after="0"/>
              <w:rPr>
                <w:sz w:val="18"/>
                <w:szCs w:val="18"/>
                <w:color w:val="auto"/>
              </w:rPr>
            </w:pPr>
          </w:p>
        </w:tc>
        <w:tc>
          <w:tcPr>
            <w:tcW w:w="3500" w:type="dxa"/>
            <w:vAlign w:val="bottom"/>
            <w:gridSpan w:val="8"/>
          </w:tcPr>
          <w:p>
            <w:pPr>
              <w:ind w:left="440"/>
              <w:spacing w:after="0"/>
              <w:rPr>
                <w:sz w:val="20"/>
                <w:szCs w:val="20"/>
                <w:color w:val="auto"/>
              </w:rPr>
            </w:pPr>
            <w:r>
              <w:rPr>
                <w:rFonts w:ascii="Arial" w:cs="Arial" w:eastAsia="Arial" w:hAnsi="Arial"/>
                <w:sz w:val="16"/>
                <w:szCs w:val="16"/>
                <w:b w:val="1"/>
                <w:bCs w:val="1"/>
                <w:color w:val="auto"/>
              </w:rPr>
              <w:t>Fiscal quarter ended June 27, 2020</w:t>
            </w:r>
          </w:p>
        </w:tc>
        <w:tc>
          <w:tcPr>
            <w:tcW w:w="120" w:type="dxa"/>
            <w:vAlign w:val="bottom"/>
          </w:tcPr>
          <w:p>
            <w:pPr>
              <w:spacing w:after="0"/>
              <w:rPr>
                <w:sz w:val="18"/>
                <w:szCs w:val="18"/>
                <w:color w:val="auto"/>
              </w:rPr>
            </w:pPr>
          </w:p>
        </w:tc>
        <w:tc>
          <w:tcPr>
            <w:tcW w:w="3280" w:type="dxa"/>
            <w:vAlign w:val="bottom"/>
            <w:gridSpan w:val="7"/>
          </w:tcPr>
          <w:p>
            <w:pPr>
              <w:jc w:val="right"/>
              <w:ind w:right="219"/>
              <w:spacing w:after="0"/>
              <w:rPr>
                <w:sz w:val="20"/>
                <w:szCs w:val="20"/>
                <w:color w:val="auto"/>
              </w:rPr>
            </w:pPr>
            <w:r>
              <w:rPr>
                <w:rFonts w:ascii="Arial" w:cs="Arial" w:eastAsia="Arial" w:hAnsi="Arial"/>
                <w:sz w:val="16"/>
                <w:szCs w:val="16"/>
                <w:b w:val="1"/>
                <w:bCs w:val="1"/>
                <w:color w:val="auto"/>
                <w:w w:val="96"/>
              </w:rPr>
              <w:t>Two fiscal quarters ended June 27, 2020</w:t>
            </w: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U.S.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41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Charges:</w:t>
            </w:r>
          </w:p>
        </w:tc>
        <w:tc>
          <w:tcPr>
            <w:tcW w:w="14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88"/>
              </w:rPr>
              <w:t>Wholesale</w:t>
            </w:r>
          </w:p>
        </w:tc>
        <w:tc>
          <w:tcPr>
            <w:tcW w:w="140" w:type="dxa"/>
            <w:vAlign w:val="bottom"/>
          </w:tcPr>
          <w:p>
            <w:pPr>
              <w:spacing w:after="0"/>
              <w:rPr>
                <w:sz w:val="15"/>
                <w:szCs w:val="15"/>
                <w:color w:val="auto"/>
              </w:rPr>
            </w:pPr>
          </w:p>
        </w:tc>
        <w:tc>
          <w:tcPr>
            <w:tcW w:w="120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5"/>
                <w:szCs w:val="15"/>
                <w:color w:val="auto"/>
              </w:rPr>
            </w:pPr>
          </w:p>
        </w:tc>
        <w:tc>
          <w:tcPr>
            <w:tcW w:w="9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Wholesale</w:t>
            </w:r>
          </w:p>
        </w:tc>
        <w:tc>
          <w:tcPr>
            <w:tcW w:w="140" w:type="dxa"/>
            <w:vAlign w:val="bottom"/>
          </w:tcPr>
          <w:p>
            <w:pPr>
              <w:spacing w:after="0"/>
              <w:rPr>
                <w:sz w:val="15"/>
                <w:szCs w:val="15"/>
                <w:color w:val="auto"/>
              </w:rPr>
            </w:pPr>
          </w:p>
        </w:tc>
        <w:tc>
          <w:tcPr>
            <w:tcW w:w="108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w w:val="95"/>
              </w:rPr>
              <w:t>International</w:t>
            </w:r>
          </w:p>
        </w:tc>
      </w:tr>
      <w:tr>
        <w:trPr>
          <w:trHeight w:val="48"/>
        </w:trPr>
        <w:tc>
          <w:tcPr>
            <w:tcW w:w="2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CCEEFF"/>
            </w:tcBorders>
          </w:tcPr>
          <w:p>
            <w:pPr>
              <w:spacing w:after="0"/>
              <w:rPr>
                <w:sz w:val="4"/>
                <w:szCs w:val="4"/>
                <w:color w:val="auto"/>
              </w:rPr>
            </w:pPr>
          </w:p>
        </w:tc>
        <w:tc>
          <w:tcPr>
            <w:tcW w:w="34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Organizational restructuring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Goodwill impairment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 impairment charge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 impairment charge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Incremental costs associated with COVID-19 pandemic</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2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Retail store operating leases and other long-lived asset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impairments</w:t>
            </w:r>
          </w:p>
        </w:tc>
        <w:tc>
          <w:tcPr>
            <w:tcW w:w="1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6"/>
                <w:szCs w:val="16"/>
                <w:i w:val="1"/>
                <w:iCs w:val="1"/>
                <w:color w:val="auto"/>
              </w:rPr>
              <w:t>(dollars in millions)</w:t>
            </w:r>
          </w:p>
        </w:tc>
        <w:tc>
          <w:tcPr>
            <w:tcW w:w="140" w:type="dxa"/>
            <w:vAlign w:val="bottom"/>
          </w:tcPr>
          <w:p>
            <w:pPr>
              <w:spacing w:after="0"/>
              <w:rPr>
                <w:sz w:val="18"/>
                <w:szCs w:val="18"/>
                <w:color w:val="auto"/>
              </w:rPr>
            </w:pPr>
          </w:p>
        </w:tc>
        <w:tc>
          <w:tcPr>
            <w:tcW w:w="3500" w:type="dxa"/>
            <w:vAlign w:val="bottom"/>
            <w:gridSpan w:val="8"/>
          </w:tcPr>
          <w:p>
            <w:pPr>
              <w:ind w:left="440"/>
              <w:spacing w:after="0"/>
              <w:rPr>
                <w:sz w:val="20"/>
                <w:szCs w:val="20"/>
                <w:color w:val="auto"/>
              </w:rPr>
            </w:pPr>
            <w:r>
              <w:rPr>
                <w:rFonts w:ascii="Arial" w:cs="Arial" w:eastAsia="Arial" w:hAnsi="Arial"/>
                <w:sz w:val="16"/>
                <w:szCs w:val="16"/>
                <w:b w:val="1"/>
                <w:bCs w:val="1"/>
                <w:color w:val="auto"/>
              </w:rPr>
              <w:t>Fiscal quarter ended June 29, 2019</w:t>
            </w:r>
          </w:p>
        </w:tc>
        <w:tc>
          <w:tcPr>
            <w:tcW w:w="120" w:type="dxa"/>
            <w:vAlign w:val="bottom"/>
          </w:tcPr>
          <w:p>
            <w:pPr>
              <w:spacing w:after="0"/>
              <w:rPr>
                <w:sz w:val="18"/>
                <w:szCs w:val="18"/>
                <w:color w:val="auto"/>
              </w:rPr>
            </w:pPr>
          </w:p>
        </w:tc>
        <w:tc>
          <w:tcPr>
            <w:tcW w:w="3280" w:type="dxa"/>
            <w:vAlign w:val="bottom"/>
            <w:gridSpan w:val="7"/>
          </w:tcPr>
          <w:p>
            <w:pPr>
              <w:jc w:val="right"/>
              <w:ind w:right="219"/>
              <w:spacing w:after="0"/>
              <w:rPr>
                <w:sz w:val="20"/>
                <w:szCs w:val="20"/>
                <w:color w:val="auto"/>
              </w:rPr>
            </w:pPr>
            <w:r>
              <w:rPr>
                <w:rFonts w:ascii="Arial" w:cs="Arial" w:eastAsia="Arial" w:hAnsi="Arial"/>
                <w:sz w:val="16"/>
                <w:szCs w:val="16"/>
                <w:b w:val="1"/>
                <w:bCs w:val="1"/>
                <w:color w:val="auto"/>
                <w:w w:val="96"/>
              </w:rPr>
              <w:t>Two fiscal quarters ended June 29, 2019</w:t>
            </w: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U.S.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41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Charges:</w:t>
            </w:r>
          </w:p>
        </w:tc>
        <w:tc>
          <w:tcPr>
            <w:tcW w:w="14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88"/>
              </w:rPr>
              <w:t>Wholesale</w:t>
            </w:r>
          </w:p>
        </w:tc>
        <w:tc>
          <w:tcPr>
            <w:tcW w:w="140" w:type="dxa"/>
            <w:vAlign w:val="bottom"/>
          </w:tcPr>
          <w:p>
            <w:pPr>
              <w:spacing w:after="0"/>
              <w:rPr>
                <w:sz w:val="15"/>
                <w:szCs w:val="15"/>
                <w:color w:val="auto"/>
              </w:rPr>
            </w:pPr>
          </w:p>
        </w:tc>
        <w:tc>
          <w:tcPr>
            <w:tcW w:w="120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5"/>
                <w:szCs w:val="15"/>
                <w:color w:val="auto"/>
              </w:rPr>
            </w:pPr>
          </w:p>
        </w:tc>
        <w:tc>
          <w:tcPr>
            <w:tcW w:w="9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Wholesale</w:t>
            </w:r>
          </w:p>
        </w:tc>
        <w:tc>
          <w:tcPr>
            <w:tcW w:w="140" w:type="dxa"/>
            <w:vAlign w:val="bottom"/>
          </w:tcPr>
          <w:p>
            <w:pPr>
              <w:spacing w:after="0"/>
              <w:rPr>
                <w:sz w:val="15"/>
                <w:szCs w:val="15"/>
                <w:color w:val="auto"/>
              </w:rPr>
            </w:pPr>
          </w:p>
        </w:tc>
        <w:tc>
          <w:tcPr>
            <w:tcW w:w="108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w w:val="95"/>
              </w:rPr>
              <w:t>International</w:t>
            </w:r>
          </w:p>
        </w:tc>
      </w:tr>
      <w:tr>
        <w:trPr>
          <w:trHeight w:val="48"/>
        </w:trPr>
        <w:tc>
          <w:tcPr>
            <w:tcW w:w="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20"/>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related to sale of inventory previously reserved in</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China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Reversal of store restructuring costs previously recorded</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during the third quarter of fiscal 2017</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shd w:val="clear" w:color="auto" w:fill="CCEEFF"/>
          </w:tcPr>
          <w:p>
            <w:pPr>
              <w:spacing w:after="0"/>
              <w:rPr>
                <w:sz w:val="21"/>
                <w:szCs w:val="21"/>
                <w:color w:val="auto"/>
              </w:rPr>
            </w:pPr>
          </w:p>
        </w:tc>
        <w:tc>
          <w:tcPr>
            <w:tcW w:w="41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37" w:right="339" w:bottom="1440" w:gutter="0" w:footer="0" w:header="0"/>
        </w:sectPr>
      </w:pPr>
    </w:p>
    <w:bookmarkStart w:id="22" w:name="page23"/>
    <w:bookmarkEnd w:id="22"/>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ORGANIZATIONAL RESTRUCTURING AND OFFICE CONSOLIDATION</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quarter of fiscal 2020, the Company announced several organizational restructuring initiatives which included a reorganization of staffing models across multiple functions to drive labor savings and increase efficiencies as well as the consolidation of certain functions into our corporate headquarters in Atlanta, Georgia. In conjunction with these initiatives, the Company recorded the following charges in selling, general and administrative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Fiscal quarter ended</w:t>
            </w:r>
          </w:p>
        </w:tc>
        <w:tc>
          <w:tcPr>
            <w:tcW w:w="180" w:type="dxa"/>
            <w:vAlign w:val="bottom"/>
          </w:tcPr>
          <w:p>
            <w:pPr>
              <w:spacing w:after="0"/>
              <w:rPr>
                <w:sz w:val="18"/>
                <w:szCs w:val="18"/>
                <w:color w:val="auto"/>
              </w:rPr>
            </w:pPr>
          </w:p>
        </w:tc>
        <w:tc>
          <w:tcPr>
            <w:tcW w:w="21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Two fiscal quarters ended</w:t>
            </w:r>
          </w:p>
        </w:tc>
      </w:tr>
      <w:tr>
        <w:trPr>
          <w:trHeight w:val="33"/>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17"/>
        </w:trPr>
        <w:tc>
          <w:tcPr>
            <w:tcW w:w="64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27, 2020</w:t>
            </w:r>
          </w:p>
        </w:tc>
        <w:tc>
          <w:tcPr>
            <w:tcW w:w="180" w:type="dxa"/>
            <w:vAlign w:val="bottom"/>
          </w:tcPr>
          <w:p>
            <w:pPr>
              <w:spacing w:after="0"/>
              <w:rPr>
                <w:sz w:val="18"/>
                <w:szCs w:val="18"/>
                <w:color w:val="auto"/>
              </w:rPr>
            </w:pPr>
          </w:p>
        </w:tc>
        <w:tc>
          <w:tcPr>
            <w:tcW w:w="2160" w:type="dxa"/>
            <w:vAlign w:val="bottom"/>
          </w:tcPr>
          <w:p>
            <w:pPr>
              <w:jc w:val="right"/>
              <w:ind w:right="619"/>
              <w:spacing w:after="0"/>
              <w:rPr>
                <w:sz w:val="20"/>
                <w:szCs w:val="20"/>
                <w:color w:val="auto"/>
              </w:rPr>
            </w:pPr>
            <w:r>
              <w:rPr>
                <w:rFonts w:ascii="Arial" w:cs="Arial" w:eastAsia="Arial" w:hAnsi="Arial"/>
                <w:sz w:val="16"/>
                <w:szCs w:val="16"/>
                <w:b w:val="1"/>
                <w:bCs w:val="1"/>
                <w:color w:val="auto"/>
              </w:rPr>
              <w:t>June 27, 2020</w:t>
            </w:r>
          </w:p>
        </w:tc>
      </w:tr>
      <w:tr>
        <w:trPr>
          <w:trHeight w:val="33"/>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Severance and other termination benefits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4,096</w:t>
            </w: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Lease exit costs</w:t>
            </w:r>
          </w:p>
        </w:tc>
        <w:tc>
          <w:tcPr>
            <w:tcW w:w="280" w:type="dxa"/>
            <w:vAlign w:val="bottom"/>
          </w:tcPr>
          <w:p>
            <w:pPr>
              <w:spacing w:after="0"/>
              <w:rPr>
                <w:sz w:val="20"/>
                <w:szCs w:val="20"/>
                <w:color w:val="auto"/>
              </w:rPr>
            </w:pPr>
          </w:p>
        </w:tc>
        <w:tc>
          <w:tcPr>
            <w:tcW w:w="2080" w:type="dxa"/>
            <w:vAlign w:val="bottom"/>
          </w:tcPr>
          <w:p>
            <w:pPr>
              <w:jc w:val="right"/>
              <w:ind w:right="19"/>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1,664</w:t>
            </w: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Relocation and recruiting</w:t>
            </w:r>
          </w:p>
        </w:tc>
        <w:tc>
          <w:tcPr>
            <w:tcW w:w="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w:t>
            </w: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Other closure costs</w:t>
            </w:r>
          </w:p>
        </w:tc>
        <w:tc>
          <w:tcPr>
            <w:tcW w:w="280" w:type="dxa"/>
            <w:vAlign w:val="bottom"/>
          </w:tcPr>
          <w:p>
            <w:pPr>
              <w:spacing w:after="0"/>
              <w:rPr>
                <w:sz w:val="20"/>
                <w:szCs w:val="20"/>
                <w:color w:val="auto"/>
              </w:rPr>
            </w:pPr>
          </w:p>
        </w:tc>
        <w:tc>
          <w:tcPr>
            <w:tcW w:w="20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33"/>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7,355</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27, 2020, there was approximately $1.5 million in reserves primarily related to severance and other termination benefits expected to be paid out by the end of the year included in other current liabilities in the Company's consolidated balance sheets. In fiscal 2020, the Company expects to incur additional restructuring-related charges of approximately $1.0 million to $2.0 million in additional costs in fiscal 2020, primarily related to severance, lease exit costs, accelerated depreciation, and relocation and recruiting costs.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37" w:right="339" w:bottom="1440" w:gutter="0" w:footer="0" w:header="0"/>
        </w:sectPr>
      </w:pPr>
    </w:p>
    <w:bookmarkStart w:id="23" w:name="page24"/>
    <w:bookmarkEnd w:id="23"/>
    <w:p>
      <w:pPr>
        <w:ind w:right="124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2020 or any other future period, assessment of our performance and financial position, drivers of our sales and earnings growth, and the effects of the COVID-19 pandemic.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in our most recently filed Annual Report on Form 10-K, in Part I. under the heading "Item 1A -- Risk Factors", in our Quarterly Report on Form 10-Q for the quarter ended March 28, 2020, in Part II. under the heading "Item 1A -- Risk Factors" and in other reports filed with the Securities and Exchange Commission from time to time.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apparel and accessories for children in sizes newborn to 14, with a focus on playclothes for toddlers and young children.</w:t>
      </w:r>
    </w:p>
    <w:p>
      <w:pPr>
        <w:spacing w:after="0" w:line="13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Established in 2003,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re-thinks, re-energizes, and re-imagines durable childhood necessities such as diaper bags to create higher value, superior quality, and top-performing goods for parents, babies, and toddlers. We acquired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in February 2017.</w:t>
      </w:r>
    </w:p>
    <w:p>
      <w:pPr>
        <w:spacing w:after="0" w:line="10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mission is to serve the needs of all families with young children, with a vision to be the world's favorite brands in young children's apparel and products. We believe our brands provide a complementary product offering and aesthetic, are each uniquely positioned in the marketplace, and offer strong value to families with young children. Our multi-channel global business model, which includes retail store, eCommerce, and wholesale sales channels, enables us to reach a broad range of consumers around the world. We have extensive experience in the young children's apparel and accessories market and focus on delivering products that satisfy our consumers' needs. As of June 27, 2020, the Company operated 1,099 retail stores in North America. In March 2020, for the safety of our customers and employees, we temporarily suspended retail store operations in North America. We began reopening retail store locations in North America in May 2020, and as of June 27, 2020, we have reopened 1,026 stores out of 1,099 stores in North America, with plans for the remaining stores to reopen in the third quarter, subject to safety considerations resulting from the progression of the novel coronavirus ("COVID-19") and related laws and regulations put in place by state and local governments.</w:t>
      </w:r>
    </w:p>
    <w:p>
      <w:pPr>
        <w:spacing w:after="0" w:line="14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2019 fiscal year ended December 28,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December 2019, an outbreak of COVID-19 began in Wuhan, China. In March 2020, the World Health Organization declared COVID-19 a pandemic and the President of the United States declared a national emergency. Federal, state and local governments and private entities mandated various restrictions, including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baby and young children’s clothing and accessories.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COVID-19 pandemic has had, and will likely continue to have, significant adverse effects on our business, financial condition, and results of operations as described in our Quarterly Report on Form 10-Q for the quarter ended March 28, 2020 in Part I. under the heading "Item 2 -- Management's Discussion and Analysis of Financial Condition and Results of Operations --Recent Developments", which discussion is incorporated by reference herein. Developments during the second quarter of fiscal 2020 include:</w:t>
      </w:r>
    </w:p>
    <w:p>
      <w:pPr>
        <w:spacing w:after="0" w:line="52" w:lineRule="exact"/>
        <w:rPr>
          <w:sz w:val="20"/>
          <w:szCs w:val="20"/>
          <w:color w:val="auto"/>
        </w:rPr>
      </w:pPr>
    </w:p>
    <w:p>
      <w:pPr>
        <w:ind w:left="660" w:right="2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June 27, 2020, we have reopened 1,026 stores out of 1,099 stores in North America, with plans for the remaining stores to reopen in the third quarter, subject to safety considerations resulting from the progression of COVID-19 and related laws and regulations put in place by state and local governments.</w:t>
      </w:r>
    </w:p>
    <w:p>
      <w:pPr>
        <w:spacing w:after="0" w:line="143"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May 11, 2020, the Company, through its wholly-owned subsidiary The William Carter Company ("TWCC"), completed the sale of $500 million principal amount of senior notes at par, bearing interest at a rate of 5.500% per annum. During the second quarter of fiscal 2020, net proceeds from this offering, along with cash on hand, were used to repay $500 million of borrowings under its secured revolving credit facility. As of June 27, 2020, the Company had $244.0 million in outstanding borrowings under its secured revolving credit facility, exclusive of $5.0 million of outstanding letters of credit. As of June 27, 2020, the Company had approximately $1.00 billion cash on hand and $501.0 million available for future borrowing under its secured revolving credit facility.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Fiscal Quarter 2020 Financial Highlights</w:t>
      </w:r>
    </w:p>
    <w:p>
      <w:pPr>
        <w:spacing w:after="0" w:line="9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net sales decreased $219.5 million, or 29.9%, to $514.9 million in the second quarter of fiscal 2020.</w:t>
      </w:r>
    </w:p>
    <w:p>
      <w:pPr>
        <w:spacing w:after="0" w:line="63" w:lineRule="exact"/>
        <w:rPr>
          <w:rFonts w:ascii="Arial" w:cs="Arial" w:eastAsia="Arial" w:hAnsi="Arial"/>
          <w:sz w:val="18"/>
          <w:szCs w:val="18"/>
          <w:color w:val="auto"/>
        </w:rPr>
      </w:pPr>
    </w:p>
    <w:p>
      <w:pPr>
        <w:ind w:left="1300" w:right="440" w:hanging="320"/>
        <w:spacing w:after="0" w:line="316"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COVID-19 pandemic and subsequent closure of our retail stores, particularly during the months of April and May, as well as decreased sales to certain of our wholesale customers, negatively affected our financial results for the second quarter of fiscal 2020.</w:t>
      </w:r>
    </w:p>
    <w:p>
      <w:pPr>
        <w:spacing w:after="0" w:line="1" w:lineRule="exact"/>
        <w:rPr>
          <w:rFonts w:ascii="Arial" w:cs="Arial" w:eastAsia="Arial" w:hAnsi="Arial"/>
          <w:sz w:val="16"/>
          <w:szCs w:val="16"/>
          <w:color w:val="auto"/>
        </w:rPr>
      </w:pPr>
    </w:p>
    <w:p>
      <w:pPr>
        <w:ind w:left="1300" w:right="4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eCommerce channel delivered strong growth in the second quarter of fiscal 2020, reflecting higher online demand primarily driven by COVID-19 disruptions, enhanced marketing efforts, the relaunch of our U.S. Retail websites in the second-half of fiscal 2019, and the launch of our website in Mexico in late fiscal 2019.</w:t>
      </w:r>
    </w:p>
    <w:p>
      <w:pPr>
        <w:spacing w:after="0" w:line="14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 decreased $87.5 million, or 27.1%, to $235.5 million in the second quarter of fiscal 2020. Gross margin increased 170 basis points ("bps") to 45.7% in the second quarter of fiscal 2020 primarily due to an increase in average selling prices and better than expected sales of inventory that was reserved in the first quarter of fiscal 2020 due to COVID-19 related disruptions.</w:t>
      </w:r>
    </w:p>
    <w:p>
      <w:pPr>
        <w:spacing w:after="0" w:line="21"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as a percentage of total net sales ("SG&amp;A rate") increased 590 bps to 42.4% for the second quarter of fiscal 2020. The increase in the SG&amp;A rate was primarily due to decreased consolidated net sales as a result of business disruptions related to COVID-19, the incremental COVID-19 related charges as discussed below, increased eCommerce costs due to an increase in eCommerce demand, impairment charges on operating lease assets, and organizational restructuring charges, all partially offset by decreased retail store expenses as a result of store closures, decreased distribution and freight costs as a result of fewer units shipped to retail stores, decreased marketing costs due to a reduction in spend and the shift to eCommerce demand, reductions in performance-based compensation, and reductions in other discretionary spending.</w:t>
      </w:r>
    </w:p>
    <w:p>
      <w:pPr>
        <w:spacing w:after="0" w:line="32"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COVID-19 related charges in the second quarter of fiscal 2020 included incremental payroll continuation and employee related costs of $7.3 million, costs associated with additional protective equipment and cleaning supplies of $4.1 million, restructuring costs of $2.3 million, and other COVID-19-related costs of $1.1 million, as well as a payroll tax benefit of $1.8 million.</w:t>
      </w:r>
    </w:p>
    <w:p>
      <w:pPr>
        <w:spacing w:after="0" w:line="2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income decreased $43.5 million, or 67.5%, to $21.0 million in the second quarter of fiscal 2020, primarily due to the COVID-19 factors discussed above.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33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left="660" w:right="28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decreased $35.8 million, or 81.4%, to $8.2 million in the second quarter of fiscal 2020, primarily due to impacts of COVID-19, the factors discussed above, and an increase in interest expense as a result of increased borrowings, partially offset by growth in our eCommerce business and lower income taxes.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Diluted net income per common share decreased 80.7% to $0.19 in the second quarter of fiscal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FISCAL QUARTER ENDED JUNE 27, 2020 COMPARED TO SECOND FISCAL QUARTER ENDED JUNE 29, 2019</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4"/>
          </w:tcPr>
          <w:p>
            <w:pPr>
              <w:jc w:val="right"/>
              <w:ind w:right="1124"/>
              <w:spacing w:after="0"/>
              <w:rPr>
                <w:sz w:val="20"/>
                <w:szCs w:val="20"/>
                <w:color w:val="auto"/>
              </w:rPr>
            </w:pPr>
            <w:r>
              <w:rPr>
                <w:rFonts w:ascii="Arial" w:cs="Arial" w:eastAsia="Arial" w:hAnsi="Arial"/>
                <w:sz w:val="15"/>
                <w:szCs w:val="15"/>
                <w:b w:val="1"/>
                <w:bCs w:val="1"/>
                <w:color w:val="auto"/>
              </w:rPr>
              <w:t>Fiscal quarter ended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63"/>
        </w:trPr>
        <w:tc>
          <w:tcPr>
            <w:tcW w:w="4060" w:type="dxa"/>
            <w:vAlign w:val="bottom"/>
          </w:tcPr>
          <w:p>
            <w:pPr>
              <w:ind w:left="40"/>
              <w:spacing w:after="0"/>
              <w:rPr>
                <w:sz w:val="20"/>
                <w:szCs w:val="20"/>
                <w:color w:val="auto"/>
              </w:rPr>
            </w:pPr>
            <w:r>
              <w:rPr>
                <w:rFonts w:ascii="Arial" w:cs="Arial" w:eastAsia="Arial" w:hAnsi="Arial"/>
                <w:sz w:val="15"/>
                <w:szCs w:val="15"/>
                <w:i w:val="1"/>
                <w:iCs w:val="1"/>
                <w:color w:val="auto"/>
              </w:rPr>
              <w:t>(dollars in thousands, except per share data)</w:t>
            </w:r>
          </w:p>
        </w:tc>
        <w:tc>
          <w:tcPr>
            <w:tcW w:w="300" w:type="dxa"/>
            <w:vAlign w:val="bottom"/>
          </w:tcPr>
          <w:p>
            <w:pPr>
              <w:spacing w:after="0"/>
              <w:rPr>
                <w:sz w:val="22"/>
                <w:szCs w:val="22"/>
                <w:color w:val="auto"/>
              </w:rPr>
            </w:pPr>
          </w:p>
        </w:tc>
        <w:tc>
          <w:tcPr>
            <w:tcW w:w="166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27, 2020</w:t>
            </w:r>
          </w:p>
        </w:tc>
        <w:tc>
          <w:tcPr>
            <w:tcW w:w="30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29, 2019</w:t>
            </w:r>
          </w:p>
        </w:tc>
        <w:tc>
          <w:tcPr>
            <w:tcW w:w="280" w:type="dxa"/>
            <w:vAlign w:val="bottom"/>
          </w:tcPr>
          <w:p>
            <w:pPr>
              <w:spacing w:after="0"/>
              <w:rPr>
                <w:sz w:val="22"/>
                <w:szCs w:val="22"/>
                <w:color w:val="auto"/>
              </w:rPr>
            </w:pPr>
          </w:p>
        </w:tc>
        <w:tc>
          <w:tcPr>
            <w:tcW w:w="1380" w:type="dxa"/>
            <w:vAlign w:val="bottom"/>
            <w:gridSpan w:val="2"/>
          </w:tcPr>
          <w:p>
            <w:pPr>
              <w:ind w:left="180"/>
              <w:spacing w:after="0"/>
              <w:rPr>
                <w:sz w:val="20"/>
                <w:szCs w:val="20"/>
                <w:color w:val="auto"/>
              </w:rPr>
            </w:pPr>
            <w:r>
              <w:rPr>
                <w:rFonts w:ascii="Arial" w:cs="Arial" w:eastAsia="Arial" w:hAnsi="Arial"/>
                <w:sz w:val="15"/>
                <w:szCs w:val="15"/>
                <w:b w:val="1"/>
                <w:bCs w:val="1"/>
                <w:color w:val="auto"/>
              </w:rPr>
              <w:t>$ Change</w:t>
            </w: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rPr>
              <w:t>% / bps Change</w:t>
            </w:r>
          </w:p>
        </w:tc>
      </w:tr>
      <w:tr>
        <w:trPr>
          <w:trHeight w:val="254"/>
        </w:trPr>
        <w:tc>
          <w:tcPr>
            <w:tcW w:w="4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Consolidated net sales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514,885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5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734,384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(219,499)</w:t>
            </w:r>
          </w:p>
        </w:tc>
        <w:tc>
          <w:tcPr>
            <w:tcW w:w="12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w:t>
            </w:r>
          </w:p>
        </w:tc>
      </w:tr>
      <w:tr>
        <w:trPr>
          <w:trHeight w:val="266"/>
        </w:trPr>
        <w:tc>
          <w:tcPr>
            <w:tcW w:w="4060" w:type="dxa"/>
            <w:vAlign w:val="bottom"/>
          </w:tcPr>
          <w:p>
            <w:pPr>
              <w:ind w:left="40"/>
              <w:spacing w:after="0"/>
              <w:rPr>
                <w:sz w:val="20"/>
                <w:szCs w:val="20"/>
                <w:color w:val="auto"/>
              </w:rPr>
            </w:pPr>
            <w:r>
              <w:rPr>
                <w:rFonts w:ascii="Arial" w:cs="Arial" w:eastAsia="Arial" w:hAnsi="Arial"/>
                <w:sz w:val="15"/>
                <w:szCs w:val="15"/>
                <w:color w:val="auto"/>
              </w:rPr>
              <w:t>Cost of goods sold</w:t>
            </w:r>
          </w:p>
        </w:tc>
        <w:tc>
          <w:tcPr>
            <w:tcW w:w="300" w:type="dxa"/>
            <w:vAlign w:val="bottom"/>
          </w:tcPr>
          <w:p>
            <w:pPr>
              <w:spacing w:after="0"/>
              <w:rPr>
                <w:sz w:val="23"/>
                <w:szCs w:val="23"/>
                <w:color w:val="auto"/>
              </w:rPr>
            </w:pP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284,073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84"/>
              <w:spacing w:after="0"/>
              <w:rPr>
                <w:sz w:val="20"/>
                <w:szCs w:val="20"/>
                <w:color w:val="auto"/>
              </w:rPr>
            </w:pPr>
            <w:r>
              <w:rPr>
                <w:rFonts w:ascii="Arial" w:cs="Arial" w:eastAsia="Arial" w:hAnsi="Arial"/>
                <w:sz w:val="15"/>
                <w:szCs w:val="15"/>
                <w:color w:val="auto"/>
              </w:rPr>
              <w:t>410,390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(126,317)</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(30.8)%</w:t>
            </w:r>
          </w:p>
        </w:tc>
      </w:tr>
      <w:tr>
        <w:trPr>
          <w:trHeight w:val="274"/>
        </w:trPr>
        <w:tc>
          <w:tcPr>
            <w:tcW w:w="4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Adverse purchase commitments (inventory, raw materials)</w:t>
            </w: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(4,703)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998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(5,701)</w:t>
            </w:r>
          </w:p>
        </w:tc>
        <w:tc>
          <w:tcPr>
            <w:tcW w:w="12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nm</w:t>
            </w:r>
          </w:p>
        </w:tc>
      </w:tr>
      <w:tr>
        <w:trPr>
          <w:trHeight w:val="246"/>
        </w:trPr>
        <w:tc>
          <w:tcPr>
            <w:tcW w:w="4060" w:type="dxa"/>
            <w:vAlign w:val="bottom"/>
          </w:tcPr>
          <w:p>
            <w:pPr>
              <w:ind w:left="40"/>
              <w:spacing w:after="0"/>
              <w:rPr>
                <w:sz w:val="20"/>
                <w:szCs w:val="20"/>
                <w:color w:val="auto"/>
              </w:rPr>
            </w:pPr>
            <w:r>
              <w:rPr>
                <w:rFonts w:ascii="Arial" w:cs="Arial" w:eastAsia="Arial" w:hAnsi="Arial"/>
                <w:sz w:val="15"/>
                <w:szCs w:val="15"/>
                <w:color w:val="auto"/>
              </w:rPr>
              <w:t>Gross profit</w:t>
            </w:r>
          </w:p>
        </w:tc>
        <w:tc>
          <w:tcPr>
            <w:tcW w:w="300" w:type="dxa"/>
            <w:vAlign w:val="bottom"/>
          </w:tcPr>
          <w:p>
            <w:pPr>
              <w:spacing w:after="0"/>
              <w:rPr>
                <w:sz w:val="21"/>
                <w:szCs w:val="21"/>
                <w:color w:val="auto"/>
              </w:rPr>
            </w:pP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235,515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84"/>
              <w:spacing w:after="0"/>
              <w:rPr>
                <w:sz w:val="20"/>
                <w:szCs w:val="20"/>
                <w:color w:val="auto"/>
              </w:rPr>
            </w:pPr>
            <w:r>
              <w:rPr>
                <w:rFonts w:ascii="Arial" w:cs="Arial" w:eastAsia="Arial" w:hAnsi="Arial"/>
                <w:sz w:val="15"/>
                <w:szCs w:val="15"/>
                <w:color w:val="auto"/>
              </w:rPr>
              <w:t>322,996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(87,481)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(27.1)%</w:t>
            </w:r>
          </w:p>
        </w:tc>
      </w:tr>
      <w:tr>
        <w:trPr>
          <w:trHeight w:val="274"/>
        </w:trPr>
        <w:tc>
          <w:tcPr>
            <w:tcW w:w="4060" w:type="dxa"/>
            <w:vAlign w:val="bottom"/>
            <w:shd w:val="clear" w:color="auto" w:fill="CCEEFF"/>
          </w:tcPr>
          <w:p>
            <w:pPr>
              <w:ind w:left="280"/>
              <w:spacing w:after="0"/>
              <w:rPr>
                <w:sz w:val="20"/>
                <w:szCs w:val="20"/>
                <w:color w:val="auto"/>
              </w:rPr>
            </w:pPr>
            <w:r>
              <w:rPr>
                <w:rFonts w:ascii="Arial" w:cs="Arial" w:eastAsia="Arial" w:hAnsi="Arial"/>
                <w:sz w:val="15"/>
                <w:szCs w:val="15"/>
                <w:i w:val="1"/>
                <w:iCs w:val="1"/>
                <w:color w:val="auto"/>
              </w:rPr>
              <w:t>Gross profit as % of consolidated net sales</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45.7 %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44"/>
              <w:spacing w:after="0"/>
              <w:rPr>
                <w:sz w:val="20"/>
                <w:szCs w:val="20"/>
                <w:color w:val="auto"/>
              </w:rPr>
            </w:pPr>
            <w:r>
              <w:rPr>
                <w:rFonts w:ascii="Arial" w:cs="Arial" w:eastAsia="Arial" w:hAnsi="Arial"/>
                <w:sz w:val="15"/>
                <w:szCs w:val="15"/>
                <w:i w:val="1"/>
                <w:iCs w:val="1"/>
                <w:color w:val="auto"/>
              </w:rPr>
              <w:t>170 bps</w:t>
            </w:r>
          </w:p>
        </w:tc>
      </w:tr>
      <w:tr>
        <w:trPr>
          <w:trHeight w:val="266"/>
        </w:trPr>
        <w:tc>
          <w:tcPr>
            <w:tcW w:w="4060" w:type="dxa"/>
            <w:vAlign w:val="bottom"/>
          </w:tcPr>
          <w:p>
            <w:pPr>
              <w:ind w:left="40"/>
              <w:spacing w:after="0"/>
              <w:rPr>
                <w:sz w:val="20"/>
                <w:szCs w:val="20"/>
                <w:color w:val="auto"/>
              </w:rPr>
            </w:pPr>
            <w:r>
              <w:rPr>
                <w:rFonts w:ascii="Arial" w:cs="Arial" w:eastAsia="Arial" w:hAnsi="Arial"/>
                <w:sz w:val="15"/>
                <w:szCs w:val="15"/>
                <w:color w:val="auto"/>
              </w:rPr>
              <w:t>Royalty income, net</w:t>
            </w:r>
          </w:p>
        </w:tc>
        <w:tc>
          <w:tcPr>
            <w:tcW w:w="300" w:type="dxa"/>
            <w:vAlign w:val="bottom"/>
          </w:tcPr>
          <w:p>
            <w:pPr>
              <w:spacing w:after="0"/>
              <w:rPr>
                <w:sz w:val="23"/>
                <w:szCs w:val="23"/>
                <w:color w:val="auto"/>
              </w:rPr>
            </w:pP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3,588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84"/>
              <w:spacing w:after="0"/>
              <w:rPr>
                <w:sz w:val="20"/>
                <w:szCs w:val="20"/>
                <w:color w:val="auto"/>
              </w:rPr>
            </w:pPr>
            <w:r>
              <w:rPr>
                <w:rFonts w:ascii="Arial" w:cs="Arial" w:eastAsia="Arial" w:hAnsi="Arial"/>
                <w:sz w:val="15"/>
                <w:szCs w:val="15"/>
                <w:color w:val="auto"/>
              </w:rPr>
              <w:t>9,635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(6,047)</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(62.8)%</w:t>
            </w:r>
          </w:p>
        </w:tc>
      </w:tr>
      <w:tr>
        <w:trPr>
          <w:trHeight w:val="274"/>
        </w:trPr>
        <w:tc>
          <w:tcPr>
            <w:tcW w:w="4060" w:type="dxa"/>
            <w:vAlign w:val="bottom"/>
            <w:shd w:val="clear" w:color="auto" w:fill="CCEEFF"/>
          </w:tcPr>
          <w:p>
            <w:pPr>
              <w:ind w:left="280"/>
              <w:spacing w:after="0"/>
              <w:rPr>
                <w:sz w:val="20"/>
                <w:szCs w:val="20"/>
                <w:color w:val="auto"/>
              </w:rPr>
            </w:pPr>
            <w:r>
              <w:rPr>
                <w:rFonts w:ascii="Arial" w:cs="Arial" w:eastAsia="Arial" w:hAnsi="Arial"/>
                <w:sz w:val="15"/>
                <w:szCs w:val="15"/>
                <w:i w:val="1"/>
                <w:iCs w:val="1"/>
                <w:color w:val="auto"/>
              </w:rPr>
              <w:t>Royalty income as % of consolidated net sales</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0.7 %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44"/>
              <w:spacing w:after="0"/>
              <w:rPr>
                <w:sz w:val="20"/>
                <w:szCs w:val="20"/>
                <w:color w:val="auto"/>
              </w:rPr>
            </w:pPr>
            <w:r>
              <w:rPr>
                <w:rFonts w:ascii="Arial" w:cs="Arial" w:eastAsia="Arial" w:hAnsi="Arial"/>
                <w:sz w:val="15"/>
                <w:szCs w:val="15"/>
                <w:i w:val="1"/>
                <w:iCs w:val="1"/>
                <w:color w:val="auto"/>
              </w:rPr>
              <w:t>(60) bps</w:t>
            </w:r>
          </w:p>
        </w:tc>
      </w:tr>
      <w:tr>
        <w:trPr>
          <w:trHeight w:val="266"/>
        </w:trPr>
        <w:tc>
          <w:tcPr>
            <w:tcW w:w="4060" w:type="dxa"/>
            <w:vAlign w:val="bottom"/>
          </w:tcPr>
          <w:p>
            <w:pPr>
              <w:ind w:left="40"/>
              <w:spacing w:after="0"/>
              <w:rPr>
                <w:sz w:val="20"/>
                <w:szCs w:val="20"/>
                <w:color w:val="auto"/>
              </w:rPr>
            </w:pPr>
            <w:r>
              <w:rPr>
                <w:rFonts w:ascii="Arial" w:cs="Arial" w:eastAsia="Arial" w:hAnsi="Arial"/>
                <w:sz w:val="15"/>
                <w:szCs w:val="15"/>
                <w:color w:val="auto"/>
              </w:rPr>
              <w:t>Selling, general, and administrative expenses</w:t>
            </w:r>
          </w:p>
        </w:tc>
        <w:tc>
          <w:tcPr>
            <w:tcW w:w="300" w:type="dxa"/>
            <w:vAlign w:val="bottom"/>
          </w:tcPr>
          <w:p>
            <w:pPr>
              <w:spacing w:after="0"/>
              <w:rPr>
                <w:sz w:val="23"/>
                <w:szCs w:val="23"/>
                <w:color w:val="auto"/>
              </w:rPr>
            </w:pP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218,149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84"/>
              <w:spacing w:after="0"/>
              <w:rPr>
                <w:sz w:val="20"/>
                <w:szCs w:val="20"/>
                <w:color w:val="auto"/>
              </w:rPr>
            </w:pPr>
            <w:r>
              <w:rPr>
                <w:rFonts w:ascii="Arial" w:cs="Arial" w:eastAsia="Arial" w:hAnsi="Arial"/>
                <w:sz w:val="15"/>
                <w:szCs w:val="15"/>
                <w:color w:val="auto"/>
              </w:rPr>
              <w:t>268,155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(50,006)</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(18.6)%</w:t>
            </w:r>
          </w:p>
        </w:tc>
      </w:tr>
      <w:tr>
        <w:trPr>
          <w:trHeight w:val="274"/>
        </w:trPr>
        <w:tc>
          <w:tcPr>
            <w:tcW w:w="4060" w:type="dxa"/>
            <w:vAlign w:val="bottom"/>
            <w:shd w:val="clear" w:color="auto" w:fill="CCEEFF"/>
          </w:tcPr>
          <w:p>
            <w:pPr>
              <w:ind w:left="280"/>
              <w:spacing w:after="0"/>
              <w:rPr>
                <w:sz w:val="20"/>
                <w:szCs w:val="20"/>
                <w:color w:val="auto"/>
              </w:rPr>
            </w:pPr>
            <w:r>
              <w:rPr>
                <w:rFonts w:ascii="Arial" w:cs="Arial" w:eastAsia="Arial" w:hAnsi="Arial"/>
                <w:sz w:val="15"/>
                <w:szCs w:val="15"/>
                <w:i w:val="1"/>
                <w:iCs w:val="1"/>
                <w:color w:val="auto"/>
              </w:rPr>
              <w:t>SG&amp;A expenses as % of consolidated net sales</w:t>
            </w: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42.4 %</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36.5%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i w:val="1"/>
                <w:iCs w:val="1"/>
                <w:color w:val="auto"/>
              </w:rPr>
              <w:t>590 bps</w:t>
            </w:r>
          </w:p>
        </w:tc>
      </w:tr>
      <w:tr>
        <w:trPr>
          <w:trHeight w:val="246"/>
        </w:trPr>
        <w:tc>
          <w:tcPr>
            <w:tcW w:w="4060" w:type="dxa"/>
            <w:vAlign w:val="bottom"/>
          </w:tcPr>
          <w:p>
            <w:pPr>
              <w:ind w:left="40"/>
              <w:spacing w:after="0"/>
              <w:rPr>
                <w:sz w:val="20"/>
                <w:szCs w:val="20"/>
                <w:color w:val="auto"/>
              </w:rPr>
            </w:pPr>
            <w:r>
              <w:rPr>
                <w:rFonts w:ascii="Arial" w:cs="Arial" w:eastAsia="Arial" w:hAnsi="Arial"/>
                <w:sz w:val="15"/>
                <w:szCs w:val="15"/>
                <w:color w:val="auto"/>
              </w:rPr>
              <w:t>Operating income</w:t>
            </w:r>
          </w:p>
        </w:tc>
        <w:tc>
          <w:tcPr>
            <w:tcW w:w="300" w:type="dxa"/>
            <w:vAlign w:val="bottom"/>
          </w:tcPr>
          <w:p>
            <w:pPr>
              <w:spacing w:after="0"/>
              <w:rPr>
                <w:sz w:val="21"/>
                <w:szCs w:val="21"/>
                <w:color w:val="auto"/>
              </w:rPr>
            </w:pP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20,954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84"/>
              <w:spacing w:after="0"/>
              <w:rPr>
                <w:sz w:val="20"/>
                <w:szCs w:val="20"/>
                <w:color w:val="auto"/>
              </w:rPr>
            </w:pPr>
            <w:r>
              <w:rPr>
                <w:rFonts w:ascii="Arial" w:cs="Arial" w:eastAsia="Arial" w:hAnsi="Arial"/>
                <w:sz w:val="15"/>
                <w:szCs w:val="15"/>
                <w:color w:val="auto"/>
              </w:rPr>
              <w:t>64,476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(43,522)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(67.5)%</w:t>
            </w:r>
          </w:p>
        </w:tc>
      </w:tr>
      <w:tr>
        <w:trPr>
          <w:trHeight w:val="274"/>
        </w:trPr>
        <w:tc>
          <w:tcPr>
            <w:tcW w:w="4060" w:type="dxa"/>
            <w:vAlign w:val="bottom"/>
            <w:shd w:val="clear" w:color="auto" w:fill="CCEEFF"/>
          </w:tcPr>
          <w:p>
            <w:pPr>
              <w:ind w:left="280"/>
              <w:spacing w:after="0"/>
              <w:rPr>
                <w:sz w:val="20"/>
                <w:szCs w:val="20"/>
                <w:color w:val="auto"/>
              </w:rPr>
            </w:pPr>
            <w:r>
              <w:rPr>
                <w:rFonts w:ascii="Arial" w:cs="Arial" w:eastAsia="Arial" w:hAnsi="Arial"/>
                <w:sz w:val="15"/>
                <w:szCs w:val="15"/>
                <w:i w:val="1"/>
                <w:iCs w:val="1"/>
                <w:color w:val="auto"/>
              </w:rPr>
              <w:t>Operating income as % of consolidated net sales</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4.1 %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44"/>
              <w:spacing w:after="0"/>
              <w:rPr>
                <w:sz w:val="20"/>
                <w:szCs w:val="20"/>
                <w:color w:val="auto"/>
              </w:rPr>
            </w:pPr>
            <w:r>
              <w:rPr>
                <w:rFonts w:ascii="Arial" w:cs="Arial" w:eastAsia="Arial" w:hAnsi="Arial"/>
                <w:sz w:val="15"/>
                <w:szCs w:val="15"/>
                <w:i w:val="1"/>
                <w:iCs w:val="1"/>
                <w:color w:val="auto"/>
              </w:rPr>
              <w:t>(470) bps</w:t>
            </w:r>
          </w:p>
        </w:tc>
      </w:tr>
      <w:tr>
        <w:trPr>
          <w:trHeight w:val="266"/>
        </w:trPr>
        <w:tc>
          <w:tcPr>
            <w:tcW w:w="4060" w:type="dxa"/>
            <w:vAlign w:val="bottom"/>
          </w:tcPr>
          <w:p>
            <w:pPr>
              <w:ind w:left="40"/>
              <w:spacing w:after="0"/>
              <w:rPr>
                <w:sz w:val="20"/>
                <w:szCs w:val="20"/>
                <w:color w:val="auto"/>
              </w:rPr>
            </w:pPr>
            <w:r>
              <w:rPr>
                <w:rFonts w:ascii="Arial" w:cs="Arial" w:eastAsia="Arial" w:hAnsi="Arial"/>
                <w:sz w:val="15"/>
                <w:szCs w:val="15"/>
                <w:color w:val="auto"/>
              </w:rPr>
              <w:t>Interest expense</w:t>
            </w:r>
          </w:p>
        </w:tc>
        <w:tc>
          <w:tcPr>
            <w:tcW w:w="300" w:type="dxa"/>
            <w:vAlign w:val="bottom"/>
          </w:tcPr>
          <w:p>
            <w:pPr>
              <w:spacing w:after="0"/>
              <w:rPr>
                <w:sz w:val="23"/>
                <w:szCs w:val="23"/>
                <w:color w:val="auto"/>
              </w:rPr>
            </w:pP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15,312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84"/>
              <w:spacing w:after="0"/>
              <w:rPr>
                <w:sz w:val="20"/>
                <w:szCs w:val="20"/>
                <w:color w:val="auto"/>
              </w:rPr>
            </w:pPr>
            <w:r>
              <w:rPr>
                <w:rFonts w:ascii="Arial" w:cs="Arial" w:eastAsia="Arial" w:hAnsi="Arial"/>
                <w:sz w:val="15"/>
                <w:szCs w:val="15"/>
                <w:color w:val="auto"/>
              </w:rPr>
              <w:t>9,072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24"/>
              <w:spacing w:after="0"/>
              <w:rPr>
                <w:sz w:val="20"/>
                <w:szCs w:val="20"/>
                <w:color w:val="auto"/>
              </w:rPr>
            </w:pPr>
            <w:r>
              <w:rPr>
                <w:rFonts w:ascii="Arial" w:cs="Arial" w:eastAsia="Arial" w:hAnsi="Arial"/>
                <w:sz w:val="15"/>
                <w:szCs w:val="15"/>
                <w:color w:val="auto"/>
              </w:rPr>
              <w:t>6,240</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68.8 %</w:t>
            </w:r>
          </w:p>
        </w:tc>
      </w:tr>
      <w:tr>
        <w:trPr>
          <w:trHeight w:val="274"/>
        </w:trPr>
        <w:tc>
          <w:tcPr>
            <w:tcW w:w="4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income</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(423)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86</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r>
      <w:tr>
        <w:trPr>
          <w:trHeight w:val="266"/>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expense, net</w:t>
            </w: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587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385</w:t>
            </w:r>
          </w:p>
        </w:tc>
        <w:tc>
          <w:tcPr>
            <w:tcW w:w="12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190.6 %</w:t>
            </w:r>
          </w:p>
        </w:tc>
      </w:tr>
      <w:tr>
        <w:trPr>
          <w:trHeight w:val="254"/>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3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5,478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55,711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(50,233)</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w:t>
            </w:r>
          </w:p>
        </w:tc>
      </w:tr>
      <w:tr>
        <w:trPr>
          <w:trHeight w:val="26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(Benefit) provision for income taxes</w:t>
            </w: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(2,678)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11,774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(14,452)</w:t>
            </w:r>
          </w:p>
        </w:tc>
        <w:tc>
          <w:tcPr>
            <w:tcW w:w="12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(122.7)%</w:t>
            </w:r>
          </w:p>
        </w:tc>
      </w:tr>
      <w:tr>
        <w:trPr>
          <w:trHeight w:val="267"/>
        </w:trPr>
        <w:tc>
          <w:tcPr>
            <w:tcW w:w="4060" w:type="dxa"/>
            <w:vAlign w:val="bottom"/>
            <w:shd w:val="clear" w:color="auto" w:fill="CCEEFF"/>
          </w:tcPr>
          <w:p>
            <w:pPr>
              <w:ind w:left="280"/>
              <w:spacing w:after="0" w:line="268" w:lineRule="exact"/>
              <w:rPr>
                <w:sz w:val="20"/>
                <w:szCs w:val="20"/>
                <w:color w:val="auto"/>
              </w:rPr>
            </w:pPr>
            <w:r>
              <w:rPr>
                <w:rFonts w:ascii="Arial" w:cs="Arial" w:eastAsia="Arial" w:hAnsi="Arial"/>
                <w:sz w:val="15"/>
                <w:szCs w:val="15"/>
                <w:i w:val="1"/>
                <w:iCs w:val="1"/>
                <w:color w:val="auto"/>
              </w:rPr>
              <w:t>Effective tax rate</w:t>
            </w:r>
            <w:r>
              <w:rPr>
                <w:rFonts w:ascii="Arial" w:cs="Arial" w:eastAsia="Arial" w:hAnsi="Arial"/>
                <w:sz w:val="25"/>
                <w:szCs w:val="25"/>
                <w:i w:val="1"/>
                <w:iCs w:val="1"/>
                <w:color w:val="auto"/>
                <w:vertAlign w:val="superscript"/>
              </w:rPr>
              <w:t>(*)</w:t>
            </w: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(48.9)%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21.1%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i w:val="1"/>
                <w:iCs w:val="1"/>
                <w:color w:val="auto"/>
              </w:rPr>
              <w:t>nm</w:t>
            </w:r>
          </w:p>
        </w:tc>
      </w:tr>
      <w:tr>
        <w:trPr>
          <w:trHeight w:val="277"/>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income</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8,156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43,937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(35,781)</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w:t>
            </w:r>
          </w:p>
        </w:tc>
      </w:tr>
      <w:tr>
        <w:trPr>
          <w:trHeight w:val="197"/>
        </w:trPr>
        <w:tc>
          <w:tcPr>
            <w:tcW w:w="4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66"/>
        </w:trPr>
        <w:tc>
          <w:tcPr>
            <w:tcW w:w="4060" w:type="dxa"/>
            <w:vAlign w:val="bottom"/>
          </w:tcPr>
          <w:p>
            <w:pPr>
              <w:ind w:left="40"/>
              <w:spacing w:after="0"/>
              <w:rPr>
                <w:sz w:val="20"/>
                <w:szCs w:val="20"/>
                <w:color w:val="auto"/>
              </w:rPr>
            </w:pPr>
            <w:r>
              <w:rPr>
                <w:rFonts w:ascii="Arial" w:cs="Arial" w:eastAsia="Arial" w:hAnsi="Arial"/>
                <w:sz w:val="15"/>
                <w:szCs w:val="15"/>
                <w:color w:val="auto"/>
              </w:rPr>
              <w:t>Basic net income per common share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0.19</w:t>
            </w:r>
          </w:p>
        </w:tc>
        <w:tc>
          <w:tcPr>
            <w:tcW w:w="100" w:type="dxa"/>
            <w:vAlign w:val="bottom"/>
          </w:tcPr>
          <w:p>
            <w:pPr>
              <w:spacing w:after="0"/>
              <w:rPr>
                <w:sz w:val="23"/>
                <w:szCs w:val="23"/>
                <w:color w:val="auto"/>
              </w:rPr>
            </w:pPr>
          </w:p>
        </w:tc>
        <w:tc>
          <w:tcPr>
            <w:tcW w:w="3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84"/>
              <w:spacing w:after="0"/>
              <w:rPr>
                <w:sz w:val="20"/>
                <w:szCs w:val="20"/>
                <w:color w:val="auto"/>
              </w:rPr>
            </w:pPr>
            <w:r>
              <w:rPr>
                <w:rFonts w:ascii="Arial" w:cs="Arial" w:eastAsia="Arial" w:hAnsi="Arial"/>
                <w:sz w:val="15"/>
                <w:szCs w:val="15"/>
                <w:color w:val="auto"/>
              </w:rPr>
              <w:t>0.97</w:t>
            </w:r>
          </w:p>
        </w:tc>
        <w:tc>
          <w:tcPr>
            <w:tcW w:w="100" w:type="dxa"/>
            <w:vAlign w:val="bottom"/>
          </w:tcPr>
          <w:p>
            <w:pPr>
              <w:spacing w:after="0"/>
              <w:rPr>
                <w:sz w:val="23"/>
                <w:szCs w:val="23"/>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(0.78)</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(80.1)%</w:t>
            </w:r>
          </w:p>
        </w:tc>
      </w:tr>
      <w:tr>
        <w:trPr>
          <w:trHeight w:val="274"/>
        </w:trPr>
        <w:tc>
          <w:tcPr>
            <w:tcW w:w="4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Diluted net income per common share</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0.19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0.97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(0.78)</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w:t>
            </w:r>
          </w:p>
        </w:tc>
      </w:tr>
      <w:tr>
        <w:trPr>
          <w:trHeight w:val="262"/>
        </w:trPr>
        <w:tc>
          <w:tcPr>
            <w:tcW w:w="4060" w:type="dxa"/>
            <w:vAlign w:val="bottom"/>
          </w:tcPr>
          <w:p>
            <w:pPr>
              <w:ind w:left="40"/>
              <w:spacing w:after="0"/>
              <w:rPr>
                <w:sz w:val="20"/>
                <w:szCs w:val="20"/>
                <w:color w:val="auto"/>
              </w:rPr>
            </w:pPr>
            <w:r>
              <w:rPr>
                <w:rFonts w:ascii="Arial" w:cs="Arial" w:eastAsia="Arial" w:hAnsi="Arial"/>
                <w:sz w:val="15"/>
                <w:szCs w:val="15"/>
                <w:color w:val="auto"/>
              </w:rPr>
              <w:t>Dividend declared and paid per common share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6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84"/>
              <w:spacing w:after="0"/>
              <w:rPr>
                <w:sz w:val="20"/>
                <w:szCs w:val="20"/>
                <w:color w:val="auto"/>
              </w:rPr>
            </w:pPr>
            <w:r>
              <w:rPr>
                <w:rFonts w:ascii="Arial" w:cs="Arial" w:eastAsia="Arial" w:hAnsi="Arial"/>
                <w:sz w:val="15"/>
                <w:szCs w:val="15"/>
                <w:color w:val="auto"/>
              </w:rPr>
              <w:t>0.50</w:t>
            </w:r>
          </w:p>
        </w:tc>
        <w:tc>
          <w:tcPr>
            <w:tcW w:w="100" w:type="dxa"/>
            <w:vAlign w:val="bottom"/>
          </w:tcPr>
          <w:p>
            <w:pPr>
              <w:spacing w:after="0"/>
              <w:rPr>
                <w:sz w:val="22"/>
                <w:szCs w:val="22"/>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(0.50)</w:t>
            </w:r>
          </w:p>
        </w:tc>
        <w:tc>
          <w:tcPr>
            <w:tcW w:w="1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(100.0)%</w:t>
            </w:r>
          </w:p>
        </w:tc>
      </w:tr>
    </w:tbl>
    <w:p>
      <w:pPr>
        <w:spacing w:after="0" w:line="4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Effective tax rate is calculated by dividing the (benefit) provision for income taxes by income before income taxes.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i w:val="1"/>
          <w:iCs w:val="1"/>
          <w:color w:val="auto"/>
        </w:rPr>
        <w:t>Note: Results may not be additive due to rounding.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Consolidated net sales decreased $219.5 million, or 29.9%, to $514.9 million in the second quarter of fiscal 2020. This decrease primarily reflected the closure of our retail stores in the second quarter of fiscal 2020, particularly during the months of April and May, and decreased sales to our wholesale customers as a result of disruptions related to COVID-19, partially offset by an increase in net sales through our eCommerce channel. Changes in foreign currency exchange rates used for translation in the second quarter of fiscal 2020, as compared to the second quarter of fiscal 2019, had an unfavorable effect on our consolidated net sales of approximately $2.0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consolidated gross profit decreased $87.5 million, or 27.1%, to $235.5 million in the second quarter of fiscal 2020. Consolidated gross margin increased 170 bps to 45.7% in the second quarter of fiscal 2020.</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profit is calculated as consolidated net sales less cost of goods sold, and gross margin is calculated as gross profit divided by consolidated net sales. Cost of goods sold include expenses related to the merchandising, design, and procurement of</w:t>
      </w:r>
    </w:p>
    <w:p>
      <w:pPr>
        <w:sectPr>
          <w:pgSz w:w="11900" w:h="16838" w:orient="portrait"/>
          <w:cols w:equalWidth="0" w:num="1">
            <w:col w:w="11240"/>
          </w:cols>
          <w:pgMar w:left="320" w:top="337"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SG&amp;A.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Accordingly, our gross profit and gross margin may not be comparable to other entities that define their metrics differently.</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decrease in consolidated gross profit was primarily due to decreased consolidated net sales across our businesses. The increase in gross margin was primarily due to an increase in average selling prices and better than expected sales of inventory that was reserved in the first quarter of fiscal 2020 due to COVID-19 related disruptions.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Royalty income decreased $6.0 million, or 62.8%, to $3.6 million in the second quarter of fiscal 2020, primarily as a result of decreased licensee sales volume due to business disruptions related to COVID-19.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Consolidated SG&amp;A expenses decreased $50.0 million, or 18.6%, to $218.1 million in the second quarter of fiscal 2020 and increased as a percentage of consolidated net sales by approximately 590 bps to 42.4%. This increase was primarily driven by decreased consolidated net sales as a result of business disruptions related to COVID-19, incremental COVID-19 related charges, increased eCommerce costs due to an increase in eCommerce demand, impairment charges on operating lease assets, and organizational restructuring charges, all partially offset by decreased retail store expenses as a result of store closures, decreased distribution and freight costs as a result of fewer units shipped to retail stores, decreased marketing costs due to a reduction in spend and the shift to eCommerce demand, reductions in performance-based compensation and reductions in other discretionary spending.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operating income decreased $43.5 million, or 67.5%, to $21.0 million in the second quarter of fiscal 2020 and decreased as a percentage of net sales by approximately 470 bps to 4.1% in the second quarter of fiscal 2020, primarily due to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Interest expense increased $6.2 million, or 68.8%, to $15.3 million in the second quarter of fiscal 2020. Weighted-average borrowings for the second quarter of fiscal 2020 were $1.26 billion at an effective interest rate of 4.76%, compared to weighted-average borrowings for the second quarter of fiscal 2019 of $608.8 million at an effective interest rate of 5.78%.</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increase in weighted-average borrowings during the second quarter of fiscal 2020 was attributable to the issuance of $500 million in principal amount of senior notes due 2025 in May 2020, as well as to increased borrowings under our secured revolving credit facility to strengthen our cash position. The decrease in the effective interest rate for the second quarter of fiscal 2020 compared to the second quarter of fiscal 2019 was primarily due to lower LIBOR rates and increased variable-rate borrowings under our secured revolving credit facility in April and May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was $0.6 million in the second quarter of fiscal 2020 compared to $0.2 million in the second quarter of fiscal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consolidated income tax provision decreased $14.5 million, or 122.7%, to a $(2.7) million benefit in the second quarter of fiscal 2020. Our effective tax rate was (48.9)% in the second quarter of fiscal 2020 compared to 21.1% in the second quarter of fiscal 2019.</w:t>
      </w:r>
    </w:p>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change in effective tax rate primarily reflects a year-to-date adjustment in forecasted earnings in the United States at the end of the second quarter of fiscal 2020 that was greater than what was expected at the first quarter of fiscal 2020. We expect a tax rate for the remainder of the year to be approximately 21%.</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33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consolidated net income decreased $35.8 million, or 81.4%, to $8.2 million in the second quarter of fiscal 2020. This decrease was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Second Quarter of Fiscal 2020 compared to Second Quarter of Fiscal 2019</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and operating income, by segment, for the second fiscal quarter ended June 27, 2020 and June 29, 2019: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680"/>
              <w:spacing w:after="0"/>
              <w:rPr>
                <w:sz w:val="20"/>
                <w:szCs w:val="20"/>
                <w:color w:val="auto"/>
              </w:rPr>
            </w:pPr>
            <w:r>
              <w:rPr>
                <w:rFonts w:ascii="Arial" w:cs="Arial" w:eastAsia="Arial" w:hAnsi="Arial"/>
                <w:sz w:val="16"/>
                <w:szCs w:val="16"/>
                <w:b w:val="1"/>
                <w:bCs w:val="1"/>
                <w:color w:val="auto"/>
              </w:rPr>
              <w:t>Fiscal quarter 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of consolidated</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 of consolidated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27, 2020</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 2019</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14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316,016</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61.4 %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423,128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57.6 %</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3"/>
              </w:rPr>
              <w:t>(107,112)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(25.3)%</w:t>
            </w:r>
          </w:p>
        </w:tc>
      </w:tr>
      <w:tr>
        <w:trPr>
          <w:trHeight w:val="33"/>
        </w:trPr>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151,744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229,091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(77,347)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37"/>
        </w:trPr>
        <w:tc>
          <w:tcPr>
            <w:tcW w:w="314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47,125</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82,165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(35,040)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(42.6)%</w:t>
            </w:r>
          </w:p>
        </w:tc>
      </w:tr>
      <w:tr>
        <w:trPr>
          <w:trHeight w:val="33"/>
        </w:trPr>
        <w:tc>
          <w:tcPr>
            <w:tcW w:w="3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Consolidated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514,885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734,384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(219,499)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0"/>
              </w:rPr>
              <w:t>% of segment net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2"/>
              </w:rPr>
              <w:t>% of segment net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79"/>
              </w:rPr>
              <w:t>sales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4"/>
              </w:rPr>
              <w:t>sales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7"/>
        </w:trPr>
        <w:tc>
          <w:tcPr>
            <w:tcW w:w="314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23,720</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51,146</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(27,426)</w:t>
            </w:r>
          </w:p>
        </w:tc>
        <w:tc>
          <w:tcPr>
            <w:tcW w:w="120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33"/>
        </w:trPr>
        <w:tc>
          <w:tcPr>
            <w:tcW w:w="3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21,192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35,335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37"/>
        </w:trPr>
        <w:tc>
          <w:tcPr>
            <w:tcW w:w="314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(5,514)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4,257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(9,771)</w:t>
            </w:r>
          </w:p>
        </w:tc>
        <w:tc>
          <w:tcPr>
            <w:tcW w:w="1200" w:type="dxa"/>
            <w:vAlign w:val="bottom"/>
          </w:tcPr>
          <w:p>
            <w:pPr>
              <w:jc w:val="right"/>
              <w:spacing w:after="0"/>
              <w:rPr>
                <w:sz w:val="20"/>
                <w:szCs w:val="20"/>
                <w:color w:val="auto"/>
              </w:rPr>
            </w:pPr>
            <w:r>
              <w:rPr>
                <w:rFonts w:ascii="Arial" w:cs="Arial" w:eastAsia="Arial" w:hAnsi="Arial"/>
                <w:sz w:val="16"/>
                <w:szCs w:val="16"/>
                <w:color w:val="auto"/>
              </w:rPr>
              <w:t>(229.5)%</w:t>
            </w:r>
          </w:p>
        </w:tc>
      </w:tr>
      <w:tr>
        <w:trPr>
          <w:trHeight w:val="33"/>
        </w:trPr>
        <w:tc>
          <w:tcPr>
            <w:tcW w:w="3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Unallocated corporate expenses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(18,444)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29.8 %</w:t>
            </w:r>
          </w:p>
        </w:tc>
      </w:tr>
      <w:tr>
        <w:trPr>
          <w:trHeight w:val="243"/>
        </w:trPr>
        <w:tc>
          <w:tcPr>
            <w:tcW w:w="3140" w:type="dxa"/>
            <w:vAlign w:val="bottom"/>
          </w:tcPr>
          <w:p>
            <w:pPr>
              <w:ind w:left="280"/>
              <w:spacing w:after="0"/>
              <w:rPr>
                <w:sz w:val="20"/>
                <w:szCs w:val="20"/>
                <w:color w:val="auto"/>
              </w:rPr>
            </w:pPr>
            <w:r>
              <w:rPr>
                <w:rFonts w:ascii="Arial" w:cs="Arial" w:eastAsia="Arial" w:hAnsi="Arial"/>
                <w:sz w:val="16"/>
                <w:szCs w:val="16"/>
                <w:color w:val="auto"/>
              </w:rPr>
              <w:t>Consolidated operating income</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20,954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64,476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(43,522)</w:t>
            </w:r>
          </w:p>
        </w:tc>
        <w:tc>
          <w:tcPr>
            <w:tcW w:w="1200" w:type="dxa"/>
            <w:vAlign w:val="bottom"/>
          </w:tcPr>
          <w:p>
            <w:pPr>
              <w:jc w:val="right"/>
              <w:spacing w:after="0"/>
              <w:rPr>
                <w:sz w:val="20"/>
                <w:szCs w:val="20"/>
                <w:color w:val="auto"/>
              </w:rPr>
            </w:pPr>
            <w:r>
              <w:rPr>
                <w:rFonts w:ascii="Arial" w:cs="Arial" w:eastAsia="Arial" w:hAnsi="Arial"/>
                <w:sz w:val="16"/>
                <w:szCs w:val="16"/>
                <w:color w:val="auto"/>
              </w:rPr>
              <w:t>(67.5)%</w:t>
            </w:r>
          </w:p>
        </w:tc>
      </w:tr>
      <w:tr>
        <w:trPr>
          <w:trHeight w:val="20"/>
        </w:trPr>
        <w:tc>
          <w:tcPr>
            <w:tcW w:w="3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a result of the significant store closures in April and May 2020 in response to COVID-19, we have not included a discussion of the second quarter of fiscal 2020 retail comparable sales as we do not believe it is a meaningful metric during the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U.S. Retail segment net sales decreased $107.1 million, or 25.3%, to $316.0 million in the second quarter of fiscal 2020. The decrease in net sales was primarily driven by temporary closure of all of our retail stores in the United States in response to COVID-19, partially offset by an increase in eCommerce sales. As of June 27, 2020, we have reopened 832 stores, with plans for the remaining stores to reopen in the third quarter, subject to safety considerations resulting from the progression of COVID-19 and related laws and regulations put in place by state and local governments. As of June 27, 2020, we operated 860 retail stores in the U.S. compared to 862 as of December 28, 2019.</w:t>
      </w:r>
    </w:p>
    <w:p>
      <w:pPr>
        <w:spacing w:after="0" w:line="14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U.S. Retail segment operating income decreased $27.4 million, or 53.6%, to $23.7 million in the second quarter of fiscal 2020. Operating margin decreased 460 bps to 7.5% in the second quarter of fiscal 2020. The primary drivers of the decrease in operating margin were a 70 bps decrease in royalty income, and a 390 bps increase in SG&amp;A rate. Gross margin remained consistent as increases in average selling prices were offset by an increase in inventory provisions and inventory-related handling costs. The decrease in royalty income was primarily due to decreased licensee sales volumes due to business disruptions related to COVID-19. The increase in the SG&amp;A rate was primarily due to increased eCommerce costs due to an increase in eCommerce demand, incremental COVID-19 related charges, impairment charges on operating lease assets, and organizational restructuring charges, partially offset by decreased retail store expenses as a result of store closures, decreased distribution and freight costs as a result of fewer units shipped to retail stores, decreased marketing costs due to a reduction in spend and the shift to eCommerce demand, and reductions in performance-based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U.S. Wholesale segment net sales decreased $77.3 million, or 33.8%, to $151.7 million in the second quarter of fiscal 2020 primarily due to decreased sales to certain of our wholesale customers as a result of disruptions related to COVID-19, partially offset by an increase in net sales of our exclusive Carter's brands.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U.S. Wholesale segment operating income decreased $14.1 million, or 40.0%, to $21.2 million in the second quarter of fiscal 2020. Operating margin decreased 140 bps to 14.0% in the second quarter of fiscal 2020. The primary drivers of the decrease in operating margin were a 580 bps increase in gross margin, an 80 bps decrease in royalty income, and a 640 bps increase in the SG&amp;A rate. The increase in gross margin was primarily due to an increase in average selling price per unit and better than expected sales of inventory that was reserved in the first quarter of fiscal 2020 due to COVID-19 related disruptions, partially offset by unfavorable customer mix. The decrease in royalty income was primarily a result of our customers' business disruptions and temporary store closures related to COVID-19. The increase in the SG&amp;A rate was primarily due to incremental COVID-19 related charges, deleverage of fixed distribution costs, and increased investments in technology initiatives, partially offset by decreased marketing costs due to a reduction in spend and decreased selling expenses as a result of fewer units sold.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International segment net sales decreased $35.0 million, or 42.6%, to $47.1 million in the second quarter of fiscal 2020. Changes in foreign currency exchange rates used for translation had a $2.0 million unfavorable effect on International segment net sales in the second quarter of fiscal 2020. The decrease in net sales is primarily due to a decrease in retail store sales in Canada and Mexico driven by temporary store closures in response to COVID-19 and decreased wholesale shipments to our international partners as a result of COVID-19, partially offset by growth in Canadian eCommerce and the addition of our Mexico eCommerce in late fiscal 2019.</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June 27, 2020, we have reopened 177 stores and 17 stores in Canada and Mexico respectively, with plans for the remaining stores to reopen in the third quarter, subject to safety considerations resulting from the progression of COVID-19 and related laws and regulations put in place by state and local governments. As of June 27, 2020, we operated 196 and 43 retail stores in Canada and Mexico respectively, compared to 201 and 46 as of December 28, 2019.</w:t>
      </w:r>
    </w:p>
    <w:p>
      <w:pPr>
        <w:spacing w:after="0" w:line="1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International segment operating income decreased $9.8 million, or 229.5%, to a $(5.5) million operating loss in the second quarter of fiscal 2020. Operating margin decreased 1,690 bps to (11.7)% in the second quarter of fiscal 2020. The decrease in the operating margin was primarily attributable to a 630 bps decrease in gross margin and a 1,110 bps increase in the SG&amp;A rate. The decrease in gross margin was primarily due to an increase in inventory provisions related to COVID-19 disruptions. The increase in the SG&amp;A rate was primarily due to lower sales due to reduced demand as a result of COVID-19, incremental COVID-19 related charges, and deleverage of retail store expenses as a result of temporary store closures, partially offset by decreased provisions for bad debt, decreased marketing costs, and decreased freights costs as a result of fewer units sold.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Unallocated corporate expenses decreased $7.8 million, or 29.8%, to $18.4 million in the second quarter of fiscal 2020. Unallocated corporate expenses, as a percentage of consolidated net sales, remained consistent at 3.6% in the second quarter of fiscal 2020 as decreased consolidated net sales were offset by spending reductions.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33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FISCAL QUARTERS ENDED JUNE 27, 2020 COMPARED TO TWO FISCAL QUARTERS ENDED JUNE 29, 2019</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720"/>
              <w:spacing w:after="0"/>
              <w:rPr>
                <w:sz w:val="20"/>
                <w:szCs w:val="20"/>
                <w:color w:val="auto"/>
              </w:rPr>
            </w:pPr>
            <w:r>
              <w:rPr>
                <w:rFonts w:ascii="Arial" w:cs="Arial" w:eastAsia="Arial" w:hAnsi="Arial"/>
                <w:sz w:val="16"/>
                <w:szCs w:val="16"/>
                <w:b w:val="1"/>
                <w:bCs w:val="1"/>
                <w:color w:val="auto"/>
              </w:rPr>
              <w:t>Two fiscal quarters ended</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231"/>
        </w:trPr>
        <w:tc>
          <w:tcPr>
            <w:tcW w:w="40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 except per share data)</w:t>
            </w:r>
          </w:p>
        </w:tc>
        <w:tc>
          <w:tcPr>
            <w:tcW w:w="28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27, 2020</w:t>
            </w:r>
          </w:p>
        </w:tc>
        <w:tc>
          <w:tcPr>
            <w:tcW w:w="280" w:type="dxa"/>
            <w:vAlign w:val="bottom"/>
          </w:tcPr>
          <w:p>
            <w:pPr>
              <w:spacing w:after="0"/>
              <w:rPr>
                <w:sz w:val="20"/>
                <w:szCs w:val="20"/>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29, 2019</w:t>
            </w:r>
          </w:p>
        </w:tc>
        <w:tc>
          <w:tcPr>
            <w:tcW w:w="280" w:type="dxa"/>
            <w:vAlign w:val="bottom"/>
          </w:tcPr>
          <w:p>
            <w:pPr>
              <w:spacing w:after="0"/>
              <w:rPr>
                <w:sz w:val="20"/>
                <w:szCs w:val="20"/>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 Change</w:t>
            </w:r>
          </w:p>
        </w:tc>
        <w:tc>
          <w:tcPr>
            <w:tcW w:w="1640" w:type="dxa"/>
            <w:vAlign w:val="bottom"/>
          </w:tcPr>
          <w:p>
            <w:pPr>
              <w:jc w:val="right"/>
              <w:ind w:right="199"/>
              <w:spacing w:after="0"/>
              <w:rPr>
                <w:sz w:val="20"/>
                <w:szCs w:val="20"/>
                <w:color w:val="auto"/>
              </w:rPr>
            </w:pPr>
            <w:r>
              <w:rPr>
                <w:rFonts w:ascii="Arial" w:cs="Arial" w:eastAsia="Arial" w:hAnsi="Arial"/>
                <w:sz w:val="16"/>
                <w:szCs w:val="16"/>
                <w:b w:val="1"/>
                <w:bCs w:val="1"/>
                <w:color w:val="auto"/>
              </w:rPr>
              <w:t>% / bps Change</w:t>
            </w:r>
          </w:p>
        </w:tc>
      </w:tr>
      <w:tr>
        <w:trPr>
          <w:trHeight w:val="33"/>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1,169,357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1,475,442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(306,085)</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687,445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835,528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(148,083)</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Adverse purchase commitments (inventory, 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18,134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17,083</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17"/>
        </w:trPr>
        <w:tc>
          <w:tcPr>
            <w:tcW w:w="40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463,778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638,863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(175,085)</w:t>
            </w: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Gross profit as % of consolidated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39.7 %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(360) bps</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280" w:type="dxa"/>
            <w:vAlign w:val="bottom"/>
          </w:tcPr>
          <w:p>
            <w:pPr>
              <w:spacing w:after="0"/>
              <w:rPr>
                <w:sz w:val="20"/>
                <w:szCs w:val="20"/>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10,926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18,179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(7,253)</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Royalty income as % of consolidated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(30) bps</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20"/>
                <w:szCs w:val="20"/>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487,986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531,807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(43,821)</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SG&amp;A expenses as % of consolidated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41.7 %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570 bps</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80" w:type="dxa"/>
            <w:vAlign w:val="bottom"/>
          </w:tcPr>
          <w:p>
            <w:pPr>
              <w:spacing w:after="0"/>
              <w:rPr>
                <w:sz w:val="20"/>
                <w:szCs w:val="20"/>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20"/>
                <w:szCs w:val="20"/>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 impairment</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26,500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26,500</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n/a</w:t>
            </w:r>
          </w:p>
        </w:tc>
      </w:tr>
      <w:tr>
        <w:trPr>
          <w:trHeight w:val="217"/>
        </w:trPr>
        <w:tc>
          <w:tcPr>
            <w:tcW w:w="4060" w:type="dxa"/>
            <w:vAlign w:val="bottom"/>
          </w:tcPr>
          <w:p>
            <w:pPr>
              <w:ind w:left="40"/>
              <w:spacing w:after="0"/>
              <w:rPr>
                <w:sz w:val="20"/>
                <w:szCs w:val="20"/>
                <w:color w:val="auto"/>
              </w:rPr>
            </w:pPr>
            <w:r>
              <w:rPr>
                <w:rFonts w:ascii="Arial" w:cs="Arial" w:eastAsia="Arial" w:hAnsi="Arial"/>
                <w:sz w:val="16"/>
                <w:szCs w:val="16"/>
                <w:color w:val="auto"/>
              </w:rPr>
              <w:t>Operating (loss) income</w:t>
            </w: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(57,524)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125,235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(182,759)</w:t>
            </w: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(145.9)%</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w w:val="96"/>
              </w:rPr>
              <w:t>Operating (loss) income as % of consolidated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(1,340) bps</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24,176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18,701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5,475</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29.3 %</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280" w:type="dxa"/>
            <w:vAlign w:val="bottom"/>
          </w:tcPr>
          <w:p>
            <w:pPr>
              <w:spacing w:after="0"/>
              <w:rPr>
                <w:sz w:val="20"/>
                <w:szCs w:val="20"/>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5,405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5,414</w:t>
            </w:r>
          </w:p>
        </w:tc>
        <w:tc>
          <w:tcPr>
            <w:tcW w:w="120" w:type="dxa"/>
            <w:vAlign w:val="bottom"/>
          </w:tcPr>
          <w:p>
            <w:pPr>
              <w:spacing w:after="0"/>
              <w:rPr>
                <w:sz w:val="20"/>
                <w:szCs w:val="20"/>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(7,823)</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n/a</w:t>
            </w:r>
          </w:p>
        </w:tc>
      </w:tr>
      <w:tr>
        <w:trPr>
          <w:trHeight w:val="217"/>
        </w:trPr>
        <w:tc>
          <w:tcPr>
            <w:tcW w:w="406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(86,218)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99,457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(185,675)</w:t>
            </w: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(186.7)%</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21,054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(36,734)</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r>
      <w:tr>
        <w:trPr>
          <w:trHeight w:val="264"/>
        </w:trPr>
        <w:tc>
          <w:tcPr>
            <w:tcW w:w="4060" w:type="dxa"/>
            <w:vAlign w:val="bottom"/>
            <w:tcBorders>
              <w:bottom w:val="single" w:sz="8" w:color="CCEEFF"/>
            </w:tcBorders>
          </w:tcPr>
          <w:p>
            <w:pPr>
              <w:ind w:left="280"/>
              <w:spacing w:after="0"/>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tc>
        <w:tc>
          <w:tcPr>
            <w:tcW w:w="28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i w:val="1"/>
                <w:iCs w:val="1"/>
                <w:color w:val="auto"/>
              </w:rPr>
              <w:t>18.2 %</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i w:val="1"/>
                <w:iCs w:val="1"/>
                <w:color w:val="auto"/>
              </w:rPr>
              <w:t>21.2%</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i w:val="1"/>
                <w:iCs w:val="1"/>
                <w:color w:val="auto"/>
              </w:rPr>
              <w:t>(300) bps</w:t>
            </w: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(148,941)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r>
      <w:tr>
        <w:trPr>
          <w:trHeight w:val="20"/>
        </w:trPr>
        <w:tc>
          <w:tcPr>
            <w:tcW w:w="4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3"/>
        </w:trPr>
        <w:tc>
          <w:tcPr>
            <w:tcW w:w="4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(loss) income per common share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(194.8)%</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Diluted net (loss) income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(195.3)%</w:t>
            </w:r>
          </w:p>
        </w:tc>
      </w:tr>
      <w:tr>
        <w:trPr>
          <w:trHeight w:val="3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33"/>
        </w:trPr>
        <w:tc>
          <w:tcPr>
            <w:tcW w:w="4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 tax rate is calculated by dividing the (benefit) provision for income taxes by (loss) income before income taxes.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i w:val="1"/>
          <w:iCs w:val="1"/>
          <w:color w:val="auto"/>
        </w:rPr>
        <w:t>Note: Results may not be additive due to rounding.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Consolidated net sales decreased $306.1 million, or 20.7%, to $1.17 billion in the first two quarters of fiscal 2020. This decrease primarily reflected the temporary closure of our retail stores, particularly during the months of March, April, and May, and decreased sales to our wholesale customers as a result of disruptions related to COVID-19. Changes in foreign currency exchange rates used for translation in the first two quarters of fiscal 2020, as compared to the first two quarters of fiscal 2019, had an unfavorable effect on our consolidated net sales of approximately $2.7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consolidated gross profit decreased $175.1 million, or 27.4%, to $463.8 million in the first two quarters of fiscal 2020. Consolidated gross margin decreased 360 bps to 39.7% in the first two quarters of fiscal 2020.</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decrease in consolidated gross profit and gross margin was primarily due to lower net sales across our businesses, increased inventory provisions and recognition of other adverse inventory and fabric purchase commitments from disruptions related to COVID-19. The Company recorded incremental inventory related charges of $41.8 million, inclusive of $18.1 million in adverse inventory and fabric purchase commitments in the first two quarters of fiscal 2020, primarily due to disruptions related to COVID-19.</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Royalty income decreased $7.3 million, or 39.9%, to $10.9 million in the first two quarters of fiscal 2020, primarily as a result of decreased licensee sales volume due to business disruptions related to COVID-19. Additionally, in 2019, the Company ended a previous royalty arrangement with Target related to the Genuine Kids by OshKosh brand. The Company now sells the OshKosh brand to Target directly under a wholesale business model.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Consolidated SG&amp;A expenses decreased $43.8 million, or 8.2%, to $488.0 million in the first two quarters of fiscal 2020 and increased as a percentage of consolidated net sales approximately 570 bps to 41.7%. This increase was primarily driven by lower net sales as a result of business disruptions related to COVID-19, incremental COVID-19 related charges, increased eCommerce costs due to an increase in eCommerce demand, impairment charges on operating lease assets, increased bad debt expense, organizational restructuring charges, and increased investments in technology initiatives, all partially offset by decreased performance-based compensation, decreased distribution and freight costs as a result of fewer units shipped to retail stores, decreased marketing costs due to a reduction in spend and the shift to eCommerce demand, and reductions in other discretionary spending.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first quarter of fiscal 2020, the Company's market capitalization declined, and actual and projected sales and profitability decreased as a result of disruptions related to COVID-19. Based on these events, we concluded that a triggering event occurred, and we performed an interim quantitative impairment test as of March 28, 2020. Based upon the results of the impairment test, we recognized a goodwill impairment charge of $17.7 million during the first quarter of fiscal 2020 which was recorded to the Other International reporting unit in the International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the first quarter of fiscal 2020, the Company recorded non-cash impairment charges of $15.5 million and $11.0 million related to its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Hop </w:t>
      </w:r>
      <w:r>
        <w:rPr>
          <w:rFonts w:ascii="Arial" w:cs="Arial" w:eastAsia="Arial" w:hAnsi="Arial"/>
          <w:sz w:val="18"/>
          <w:szCs w:val="18"/>
          <w:color w:val="auto"/>
        </w:rPr>
        <w:t>tradename assets recorded in connection with the acquisition of OshKosh B'Gosh, Inc. in July 2005 and Skip Hop Holdings, Inc. in February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impairment reflected lower-than-expected actual sales, and lower projected sales and profitability due to decreased demand as a result of disruptions related to COVID-19.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 Income</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operating income decreased $182.8 million, or 145.9%, to a $(57.5) million operating loss in the first two quarters of fiscal 2020 and decreased as a percentage of net sales by approximately 1,340 bps to (4.9)% in the first two quarters of fiscal 2020, primarily due to the factors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Interest expense increased $5.5 million, or 29.3%, to $24.2 million in the first two quarters of fiscal 2020. Weighted-average borrowings for the first two quarters of fiscal 2020 were $946.4 million at an effective interest rate of 5.00%, compared to weighted-average borrowings for the first two quarters of fiscal 2019 of $624.2 million at an effective interest rate of 5.51%.</w:t>
      </w:r>
    </w:p>
    <w:p>
      <w:pPr>
        <w:spacing w:after="0" w:line="14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increase in weighted-average borrowings during the first two quarters of fiscal 2020 was attributable to the issuance of $500 million in principal amount of senior notes in May 2020, as well as to increased borrowings under our secured revolving credit facility beginning in March to strengthen our cash position. The decrease in the effective interest rate for the first two quarters of fiscal 2020 compared to the first two quarters of fiscal 2019 was primarily due to lower LIBOR rates and increased variable-rate borrowings under our secured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expense (income), net increased $5.4 million in the first two quarters of fiscal 2020 primarily due to a foreign exchange loss on intercompany loans in the first quarter of fiscal 2020 related to the strengthening of the U.S. dollar.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9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During the first quarter of fiscal 2019, loss on extinguishment of debt was $7.8 million due to the early extinguishment of our $400 million in aggregate principal amount of 5.25% senior notes due in 2021. Concurrently, we issued $500 million in aggregate principal amount of 5.625% senior notes due in 2027.</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consolidated income tax provision decreased $36.7 million, or 174.5%, to a $(15.7) million benefit in the first two quarters of fiscal 2020. Our effective tax rate was 18.2% in the first two quarters of fiscal 2020 compared to 21.2% in the first two quarters of fiscal 2019. The change in effective tax rate primarily reflects a year-to-date adjustment in forecasted earnings in the United States at the end of the second quarter of fiscal 2020 that was greater than what was expected at the first quarter of fiscal 2020, the increase in tax benefits related to the vesting of stock awards in the first two quarters of fiscal 2020, and the impact of goodwill impairments in the first quarter of fiscal 2020 with no corresponding tax benefit.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net income decreased $148.9 million, or 190.0%, to a $(70.5) million net loss in the first two quarters of fiscal 2020. This decrease was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First Two Quarters of Fiscal 2020 compared to First Two Quarters of Fiscal 2019</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and operating income, by segment, for the first two fiscal quarters ended June 27, 2020 and June 29, 2019: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500"/>
              <w:spacing w:after="0"/>
              <w:rPr>
                <w:sz w:val="20"/>
                <w:szCs w:val="20"/>
                <w:color w:val="auto"/>
              </w:rPr>
            </w:pPr>
            <w:r>
              <w:rPr>
                <w:rFonts w:ascii="Arial" w:cs="Arial" w:eastAsia="Arial" w:hAnsi="Arial"/>
                <w:sz w:val="16"/>
                <w:szCs w:val="16"/>
                <w:b w:val="1"/>
                <w:bCs w:val="1"/>
                <w:color w:val="auto"/>
              </w:rPr>
              <w:t>Two fiscal quarters 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of consolidated</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 of consolidated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27, 2020</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 2019</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636,733</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54.5 %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800,182</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54.2 %</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3"/>
              </w:rPr>
              <w:t>(163,449)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(20.4)%</w:t>
            </w:r>
          </w:p>
        </w:tc>
      </w:tr>
      <w:tr>
        <w:trPr>
          <w:trHeight w:val="33"/>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403,874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504,458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(100,584)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1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128,750</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170,802</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(42,052)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(24.6)%</w:t>
            </w:r>
          </w:p>
        </w:tc>
      </w:tr>
      <w:tr>
        <w:trPr>
          <w:trHeight w:val="33"/>
        </w:trPr>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3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Consolidated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1,169,357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1,475,442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(306,085)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0"/>
              </w:rPr>
              <w:t>% of segment net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2"/>
              </w:rPr>
              <w:t>% of segment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79"/>
              </w:rPr>
              <w:t>sales</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4"/>
              </w:rPr>
              <w:t>sales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7"/>
        </w:trPr>
        <w:tc>
          <w:tcPr>
            <w:tcW w:w="312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(8,656)</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75,095</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(83,751)</w:t>
            </w:r>
          </w:p>
        </w:tc>
        <w:tc>
          <w:tcPr>
            <w:tcW w:w="1200" w:type="dxa"/>
            <w:vAlign w:val="bottom"/>
          </w:tcPr>
          <w:p>
            <w:pPr>
              <w:jc w:val="right"/>
              <w:spacing w:after="0"/>
              <w:rPr>
                <w:sz w:val="20"/>
                <w:szCs w:val="20"/>
                <w:color w:val="auto"/>
              </w:rPr>
            </w:pPr>
            <w:r>
              <w:rPr>
                <w:rFonts w:ascii="Arial" w:cs="Arial" w:eastAsia="Arial" w:hAnsi="Arial"/>
                <w:sz w:val="16"/>
                <w:szCs w:val="16"/>
                <w:color w:val="auto"/>
              </w:rPr>
              <w:t>(111.5)%</w:t>
            </w:r>
          </w:p>
        </w:tc>
      </w:tr>
      <w:tr>
        <w:trPr>
          <w:trHeight w:val="33"/>
        </w:trPr>
        <w:tc>
          <w:tcPr>
            <w:tcW w:w="3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90,791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(67,368)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(33,219)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9,216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(42,435)</w:t>
            </w:r>
          </w:p>
        </w:tc>
        <w:tc>
          <w:tcPr>
            <w:tcW w:w="1200" w:type="dxa"/>
            <w:vAlign w:val="bottom"/>
          </w:tcPr>
          <w:p>
            <w:pPr>
              <w:jc w:val="right"/>
              <w:spacing w:after="0"/>
              <w:rPr>
                <w:sz w:val="20"/>
                <w:szCs w:val="20"/>
                <w:color w:val="auto"/>
              </w:rPr>
            </w:pPr>
            <w:r>
              <w:rPr>
                <w:rFonts w:ascii="Arial" w:cs="Arial" w:eastAsia="Arial" w:hAnsi="Arial"/>
                <w:sz w:val="16"/>
                <w:szCs w:val="16"/>
                <w:color w:val="auto"/>
              </w:rPr>
              <w:t>(460.4)%</w:t>
            </w:r>
          </w:p>
        </w:tc>
      </w:tr>
      <w:tr>
        <w:trPr>
          <w:trHeight w:val="33"/>
        </w:trPr>
        <w:tc>
          <w:tcPr>
            <w:tcW w:w="3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Unallocated corporate expenses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(39,072)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(49,867)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21.6 %</w:t>
            </w:r>
          </w:p>
        </w:tc>
      </w:tr>
      <w:tr>
        <w:trPr>
          <w:trHeight w:val="243"/>
        </w:trPr>
        <w:tc>
          <w:tcPr>
            <w:tcW w:w="3120" w:type="dxa"/>
            <w:vAlign w:val="bottom"/>
          </w:tcPr>
          <w:p>
            <w:pPr>
              <w:ind w:left="280"/>
              <w:spacing w:after="0"/>
              <w:rPr>
                <w:sz w:val="20"/>
                <w:szCs w:val="20"/>
                <w:color w:val="auto"/>
              </w:rPr>
            </w:pPr>
            <w:r>
              <w:rPr>
                <w:rFonts w:ascii="Arial" w:cs="Arial" w:eastAsia="Arial" w:hAnsi="Arial"/>
                <w:sz w:val="16"/>
                <w:szCs w:val="16"/>
                <w:color w:val="auto"/>
              </w:rPr>
              <w:t>Consolidated operating (loss) income</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(57,524)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125,235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(182,759)</w:t>
            </w:r>
          </w:p>
        </w:tc>
        <w:tc>
          <w:tcPr>
            <w:tcW w:w="1200" w:type="dxa"/>
            <w:vAlign w:val="bottom"/>
          </w:tcPr>
          <w:p>
            <w:pPr>
              <w:jc w:val="right"/>
              <w:spacing w:after="0"/>
              <w:rPr>
                <w:sz w:val="20"/>
                <w:szCs w:val="20"/>
                <w:color w:val="auto"/>
              </w:rPr>
            </w:pPr>
            <w:r>
              <w:rPr>
                <w:rFonts w:ascii="Arial" w:cs="Arial" w:eastAsia="Arial" w:hAnsi="Arial"/>
                <w:sz w:val="16"/>
                <w:szCs w:val="16"/>
                <w:color w:val="auto"/>
              </w:rPr>
              <w:t>(145.9)%</w:t>
            </w:r>
          </w:p>
        </w:tc>
      </w:tr>
      <w:tr>
        <w:trPr>
          <w:trHeight w:val="20"/>
        </w:trPr>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a result of the temporary store closures in the first two quarters of fiscal 2020 in response to COVID-19, we have not included a discussion of the first two quarters of fiscal 2020 retail comparable sales as we do not believe it is a meaningful metric during the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9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U.S. Retail segment net sales decreased $163.4 million, or 20.4%, to $636.7 million in the first two quarters of fiscal 2020. The decrease in net sales was primarily driven by temporary store closures in response to the COVID-19 pandemic, partially offset by an increase in eCommerce sales.</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U.S. Retail segment operating income decreased $83.8 million, or 111.5%, to a $(8.7) million operating loss in the first two quarters of fiscal 2020. Operating margin decreased 1,080 bps to (1.4)% in the first two quarters of fiscal 2020. Operating loss in the first two quarters of fiscal 2020 included intangible asset impairment charges of $13.6 million and $0.5 million related to the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tradenames, respectively. The primary drivers of the decrease in operating margin were a 150 bps decrease in gross margin, a 680 bps increase in SG&amp;A rate, and the intangible asset impairment charges. The decrease in gross margin was primarily due to increased excess inventory provisions as a result of COVID-19, partially offset by an increase in average selling prices. The increase in the SG&amp;A rate was primarily due to increased eCommerce costs due to an increase in eCommerce demand, incremental COVID-19 related charges, impairment charges on operating lease assets, deleverage of retail store expenses due to store closures, investments in the U.S. Retail business and technology initiatives, and organizational restructuring, partially offset by decreased distribution and freight costs as a result of fewer units shipped to</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retail stores, decreased marketing costs due to a reduction in spend and the shift to eCommerce demand, and reductions in performance-based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U.S. Wholesale segment net sales decreased $100.6 million, or 19.9%, to $403.9 million in the first two quarters of fiscal 2020 primarily due to decreased sales to certain of our wholesale customers as a result of disruptions related to COVID-19, partially offset by an increase in net sales in our exclusive Carter's brands and an increase in average selling price per unit.</w:t>
      </w:r>
    </w:p>
    <w:p>
      <w:pPr>
        <w:spacing w:after="0" w:line="14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U.S. Wholesale segment operating income decreased $67.4 million, or 74.2%, to $23.4 million in the first two quarters of fiscal 2020. Operating margin decreased 1,220 bps to 5.8% in the first two quarters of fiscal 2020. Operating income in the first two quarters of fiscal 2020 included intangible asset impairment charges of $6.8 million and $1.6 million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tradenames, respectively. The primary drivers of the decrease in operating margin were a 570 bps decrease in gross margin, the intangible asset impairment charges, a 60 bps decrease in royalty income, and a 380 bps increase in SG&amp;A rate. The decrease in gross margin was primarily due to increased inventory provisions and other adverse inventory and fabric purchase commitments from disruptions related to COVID-19, partially offset by an increase in average selling price per unit. The decrease in royalty income was primarily a result of our customers' business disruptions and temporary store closures related to COVID-19 and the initiation of wholesale sales of the OshKosh brand at Target, which replaced a former royalty business model. The increase in the SG&amp;A rate was primarily due to decreased sales due to customers' business disruptions and temporary store closures as a result of COVID-19, incremental COVID-19 related charges, and increased bad debts, partially offset by decreased marketing costs due to a reduction in spend, decreased selling expenses as a result of fewer units sold, and reductions in performance based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International segment net sales decreased $42.1 million, or 24.6%, to $128.8 million in the first two quarters of fiscal 2020. Changes in foreign currency exchange rates used for translation had a $2.7 million unfavorable effect on International segment net sales in the first two quarters of fiscal 2020. The decrease in net sales is primarily due to a decrease in retail store sales in Canada and Mexico driven by temporary store closures in response to COVID-19 and decreased wholesale shipments to our international partners as a result of COVID-19, partially offset by an increase in Mexico wholesale sales, growth in Canadian eCommerce and the addition of our Mexico eCommerce business in late fiscal 2019.</w:t>
      </w:r>
    </w:p>
    <w:p>
      <w:pPr>
        <w:spacing w:after="0" w:line="13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 xml:space="preserve">International segment operating income decreased $42.4 million, or 460.4%, to a $(33.2) million operating loss in the first two quarters of fiscal 2020. Operating margin decreased 3,120 bps to (25.8)% in the first two quarters of fiscal 2020. Operating loss in the first two quarters of fiscal 2020 included a $17.7 million goodwill impairment charge recorded to the Other International reporting unit, a $3.7 million intangible asset impairment charge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and a $0.3 million intangible asset impairment charge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The decrease in the operating margin was primarily attributable to the goodwill and intangible asset impairment charges, a 750 bps decrease in gross margin, and a 700 bps increase in the SG&amp;A rate. The decrease in gross margin was primarily due to increased excess inventory provisions and other adverse inventory and fabric purchase commitments from disruptions related to COVID-19. The increase in the SG&amp;A rate was primarily due to incremental COVID-19 related charges, deleverage of retail store expenses as a result of temporary store closures, and increased bad debts, partially offset by reductions in performance-based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Unallocated corporate expenses decreased $10.8 million, or 21.6%, to $39.1 million in the first two quarters of fiscal 2020. Unallocated corporate expenses, as a percentage of consolidated net sales, decreased 10 bps to 3.3% in the first two quarters of fiscal 2020. The decrease as a percentage of consolidated net sales was a result of spending reductions, including decreased performance-based compensation expense, offset by decreased consolidated net sales.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expect that our primary sources of liquidity will be cash and cash equivalents on hand along with available borrowing capacity under our secured revolving credit facility. In May 2020, the Company, through its wholly-owned subsidiary TWCC, issued $500 million principal amount of senior notes at par. During the second quarter of fiscal 2020, net proceeds from this issuance, along with cash on hand, were used to pay down $500 million of then outstanding borrowings under our secured revolving credit facility that was drawn down in March 2020 to improve liquidity. The Company has increased its cash on hand by approximately $786 million as of June 27, 2020, compared to December 28, 2019. The Company further believes that cash flow from operations, although affected by reduced sales and net income for the Company, access to additional capital and increased flexibility under financial maintenance covenants, along with planned reductions in costs, inventory commitments,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337"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and capital expenditures, and its suspension of its share repurchase program and quarterly cash dividend, will allow it to manage the anticipated adverse impact of COVID-19 on the Company's business operations for the foreseeable future. Looking ahead, we have developed contingency plans to reduce costs further if the situation deteriorates. The Company will continue to evaluate its financial position in light of future developments, particularly those relating to COVID-19. We believe that these available and anticipated sources will fund our projected requirements for at least the next twelve months. These sources of liquidity may be affected by events described in our risk factors, as further discussed under the heading "Risk Factors" in our most recently filed Annual Report on Form 10-K, under the heading "Risk Factors" in Part II, Item 1A, in our Quarterly Report on Form 10-Q for the quarter ended March 28, 2020, and in other reports filed with the Securities and Exchange Commission from time to time.</w:t>
      </w:r>
    </w:p>
    <w:p>
      <w:pPr>
        <w:spacing w:after="0" w:line="12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of June 27, 2020, the Company had $1.00 billion of cash and cash equivalents in major financial institutions, including $66.7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accounts receivable at June 27, 2020 were $165.6 million compared to $168.2 million at June 29, 2019 and $251.0 million at December 28, 2019. The overall decrease of $2.5 million, or 1.5%, at June 27, 2020 compared to June 29, 2019 was primarily a result of reduced customer demand and an increase in our bad debt reserves as a result of COVID-19 offset by the timing of cash receipts. Due to the seasonal nature of our operations, the net accounts receivable balance at June 27, 2020 is not comparable to the net accounts receivable balance at December 28, 2019.</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Inventories at June 27, 2020 were $672.2 million compared to $697.6 million at June 29, 2019 and $594.0 million at December 28, 2019. The decrease of $25.4 million, or 3.6%, at June 27, 2020 compared to June 29, 2019 primarily reflects higher inventory provisions and reduced purchases from disruptions related to COVID-19, partially offset by reduced demand. Due to the seasonal nature of our operations, the inventories balance at June 27, 2020 is not comparable to the inventories balance at December 28,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for the first two quarters of fiscal 2020 was $238.8 million compared to net cash provided by operating activities of $104.5 million in the first two quarters of fiscal 2019. Our cash flow provided by operating activities is dependent on net income and changes in our working capital. The increase in operating cash flow for the first two quarters of fiscal 2020 was primarily due to deferrals of retail store lease and other cash payments, partially offset by lower earnings related to COVID-19.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cash used in investing activities was $16.7 million for the first two quarters of fiscal 2020 compared to $24.2 million in the first two quarters of fiscal 2019 and is primarily related to capital expenditures related to new store openings, store remodels, distribution center enhancements, and investment in information technology initiatives.</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response to COVID-19, we decreased our total planned fiscal 2020 investment in capital expenditures from approximately $75 million to approximately $45 million. The $45 million of planned fiscal 2020 capital expenditures primarily relates to U.S. and international retail store openings and remodels, investments to strengthen our omni-channel capabilities, distribution facility initiatives, and critical information technology initiatives. The majority of the $30 million decrease relates to delayed store openings and the deferral of non-critical information technology initiatives.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9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Net cash provided by financing activities was $563.0 million in the first two quarters of fiscal 2020 compared to $132.5 million used in the first two quarters of fiscal 2019. The net increase in cash provided by financing activities in the first two quarters of fiscal 2020 was primarily due to an issuance of $500 million in principal amount of senior notes in May 2020 and an increase in borrowings on the secured revolving credit facility to improve our cash position in light of the uncertainty and disruption related to COVID-19. The first two quarters of fiscal 2019 reflected the redemption of $400 million in principal amount of senior notes, the premium paid on the early extinguishment of the $400 million senior notes, repurchases of common stock, and</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320" w:top="337"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dividend payments, partially offset by the issuance of $500 million in principal amount of senior notes and an increase in borrowings on the revolving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improve our cash position in light of the uncertainty and disruption related to COVID-19, we drew $639.0 million under our secured revolving credit facility in the month of March 2020, and in May 2020 repaid a portion of the outstanding borrowings with the net proceeds of a new $500 million senior notes offering, as discussed below, and cash on hand. As of June 27, 2020, we had $244.0 million in outstanding borrowings under our secured revolving credit facility, exclusive of $5.0 million of outstanding letters of credit. As of June 27, 2020, approximately $501.0 million was available for future borrowing. All outstanding borrowings under our secured revolving credit facility are classified as non-current liabilities on our consolidated balance sheets because of the contractual repayment terms under the credit facility. However, these repayment terms also allow us to repay some or all of the outstanding borrowings at any time.</w:t>
      </w:r>
    </w:p>
    <w:p>
      <w:pPr>
        <w:spacing w:after="0" w:line="154"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On May 4, 2020, the Company, through its wholly owned subsidiary, TWCC, entered into Amendment No.2 ("Amendment") to its fourth amended and restated credit agreement. This Amendment provided for, among other things, a waiver of financial covenants through the balance of fiscal year</w:t>
      </w:r>
    </w:p>
    <w:p>
      <w:pPr>
        <w:ind w:right="120"/>
        <w:spacing w:after="0" w:line="260" w:lineRule="auto"/>
        <w:rPr>
          <w:sz w:val="20"/>
          <w:szCs w:val="20"/>
          <w:color w:val="auto"/>
        </w:rPr>
      </w:pPr>
      <w:r>
        <w:rPr>
          <w:rFonts w:ascii="Arial" w:cs="Arial" w:eastAsia="Arial" w:hAnsi="Arial"/>
          <w:sz w:val="18"/>
          <w:szCs w:val="18"/>
          <w:color w:val="auto"/>
        </w:rPr>
        <w:t>2020, revised covenant requirements through the third quarter of fiscal year 2021 and the ability to raise additional unsecured financing, at the Company’s discretion.</w:t>
      </w:r>
    </w:p>
    <w:p>
      <w:pPr>
        <w:spacing w:after="0" w:line="14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Among other things, the Amendment provides that the Consolidated Fixed Charge Coverage Ratio and Lease Adjusted Leverage Ratio covenants, in each case, as defined in the Amendment, are waived during the period from and including the second fiscal quarter of 2020 through and including the fourth fiscal quarter of 2020. Thereafter, the Lease Adjusted Leverage Ratio is set at 5.50:1.00 for the first fiscal quarter of 2021 and, during the remainder of 2021, gradually steps down to 4.00:1.00 for the fourth fiscal quarter of 2021 and, subject to the consummation of a Material Acquisition (as defined in the Amendment), thereafter. The Consolidated Fixed Charge Coverage Ratio is set at 1.25:1.00 for the first fiscal quarter of 2021 and, during the remainder of 2021 and, gradually steps back up to 1.85:1.00 for the fourth fiscal quarter of 2021 and, subject to the consummation of a Material Acquisition, thereafter.</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the Amendment provides that during the period from May 4, 2020 through the date the Company delivers its financial statements and associated certificates relating to the third fiscal quarter of 2021, the Company must maintain a minimum liquidity (defined as cash-on-hand plus availability under its secured revolving credit facility) on the last day of each fiscal month of at least $700 million. Also, during this period, the availability of certain exceptions to the lien, investment, indebtedness, and restricted payment negative covenants (including those related to dividend payments and share repurchases) are limited or removed, and any incremental credit extensions and the possibility of a collateral and covenant release periods are suspended.</w:t>
      </w:r>
    </w:p>
    <w:p>
      <w:pPr>
        <w:spacing w:after="0" w:line="15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Additionally, the Amendment provides that, among other things during the period from May 4, 2020 through the date the Company delivers its financial statements and associated certificates relating to the third quarter of fiscal 2021, interest rate margins applicable to the secured revolving credit facility will initially increase to 2.125% for LIBOR rate loans (which may be adjusted based on a leverage-based pricing grid ranging from 1.125% to 2.375%) and</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1.125% for base rate loans (which may be adjusted based on a leverage-based pricing grid ranging from 0.125% to 1.375%). The Amendment also provides for a commitment fee initially equal to 0.35% per annum and ranging from 0.15% per annum to 0.40% per annum, based upon a leverage-based pricing grid, which is payable quarterly in arrears with respect to the average daily unused portion of the revolving loan commitments.</w:t>
      </w:r>
    </w:p>
    <w:p>
      <w:pPr>
        <w:spacing w:after="0" w:line="1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Approximately $1.2 million, including both bank fees and other third party expenses, has been capitalized in connection with the amendment and is being amortized over the remaining term of the secured revolving credit facility.</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interest rate margins applicable to our secured revolving credit facility as of June 27, 2020 were 2.125% for LIBOR rate loans and 1.125% for base rate loans.</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June 27, 2020, U.S. dollar borrowings outstanding under the secured revolving credit facility accrued interest at a LIBOR rate plus the applicable margin, which resulted in a weighted-average borrowing rate of 3.13%.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June 27, 2020, the Company was in compliance with the financial and other covenants under the secured revolving credit facility.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On May 11, 2020, the Company's wholly-owned subsidiary, TWCC, completed the sale of $500 million principal amount of senior notes at par, bearing interest at a rate of 5.500% per annum, and maturing on May 15, 2025, all of which were outstanding as of June 27, 2020. TWCC received net proceeds from the offering of the senior notes of approximately $494.5 million, after deducting underwriting fees, which TWCC used to repay borrowings outstanding under the Company's secured revolving credit facility. Approximately $6.5 million, including both bank fees and other third party expenses, has been capitalized in connection with the issuance and is being amortized over the term of the senior notes.</w:t>
      </w:r>
    </w:p>
    <w:p>
      <w:pPr>
        <w:spacing w:after="0" w:line="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Additionally, as of June 27, 2020, the Company had outstanding $500 million principal amount of senior notes at par, bearing interest at a rate of 5.625% per annum, and maturing on March 15, 2027,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Restructuring and Office Consolidation</w:t>
      </w:r>
    </w:p>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first quarter of fiscal 2020, the Company announced several organizational restructuring initiatives which included a reorganization of staffing models across multiple functions to drive labor savings and increase efficiencies as well as the consolidation of certain functions into our corporate headquarters in Atlanta, Georgia. In conjunction with these plans, we incurred approximately $3.5 million and $7.4 million for the second quarter and the first two quarters of fiscal 2020, respectively. As of June 27, 2020, we had approximately $1.5 million in reserves primarily related to severance and other termination benefits expected to be paid by the end of fiscal 2020. We expect to incur approximately $1.0 million to $2.0 million in additional costs in fiscal 2020 primarily related to severance, lease exit costs, accelerated depreciation, and relocation and recruiting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26, 2020, the Company announced, that in connection with the COVID-19 pandemic, it suspended its common stock share repurchase program, which permits repurchases in the open market, in negotiated transactions, or otherwise. The timing and amount of any future repurchases will be determined by the Company based on its evaluation of market conditions, share price, other investment priorities, and other factors. The share repurchase authorizations have no expiration date.</w:t>
      </w:r>
    </w:p>
    <w:p>
      <w:pPr>
        <w:spacing w:after="0" w:line="1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result, the Company did not repurchase and retire any shares in open market transactions during the second quarter of fiscal 2020. In the first quarter of fiscal 2020, the Company repurchased and retired 474,684 shares in open market transactions for approximately $45.3 million at an average price of $95.34 per share. In the first two quarters of fiscal 2019, the Company repurchased and retired 1,005,877 shares in open market transactions for approximately $92.4 million, at an average price of $91.90 per share.</w:t>
      </w:r>
    </w:p>
    <w:p>
      <w:pPr>
        <w:spacing w:after="0" w:line="146" w:lineRule="exact"/>
        <w:rPr>
          <w:sz w:val="20"/>
          <w:szCs w:val="20"/>
          <w:color w:val="auto"/>
        </w:rPr>
      </w:pPr>
    </w:p>
    <w:p>
      <w:pPr>
        <w:ind w:right="1740"/>
        <w:spacing w:after="0" w:line="399" w:lineRule="auto"/>
        <w:rPr>
          <w:sz w:val="20"/>
          <w:szCs w:val="20"/>
          <w:color w:val="auto"/>
        </w:rPr>
      </w:pPr>
      <w:r>
        <w:rPr>
          <w:rFonts w:ascii="Arial" w:cs="Arial" w:eastAsia="Arial" w:hAnsi="Arial"/>
          <w:sz w:val="18"/>
          <w:szCs w:val="18"/>
          <w:color w:val="auto"/>
        </w:rPr>
        <w:t xml:space="preserve">The total remaining capacity under all remaining repurchase authorizations as of June 27, 2020 was approximately $650.4 million. </w:t>
      </w:r>
      <w:r>
        <w:rPr>
          <w:rFonts w:ascii="Arial" w:cs="Arial" w:eastAsia="Arial" w:hAnsi="Arial"/>
          <w:sz w:val="18"/>
          <w:szCs w:val="18"/>
          <w:b w:val="1"/>
          <w:bCs w:val="1"/>
          <w:color w:val="auto"/>
        </w:rPr>
        <w:t>Dividends</w:t>
      </w:r>
    </w:p>
    <w:p>
      <w:pPr>
        <w:ind w:right="60"/>
        <w:spacing w:after="0" w:line="259" w:lineRule="auto"/>
        <w:rPr>
          <w:sz w:val="20"/>
          <w:szCs w:val="20"/>
          <w:color w:val="auto"/>
        </w:rPr>
      </w:pPr>
      <w:r>
        <w:rPr>
          <w:rFonts w:ascii="Arial" w:cs="Arial" w:eastAsia="Arial" w:hAnsi="Arial"/>
          <w:sz w:val="18"/>
          <w:szCs w:val="18"/>
          <w:color w:val="auto"/>
        </w:rPr>
        <w:t>We paid a cash dividend of $0.60 per share in the first quarter of fiscal 2020. On May 1, 2020, in connection with the COVID-19 pandemic, the Company suspended its quarterly cash dividend. The Board of Directors will evaluate future dividend declarations based on a number of factors, including business conditions, the Company’s financial performance, and other considerations. In each of the first two quarters of fiscal 2019, we paid quarterly cash dividends of $0.50 per share.</w:t>
      </w:r>
    </w:p>
    <w:p>
      <w:pPr>
        <w:spacing w:after="0" w:line="14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Provisions in the Company's secured revolving credit facility have the effect of restricting the Company's ability to pay cash dividends on, or make future repurchases of, its common stock through the date the Company delivers its financial statements and associated certificates relating to the third fiscal quarter of 2021, and could have the effect of restricting the Company's ability to do so thereafter, as described in the Company's Annual Report on Form 10-K for the 2019 fiscal year ended December 28, 2019, and in Note 8, </w:t>
      </w:r>
      <w:r>
        <w:rPr>
          <w:rFonts w:ascii="Arial" w:cs="Arial" w:eastAsia="Arial" w:hAnsi="Arial"/>
          <w:sz w:val="17"/>
          <w:szCs w:val="17"/>
          <w:i w:val="1"/>
          <w:iCs w:val="1"/>
          <w:color w:val="auto"/>
        </w:rPr>
        <w:t>Long-Term Debt</w:t>
      </w:r>
      <w:r>
        <w:rPr>
          <w:rFonts w:ascii="Arial" w:cs="Arial" w:eastAsia="Arial" w:hAnsi="Arial"/>
          <w:sz w:val="17"/>
          <w:szCs w:val="17"/>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Absent the effects of the COVID-19 global pandemic, 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320" w:top="337"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critical accounting policies and estimates are described under the heading "Critical Accounting Policies and Estimates" in Item 7 of our most recent Annual Report on Form 10-K for the 2019 fiscal year ended December 28, 2019.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3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337" w:right="539" w:bottom="1440" w:gutter="0" w:footer="0" w:header="0"/>
        </w:sectPr>
      </w:pPr>
    </w:p>
    <w:bookmarkStart w:id="37" w:name="page38"/>
    <w:bookmarkEnd w:id="37"/>
    <w:p>
      <w:pPr>
        <w:ind w:right="4080"/>
        <w:spacing w:after="0" w:line="346" w:lineRule="auto"/>
        <w:rPr>
          <w:sz w:val="20"/>
          <w:szCs w:val="20"/>
          <w:color w:val="auto"/>
        </w:rPr>
      </w:pPr>
      <w:r>
        <w:rPr>
          <w:rFonts w:ascii="Arial" w:cs="Arial" w:eastAsia="Arial" w:hAnsi="Arial"/>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The changes in foreign currency exchange rates in the second quarter of fiscal 2020, compared to the second quarter of fiscal 2019, had a $2.0 million unfavorable effect on our International segment's net sales.</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noncurrent intercompany loans with foreign subsidiaries that are marked to market. In our statement of operations, these gains and losses are recorded within other (income) expense, net.</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part of our overall strategy to manage the level of exposure to the risk of foreign currency exchange rate fluctuations, primarily between the U.S. dollar and currencies of Canada and Mexico, we may use foreign currency forward contracts to hedge purchases that are made in U.S. dollars, primarily for inventory purchases for our Canadian and Mexican operations. As part of this hedging strategy, we have used foreign currency forward exchange contracts with maturities of less than 12 months to provide coverage throughout the hedging period. As of June 27, 2020, there were no open foreign currency forward exchange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operating results are subject to risk from interest rate fluctuations on our secured revolving credit facility, which carries variable interest rates. Weighted-average variable rate borrowings outstanding for the first two quarters of fiscal 2020 were $314.5 million. An increase or decrease of 1% in the effective interest rate on that amount would increase or decrease our annual pre-tax interest expense by approximately $3.1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June 27,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June 27, 2020 that have materially affected, or which are reasonably likely to materially affect, Internal Control.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37" w:right="3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June 27, 2020.</w:t>
      </w: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341" w:right="4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There have been no material changes to the risk factors described in our Form 10-K for the 2019 fiscal year ended December 28, 2019, other than as set out in our Quarterly Report on Form 10-Q for the quarter ended March 28, 2020, in Part II. under the heading "Item 1A -- Risk Factors".</w:t>
      </w:r>
    </w:p>
    <w:p>
      <w:pPr>
        <w:spacing w:after="0" w:line="102" w:lineRule="exact"/>
        <w:rPr>
          <w:sz w:val="20"/>
          <w:szCs w:val="20"/>
          <w:color w:val="auto"/>
        </w:rPr>
      </w:pPr>
    </w:p>
    <w:p>
      <w:pPr>
        <w:ind w:right="4140"/>
        <w:spacing w:after="0" w:line="376" w:lineRule="auto"/>
        <w:rPr>
          <w:sz w:val="20"/>
          <w:szCs w:val="20"/>
          <w:color w:val="auto"/>
        </w:rPr>
      </w:pPr>
      <w:r>
        <w:rPr>
          <w:rFonts w:ascii="Arial" w:cs="Arial" w:eastAsia="Arial" w:hAnsi="Arial"/>
          <w:sz w:val="18"/>
          <w:szCs w:val="18"/>
          <w:b w:val="1"/>
          <w:bCs w:val="1"/>
          <w:color w:val="auto"/>
        </w:rPr>
        <w:t>ITEM 2. UNREGISTERED SALES OF EQUITY SECURITIES AND USE OF PROCEEDS Share Repurchases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second quarter of fiscal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dollar value of shares</w:t>
            </w:r>
          </w:p>
        </w:tc>
      </w:t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that may</w:t>
            </w:r>
          </w:p>
        </w:tc>
      </w:t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6"/>
              </w:rPr>
              <w:t>yet be</w:t>
            </w:r>
          </w:p>
        </w:tc>
      </w:tr>
      <w:tr>
        <w:trPr>
          <w:trHeight w:val="203"/>
        </w:trPr>
        <w:tc>
          <w:tcPr>
            <w:tcW w:w="4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purchased</w:t>
            </w:r>
          </w:p>
        </w:tc>
      </w:tr>
      <w:tr>
        <w:trPr>
          <w:trHeight w:val="203"/>
        </w:trPr>
        <w:tc>
          <w:tcPr>
            <w:tcW w:w="4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Average price paid per</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under the plans</w:t>
            </w:r>
          </w:p>
        </w:tc>
      </w:tr>
      <w:tr>
        <w:trPr>
          <w:trHeight w:val="243"/>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1"/>
                <w:szCs w:val="21"/>
                <w:b w:val="1"/>
                <w:bCs w:val="1"/>
                <w:color w:val="auto"/>
                <w:w w:val="88"/>
                <w:vertAlign w:val="superscript"/>
              </w:rPr>
              <w:t>(2)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(3)</w:t>
            </w: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29, 2020 through April 25,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650,447,970</w:t>
            </w:r>
          </w:p>
        </w:tc>
      </w:tr>
      <w:tr>
        <w:trPr>
          <w:trHeight w:val="216"/>
        </w:trPr>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26, 2020 through May 23,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1,016</w:t>
            </w:r>
          </w:p>
        </w:tc>
        <w:tc>
          <w:tcPr>
            <w:tcW w:w="52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650,447,970</w:t>
            </w:r>
          </w:p>
        </w:tc>
      </w:tr>
      <w:tr>
        <w:trPr>
          <w:trHeight w:val="216"/>
        </w:trPr>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24, 2020 through June 27,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650,447,970</w:t>
            </w:r>
          </w:p>
        </w:tc>
      </w:tr>
      <w:tr>
        <w:trPr>
          <w:trHeight w:val="216"/>
        </w:trPr>
        <w:tc>
          <w:tcPr>
            <w:tcW w:w="416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1,016</w:t>
            </w:r>
          </w:p>
        </w:tc>
        <w:tc>
          <w:tcPr>
            <w:tcW w:w="52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right="10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of the shares purchased during the current quarter represent shares of our common stock surrendered by our employees to satisfy required tax withholding upon the vesting of restricted stock awards.</w:t>
      </w:r>
    </w:p>
    <w:p>
      <w:pPr>
        <w:spacing w:after="0" w:line="38" w:lineRule="exact"/>
        <w:rPr>
          <w:rFonts w:ascii="Arial" w:cs="Arial" w:eastAsia="Arial" w:hAnsi="Arial"/>
          <w:sz w:val="14"/>
          <w:szCs w:val="14"/>
          <w:color w:val="auto"/>
        </w:rPr>
      </w:pPr>
    </w:p>
    <w:p>
      <w:pPr>
        <w:ind w:left="340" w:right="22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the first quarter of fiscal 2020, the Company announced, that in connection with the COVID-19 pandemic, it suspended its common stock share repurchase program. Refer to the open market repurchases as disclosed in Note 7, Common Stock, to the consolidated financial statements.</w:t>
      </w:r>
    </w:p>
    <w:p>
      <w:pPr>
        <w:spacing w:after="0" w:line="38"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Under share repurchase authorizations approved by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40" w:type="dxa"/>
            <w:vAlign w:val="bottom"/>
            <w:gridSpan w:val="13"/>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0"/>
        </w:trPr>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9"/>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w:t>
            </w:r>
          </w:p>
        </w:tc>
        <w:tc>
          <w:tcPr>
            <w:tcW w:w="560" w:type="dxa"/>
            <w:vAlign w:val="bottom"/>
          </w:tcPr>
          <w:p>
            <w:pPr>
              <w:spacing w:after="0"/>
              <w:rPr>
                <w:sz w:val="24"/>
                <w:szCs w:val="24"/>
                <w:color w:val="auto"/>
              </w:rPr>
            </w:pPr>
          </w:p>
        </w:tc>
        <w:tc>
          <w:tcPr>
            <w:tcW w:w="9440" w:type="dxa"/>
            <w:vAlign w:val="bottom"/>
            <w:gridSpan w:val="13"/>
          </w:tcPr>
          <w:p>
            <w:pPr>
              <w:spacing w:after="0"/>
              <w:rPr>
                <w:rFonts w:ascii="Arial" w:cs="Arial" w:eastAsia="Arial" w:hAnsi="Arial"/>
                <w:sz w:val="16"/>
                <w:szCs w:val="16"/>
                <w:color w:val="0000FF"/>
                <w:w w:val="95"/>
              </w:rPr>
            </w:pPr>
            <w:hyperlink r:id="rId21">
              <w:r>
                <w:rPr>
                  <w:rFonts w:ascii="Arial" w:cs="Arial" w:eastAsia="Arial" w:hAnsi="Arial"/>
                  <w:sz w:val="16"/>
                  <w:szCs w:val="16"/>
                  <w:color w:val="0000FF"/>
                  <w:w w:val="95"/>
                </w:rPr>
                <w:t>Certificate of Incorporation of Carter's, Inc., as amended on May 22, 2017 (incorporated by reference to Exhibit 3.1 of Carter's, Inc.'s Current</w:t>
              </w:r>
            </w:hyperlink>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160" w:type="dxa"/>
            <w:vAlign w:val="bottom"/>
            <w:tcBorders>
              <w:top w:val="single" w:sz="8" w:color="0000FF"/>
            </w:tcBorders>
            <w:gridSpan w:val="8"/>
          </w:tcPr>
          <w:p>
            <w:pPr>
              <w:spacing w:after="0" w:line="183" w:lineRule="exact"/>
              <w:rPr>
                <w:rFonts w:ascii="Arial" w:cs="Arial" w:eastAsia="Arial" w:hAnsi="Arial"/>
                <w:sz w:val="16"/>
                <w:szCs w:val="16"/>
                <w:color w:val="0000FF"/>
              </w:rPr>
            </w:pPr>
            <w:hyperlink r:id="rId21">
              <w:r>
                <w:rPr>
                  <w:rFonts w:ascii="Arial" w:cs="Arial" w:eastAsia="Arial" w:hAnsi="Arial"/>
                  <w:sz w:val="16"/>
                  <w:szCs w:val="16"/>
                  <w:color w:val="0000FF"/>
                </w:rPr>
                <w:t>Report on Form 8-K filed on May 23, 2017).</w:t>
              </w:r>
            </w:hyperlink>
          </w:p>
        </w:tc>
        <w:tc>
          <w:tcPr>
            <w:tcW w:w="280" w:type="dxa"/>
            <w:vAlign w:val="bottom"/>
            <w:gridSpan w:val="5"/>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3.2</w:t>
            </w:r>
          </w:p>
        </w:tc>
        <w:tc>
          <w:tcPr>
            <w:tcW w:w="560" w:type="dxa"/>
            <w:vAlign w:val="bottom"/>
          </w:tcPr>
          <w:p>
            <w:pPr>
              <w:spacing w:after="0"/>
              <w:rPr>
                <w:sz w:val="20"/>
                <w:szCs w:val="20"/>
                <w:color w:val="auto"/>
              </w:rPr>
            </w:pPr>
          </w:p>
        </w:tc>
        <w:tc>
          <w:tcPr>
            <w:tcW w:w="9440" w:type="dxa"/>
            <w:vAlign w:val="bottom"/>
            <w:tcBorders>
              <w:bottom w:val="single" w:sz="8" w:color="0000FF"/>
            </w:tcBorders>
            <w:gridSpan w:val="13"/>
          </w:tcPr>
          <w:p>
            <w:pPr>
              <w:spacing w:after="0"/>
              <w:rPr>
                <w:rFonts w:ascii="Arial" w:cs="Arial" w:eastAsia="Arial" w:hAnsi="Arial"/>
                <w:sz w:val="16"/>
                <w:szCs w:val="16"/>
                <w:color w:val="0000FF"/>
                <w:w w:val="92"/>
              </w:rPr>
            </w:pPr>
            <w:hyperlink r:id="rId22">
              <w:r>
                <w:rPr>
                  <w:rFonts w:ascii="Arial" w:cs="Arial" w:eastAsia="Arial" w:hAnsi="Arial"/>
                  <w:sz w:val="16"/>
                  <w:szCs w:val="16"/>
                  <w:color w:val="0000FF"/>
                  <w:w w:val="92"/>
                </w:rPr>
                <w:t>Amended and Restated By-Laws of Carter's, Inc. (incorporated by reference to Exhibit 3.2 of Carter's, Inc.'s Current Report on Form 8-K filed on</w:t>
              </w:r>
            </w:hyperlink>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40" w:type="dxa"/>
            <w:vAlign w:val="bottom"/>
            <w:gridSpan w:val="13"/>
          </w:tcPr>
          <w:p>
            <w:pPr>
              <w:spacing w:after="0" w:line="183" w:lineRule="exact"/>
              <w:rPr>
                <w:rFonts w:ascii="Arial" w:cs="Arial" w:eastAsia="Arial" w:hAnsi="Arial"/>
                <w:sz w:val="16"/>
                <w:szCs w:val="16"/>
                <w:color w:val="0000FF"/>
              </w:rPr>
            </w:pPr>
            <w:hyperlink r:id="rId22">
              <w:r>
                <w:rPr>
                  <w:rFonts w:ascii="Arial" w:cs="Arial" w:eastAsia="Arial" w:hAnsi="Arial"/>
                  <w:sz w:val="16"/>
                  <w:szCs w:val="16"/>
                  <w:color w:val="0000FF"/>
                </w:rPr>
                <w:t>May 23, 2017).</w:t>
              </w:r>
            </w:hyperlink>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4.1</w:t>
            </w:r>
          </w:p>
        </w:tc>
        <w:tc>
          <w:tcPr>
            <w:tcW w:w="560" w:type="dxa"/>
            <w:vAlign w:val="bottom"/>
          </w:tcPr>
          <w:p>
            <w:pPr>
              <w:spacing w:after="0"/>
              <w:rPr>
                <w:sz w:val="20"/>
                <w:szCs w:val="20"/>
                <w:color w:val="auto"/>
              </w:rPr>
            </w:pPr>
          </w:p>
        </w:tc>
        <w:tc>
          <w:tcPr>
            <w:tcW w:w="9340" w:type="dxa"/>
            <w:vAlign w:val="bottom"/>
            <w:tcBorders>
              <w:bottom w:val="single" w:sz="8" w:color="0000FF"/>
            </w:tcBorders>
            <w:gridSpan w:val="10"/>
          </w:tcPr>
          <w:p>
            <w:pPr>
              <w:spacing w:after="0"/>
              <w:rPr>
                <w:rFonts w:ascii="Arial" w:cs="Arial" w:eastAsia="Arial" w:hAnsi="Arial"/>
                <w:sz w:val="16"/>
                <w:szCs w:val="16"/>
                <w:color w:val="0000FF"/>
                <w:w w:val="91"/>
              </w:rPr>
            </w:pPr>
            <w:hyperlink r:id="rId23">
              <w:r>
                <w:rPr>
                  <w:rFonts w:ascii="Arial" w:cs="Arial" w:eastAsia="Arial" w:hAnsi="Arial"/>
                  <w:sz w:val="16"/>
                  <w:szCs w:val="16"/>
                  <w:color w:val="0000FF"/>
                  <w:w w:val="91"/>
                </w:rPr>
                <w:t>Indenture, dated May 11, 2020, by and among The William Carter Company, certain guarantors from time to time party thereto and Wells Fargo</w:t>
              </w:r>
            </w:hyperlink>
          </w:p>
        </w:tc>
        <w:tc>
          <w:tcPr>
            <w:tcW w:w="100" w:type="dxa"/>
            <w:vAlign w:val="bottom"/>
            <w:gridSpan w:val="3"/>
          </w:tcPr>
          <w:p>
            <w:pPr>
              <w:spacing w:after="0"/>
              <w:rPr>
                <w:sz w:val="20"/>
                <w:szCs w:val="20"/>
                <w:color w:val="auto"/>
              </w:rPr>
            </w:pPr>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40" w:type="dxa"/>
            <w:vAlign w:val="bottom"/>
            <w:gridSpan w:val="13"/>
          </w:tcPr>
          <w:p>
            <w:pPr>
              <w:spacing w:after="0" w:line="183" w:lineRule="exact"/>
              <w:rPr>
                <w:rFonts w:ascii="Arial" w:cs="Arial" w:eastAsia="Arial" w:hAnsi="Arial"/>
                <w:sz w:val="16"/>
                <w:szCs w:val="16"/>
                <w:color w:val="0000FF"/>
                <w:w w:val="93"/>
              </w:rPr>
            </w:pPr>
            <w:hyperlink r:id="rId23">
              <w:r>
                <w:rPr>
                  <w:rFonts w:ascii="Arial" w:cs="Arial" w:eastAsia="Arial" w:hAnsi="Arial"/>
                  <w:sz w:val="16"/>
                  <w:szCs w:val="16"/>
                  <w:color w:val="0000FF"/>
                  <w:w w:val="93"/>
                </w:rPr>
                <w:t>Bank, National Association, as Trustee (incorporated by reference to Exhibit 4.1 of Carter's, Inc.'s Current Report on Form 8-K filed on May 11,</w:t>
              </w:r>
            </w:hyperlink>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8"/>
              </w:rPr>
            </w:pPr>
            <w:hyperlink r:id="rId23">
              <w:r>
                <w:rPr>
                  <w:rFonts w:ascii="Arial" w:cs="Arial" w:eastAsia="Arial" w:hAnsi="Arial"/>
                  <w:sz w:val="16"/>
                  <w:szCs w:val="16"/>
                  <w:color w:val="0000FF"/>
                  <w:w w:val="88"/>
                </w:rPr>
                <w:t>2020).</w:t>
              </w:r>
            </w:hyperlink>
          </w:p>
        </w:tc>
        <w:tc>
          <w:tcPr>
            <w:tcW w:w="58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300" w:type="dxa"/>
            <w:vAlign w:val="bottom"/>
            <w:tcBorders>
              <w:top w:val="single" w:sz="8" w:color="0000FF"/>
            </w:tcBorders>
          </w:tcPr>
          <w:p>
            <w:pPr>
              <w:spacing w:after="0"/>
              <w:rPr>
                <w:sz w:val="15"/>
                <w:szCs w:val="15"/>
                <w:color w:val="auto"/>
              </w:rPr>
            </w:pPr>
          </w:p>
        </w:tc>
        <w:tc>
          <w:tcPr>
            <w:tcW w:w="58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1"/>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4.2</w:t>
            </w:r>
          </w:p>
        </w:tc>
        <w:tc>
          <w:tcPr>
            <w:tcW w:w="560" w:type="dxa"/>
            <w:vAlign w:val="bottom"/>
          </w:tcPr>
          <w:p>
            <w:pPr>
              <w:spacing w:after="0"/>
              <w:rPr>
                <w:sz w:val="23"/>
                <w:szCs w:val="23"/>
                <w:color w:val="auto"/>
              </w:rPr>
            </w:pPr>
          </w:p>
        </w:tc>
        <w:tc>
          <w:tcPr>
            <w:tcW w:w="9440" w:type="dxa"/>
            <w:vAlign w:val="bottom"/>
            <w:gridSpan w:val="13"/>
          </w:tcPr>
          <w:p>
            <w:pPr>
              <w:spacing w:after="0"/>
              <w:rPr>
                <w:rFonts w:ascii="Arial" w:cs="Arial" w:eastAsia="Arial" w:hAnsi="Arial"/>
                <w:sz w:val="16"/>
                <w:szCs w:val="16"/>
                <w:u w:val="single" w:color="auto"/>
                <w:color w:val="0000FF"/>
              </w:rPr>
            </w:pPr>
            <w:hyperlink r:id="rId23">
              <w:r>
                <w:rPr>
                  <w:rFonts w:ascii="Arial" w:cs="Arial" w:eastAsia="Arial" w:hAnsi="Arial"/>
                  <w:sz w:val="16"/>
                  <w:szCs w:val="16"/>
                  <w:u w:val="single" w:color="auto"/>
                  <w:color w:val="0000FF"/>
                </w:rPr>
                <w:t>Form of 5.500% Senior Notes due 2025 (included in Exhibit 4.1).</w:t>
              </w:r>
            </w:hyperlink>
          </w:p>
        </w:tc>
      </w:tr>
      <w:tr>
        <w:trPr>
          <w:trHeight w:val="222"/>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10.1</w:t>
            </w:r>
          </w:p>
        </w:tc>
        <w:tc>
          <w:tcPr>
            <w:tcW w:w="560" w:type="dxa"/>
            <w:vAlign w:val="bottom"/>
          </w:tcPr>
          <w:p>
            <w:pPr>
              <w:spacing w:after="0"/>
              <w:rPr>
                <w:sz w:val="19"/>
                <w:szCs w:val="19"/>
                <w:color w:val="auto"/>
              </w:rPr>
            </w:pPr>
          </w:p>
        </w:tc>
        <w:tc>
          <w:tcPr>
            <w:tcW w:w="9380" w:type="dxa"/>
            <w:vAlign w:val="bottom"/>
            <w:tcBorders>
              <w:bottom w:val="single" w:sz="8" w:color="0000FF"/>
            </w:tcBorders>
            <w:gridSpan w:val="12"/>
          </w:tcPr>
          <w:p>
            <w:pPr>
              <w:spacing w:after="0"/>
              <w:rPr>
                <w:rFonts w:ascii="Arial" w:cs="Arial" w:eastAsia="Arial" w:hAnsi="Arial"/>
                <w:sz w:val="16"/>
                <w:szCs w:val="16"/>
                <w:color w:val="0000FF"/>
                <w:w w:val="91"/>
              </w:rPr>
            </w:pPr>
            <w:hyperlink w:anchor="page43">
              <w:r>
                <w:rPr>
                  <w:rFonts w:ascii="Arial" w:cs="Arial" w:eastAsia="Arial" w:hAnsi="Arial"/>
                  <w:sz w:val="16"/>
                  <w:szCs w:val="16"/>
                  <w:color w:val="0000FF"/>
                  <w:w w:val="91"/>
                </w:rPr>
                <w:t>Amendment No. 2, dated as of May 4, 2020, to the Fourth Amended and Restated Credit Agreement dated as of August 25, 2017, by and among</w:t>
              </w:r>
            </w:hyperlink>
          </w:p>
        </w:tc>
        <w:tc>
          <w:tcPr>
            <w:tcW w:w="60" w:type="dxa"/>
            <w:vAlign w:val="bottom"/>
          </w:tcPr>
          <w:p>
            <w:pPr>
              <w:spacing w:after="0"/>
              <w:rPr>
                <w:sz w:val="19"/>
                <w:szCs w:val="19"/>
                <w:color w:val="auto"/>
              </w:rPr>
            </w:pPr>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20" w:type="dxa"/>
            <w:vAlign w:val="bottom"/>
            <w:tcBorders>
              <w:bottom w:val="single" w:sz="8" w:color="0000FF"/>
            </w:tcBorders>
            <w:gridSpan w:val="6"/>
          </w:tcPr>
          <w:p>
            <w:pPr>
              <w:spacing w:after="0" w:line="183" w:lineRule="exact"/>
              <w:rPr>
                <w:rFonts w:ascii="Arial" w:cs="Arial" w:eastAsia="Arial" w:hAnsi="Arial"/>
                <w:sz w:val="16"/>
                <w:szCs w:val="16"/>
                <w:color w:val="0000FF"/>
                <w:w w:val="91"/>
              </w:rPr>
            </w:pPr>
            <w:hyperlink w:anchor="page43">
              <w:r>
                <w:rPr>
                  <w:rFonts w:ascii="Arial" w:cs="Arial" w:eastAsia="Arial" w:hAnsi="Arial"/>
                  <w:sz w:val="16"/>
                  <w:szCs w:val="16"/>
                  <w:color w:val="0000FF"/>
                  <w:w w:val="91"/>
                </w:rPr>
                <w:t>The William Carter Company, as U.S. Borrower, The Genuine Canadian Corp., as Canadian Borrower, Carter's Holdings B.V., as Dutch</w:t>
              </w:r>
            </w:hyperlink>
          </w:p>
        </w:tc>
        <w:tc>
          <w:tcPr>
            <w:tcW w:w="620" w:type="dxa"/>
            <w:vAlign w:val="bottom"/>
            <w:gridSpan w:val="7"/>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40" w:type="dxa"/>
            <w:vAlign w:val="bottom"/>
            <w:gridSpan w:val="13"/>
          </w:tcPr>
          <w:p>
            <w:pPr>
              <w:spacing w:after="0" w:line="183" w:lineRule="exact"/>
              <w:rPr>
                <w:rFonts w:ascii="Arial" w:cs="Arial" w:eastAsia="Arial" w:hAnsi="Arial"/>
                <w:sz w:val="16"/>
                <w:szCs w:val="16"/>
                <w:color w:val="0000FF"/>
                <w:w w:val="97"/>
              </w:rPr>
            </w:pPr>
            <w:hyperlink w:anchor="page43">
              <w:r>
                <w:rPr>
                  <w:rFonts w:ascii="Arial" w:cs="Arial" w:eastAsia="Arial" w:hAnsi="Arial"/>
                  <w:sz w:val="16"/>
                  <w:szCs w:val="16"/>
                  <w:color w:val="0000FF"/>
                  <w:w w:val="97"/>
                </w:rPr>
                <w:t>Borrower, JPMorgan Chase Bank, N.A., as Administrative Agent, Collateral Agent, U.S. Dollar Facility Swing Line Lender and U.S. Dollar</w:t>
              </w:r>
            </w:hyperlink>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180" w:type="dxa"/>
            <w:vAlign w:val="bottom"/>
            <w:tcBorders>
              <w:top w:val="single" w:sz="8" w:color="0000FF"/>
            </w:tcBorders>
            <w:gridSpan w:val="9"/>
          </w:tcPr>
          <w:p>
            <w:pPr>
              <w:spacing w:after="0" w:line="183" w:lineRule="exact"/>
              <w:rPr>
                <w:rFonts w:ascii="Arial" w:cs="Arial" w:eastAsia="Arial" w:hAnsi="Arial"/>
                <w:sz w:val="16"/>
                <w:szCs w:val="16"/>
                <w:color w:val="0000FF"/>
                <w:w w:val="95"/>
              </w:rPr>
            </w:pPr>
            <w:hyperlink w:anchor="page43">
              <w:r>
                <w:rPr>
                  <w:rFonts w:ascii="Arial" w:cs="Arial" w:eastAsia="Arial" w:hAnsi="Arial"/>
                  <w:sz w:val="16"/>
                  <w:szCs w:val="16"/>
                  <w:color w:val="0000FF"/>
                  <w:w w:val="95"/>
                </w:rPr>
                <w:t>Facility L/C Issuer, JPMorgan Chase Bank, N.A., Toronto Branch, as Canadian Agent, a Multicurrency Facility Swing Line Lender and a</w:t>
              </w:r>
            </w:hyperlink>
          </w:p>
        </w:tc>
        <w:tc>
          <w:tcPr>
            <w:tcW w:w="260" w:type="dxa"/>
            <w:vAlign w:val="bottom"/>
            <w:gridSpan w:val="4"/>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900" w:type="dxa"/>
            <w:vAlign w:val="bottom"/>
            <w:tcBorders>
              <w:top w:val="single" w:sz="8" w:color="0000FF"/>
            </w:tcBorders>
            <w:gridSpan w:val="7"/>
          </w:tcPr>
          <w:p>
            <w:pPr>
              <w:spacing w:after="0" w:line="183" w:lineRule="exact"/>
              <w:rPr>
                <w:rFonts w:ascii="Arial" w:cs="Arial" w:eastAsia="Arial" w:hAnsi="Arial"/>
                <w:sz w:val="16"/>
                <w:szCs w:val="16"/>
                <w:color w:val="0000FF"/>
                <w:w w:val="93"/>
              </w:rPr>
            </w:pPr>
            <w:hyperlink w:anchor="page43">
              <w:r>
                <w:rPr>
                  <w:rFonts w:ascii="Arial" w:cs="Arial" w:eastAsia="Arial" w:hAnsi="Arial"/>
                  <w:sz w:val="16"/>
                  <w:szCs w:val="16"/>
                  <w:color w:val="0000FF"/>
                  <w:w w:val="93"/>
                </w:rPr>
                <w:t>Multicurrency Facility L/C Issuer, J.P. Morgan Europe Limited, as European Agent, JPMorgan Chase Bank, N.A., London Branch, as a</w:t>
              </w:r>
            </w:hyperlink>
          </w:p>
        </w:tc>
        <w:tc>
          <w:tcPr>
            <w:tcW w:w="540" w:type="dxa"/>
            <w:vAlign w:val="bottom"/>
            <w:gridSpan w:val="6"/>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780" w:type="dxa"/>
            <w:vAlign w:val="bottom"/>
            <w:gridSpan w:val="5"/>
            <w:shd w:val="clear" w:color="auto" w:fill="0000FF"/>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r>
      <w:tr>
        <w:trPr>
          <w:trHeight w:val="213"/>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40" w:type="dxa"/>
            <w:vAlign w:val="bottom"/>
            <w:gridSpan w:val="13"/>
          </w:tcPr>
          <w:p>
            <w:pPr>
              <w:spacing w:after="0"/>
              <w:rPr>
                <w:rFonts w:ascii="Arial" w:cs="Arial" w:eastAsia="Arial" w:hAnsi="Arial"/>
                <w:sz w:val="16"/>
                <w:szCs w:val="16"/>
                <w:u w:val="single" w:color="auto"/>
                <w:color w:val="0000FF"/>
                <w:w w:val="97"/>
              </w:rPr>
            </w:pPr>
            <w:hyperlink w:anchor="page43">
              <w:r>
                <w:rPr>
                  <w:rFonts w:ascii="Arial" w:cs="Arial" w:eastAsia="Arial" w:hAnsi="Arial"/>
                  <w:sz w:val="16"/>
                  <w:szCs w:val="16"/>
                  <w:u w:val="single" w:color="auto"/>
                  <w:color w:val="0000FF"/>
                  <w:w w:val="97"/>
                </w:rPr>
                <w:t>Multicurrency Facility Swing Line Lender and a Multicurrency Facility L/C Issuer, each lender from time to time party thereto and the other</w:t>
              </w:r>
            </w:hyperlink>
          </w:p>
        </w:tc>
      </w:tr>
      <w:tr>
        <w:trPr>
          <w:trHeight w:val="206"/>
        </w:trPr>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40" w:type="dxa"/>
            <w:vAlign w:val="bottom"/>
            <w:gridSpan w:val="13"/>
          </w:tcPr>
          <w:p>
            <w:pPr>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parties party thereto.</w:t>
              </w:r>
            </w:hyperlink>
          </w:p>
        </w:tc>
      </w:tr>
      <w:tr>
        <w:trPr>
          <w:trHeight w:val="257"/>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31.1</w:t>
            </w:r>
          </w:p>
        </w:tc>
        <w:tc>
          <w:tcPr>
            <w:tcW w:w="560" w:type="dxa"/>
            <w:vAlign w:val="bottom"/>
          </w:tcPr>
          <w:p>
            <w:pPr>
              <w:spacing w:after="0"/>
              <w:rPr>
                <w:sz w:val="22"/>
                <w:szCs w:val="22"/>
                <w:color w:val="auto"/>
              </w:rPr>
            </w:pPr>
          </w:p>
        </w:tc>
        <w:tc>
          <w:tcPr>
            <w:tcW w:w="9440" w:type="dxa"/>
            <w:vAlign w:val="bottom"/>
            <w:gridSpan w:val="13"/>
          </w:tcPr>
          <w:p>
            <w:pPr>
              <w:spacing w:after="0"/>
              <w:rPr>
                <w:rFonts w:ascii="Arial" w:cs="Arial" w:eastAsia="Arial" w:hAnsi="Arial"/>
                <w:sz w:val="16"/>
                <w:szCs w:val="16"/>
                <w:u w:val="single" w:color="auto"/>
                <w:color w:val="0000FF"/>
              </w:rPr>
            </w:pPr>
            <w:hyperlink w:anchor="page234">
              <w:r>
                <w:rPr>
                  <w:rFonts w:ascii="Arial" w:cs="Arial" w:eastAsia="Arial" w:hAnsi="Arial"/>
                  <w:sz w:val="16"/>
                  <w:szCs w:val="16"/>
                  <w:u w:val="single" w:color="auto"/>
                  <w:color w:val="0000FF"/>
                </w:rPr>
                <w:t>Rule 13a-15(e)/15d-15(e) and 13a-15(f)/15d-15(f) Certification.</w:t>
              </w:r>
            </w:hyperlink>
          </w:p>
        </w:tc>
      </w:tr>
      <w:tr>
        <w:trPr>
          <w:trHeight w:val="257"/>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31.2</w:t>
            </w:r>
          </w:p>
        </w:tc>
        <w:tc>
          <w:tcPr>
            <w:tcW w:w="560" w:type="dxa"/>
            <w:vAlign w:val="bottom"/>
          </w:tcPr>
          <w:p>
            <w:pPr>
              <w:spacing w:after="0"/>
              <w:rPr>
                <w:sz w:val="22"/>
                <w:szCs w:val="22"/>
                <w:color w:val="auto"/>
              </w:rPr>
            </w:pPr>
          </w:p>
        </w:tc>
        <w:tc>
          <w:tcPr>
            <w:tcW w:w="9440" w:type="dxa"/>
            <w:vAlign w:val="bottom"/>
            <w:gridSpan w:val="13"/>
          </w:tcPr>
          <w:p>
            <w:pPr>
              <w:spacing w:after="0"/>
              <w:rPr>
                <w:rFonts w:ascii="Arial" w:cs="Arial" w:eastAsia="Arial" w:hAnsi="Arial"/>
                <w:sz w:val="16"/>
                <w:szCs w:val="16"/>
                <w:u w:val="single" w:color="auto"/>
                <w:color w:val="0000FF"/>
              </w:rPr>
            </w:pPr>
            <w:hyperlink w:anchor="page235">
              <w:r>
                <w:rPr>
                  <w:rFonts w:ascii="Arial" w:cs="Arial" w:eastAsia="Arial" w:hAnsi="Arial"/>
                  <w:sz w:val="16"/>
                  <w:szCs w:val="16"/>
                  <w:u w:val="single" w:color="auto"/>
                  <w:color w:val="0000FF"/>
                </w:rPr>
                <w:t>Rule 13a-15(e)/15d-15(e) and 13a-15(f)/15d-15(f) Certification.</w:t>
              </w:r>
            </w:hyperlink>
          </w:p>
        </w:tc>
      </w:tr>
    </w:tbl>
    <w:p>
      <w:pPr>
        <w:spacing w:after="0" w:line="50" w:lineRule="exact"/>
        <w:rPr>
          <w:sz w:val="20"/>
          <w:szCs w:val="20"/>
          <w:color w:val="auto"/>
        </w:rPr>
      </w:pPr>
    </w:p>
    <w:p>
      <w:pPr>
        <w:ind w:left="1720" w:hanging="949"/>
        <w:spacing w:after="0"/>
        <w:tabs>
          <w:tab w:leader="none" w:pos="1720" w:val="left"/>
        </w:tabs>
        <w:numPr>
          <w:ilvl w:val="0"/>
          <w:numId w:val="18"/>
        </w:numPr>
        <w:rPr>
          <w:rFonts w:ascii="Arial" w:cs="Arial" w:eastAsia="Arial" w:hAnsi="Arial"/>
          <w:sz w:val="16"/>
          <w:szCs w:val="16"/>
          <w:u w:val="single" w:color="auto"/>
          <w:color w:val="0000FF"/>
        </w:rPr>
      </w:pPr>
      <w:hyperlink w:anchor="page236">
        <w:r>
          <w:rPr>
            <w:rFonts w:ascii="Arial" w:cs="Arial" w:eastAsia="Arial" w:hAnsi="Arial"/>
            <w:sz w:val="16"/>
            <w:szCs w:val="16"/>
            <w:u w:val="single" w:color="auto"/>
            <w:color w:val="0000FF"/>
          </w:rPr>
          <w:t>Section 1350 Certification.</w:t>
        </w:r>
      </w:hyperlink>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1620" w:type="dxa"/>
            <w:vAlign w:val="bottom"/>
          </w:tcPr>
          <w:p>
            <w:pPr>
              <w:jc w:val="center"/>
              <w:spacing w:after="0"/>
              <w:rPr>
                <w:sz w:val="20"/>
                <w:szCs w:val="20"/>
                <w:color w:val="auto"/>
              </w:rPr>
            </w:pPr>
            <w:r>
              <w:rPr>
                <w:rFonts w:ascii="Arial" w:cs="Arial" w:eastAsia="Arial" w:hAnsi="Arial"/>
                <w:sz w:val="16"/>
                <w:szCs w:val="16"/>
                <w:color w:val="auto"/>
                <w:w w:val="97"/>
              </w:rPr>
              <w:t>Exhibit No. (101).INS</w:t>
            </w:r>
          </w:p>
        </w:tc>
        <w:tc>
          <w:tcPr>
            <w:tcW w:w="9260" w:type="dxa"/>
            <w:vAlign w:val="bottom"/>
          </w:tcPr>
          <w:p>
            <w:pPr>
              <w:ind w:left="60"/>
              <w:spacing w:after="0"/>
              <w:rPr>
                <w:sz w:val="20"/>
                <w:szCs w:val="20"/>
                <w:color w:val="auto"/>
              </w:rPr>
            </w:pPr>
            <w:r>
              <w:rPr>
                <w:rFonts w:ascii="Arial" w:cs="Arial" w:eastAsia="Arial" w:hAnsi="Arial"/>
                <w:sz w:val="16"/>
                <w:szCs w:val="16"/>
                <w:color w:val="auto"/>
                <w:w w:val="91"/>
              </w:rPr>
              <w:t>XBRL Instance Document - the instant document does not appear in the Interactive Data File because its XBRL tags are embedded within the</w:t>
            </w:r>
          </w:p>
        </w:tc>
      </w:tr>
      <w:tr>
        <w:trPr>
          <w:trHeight w:val="206"/>
        </w:trPr>
        <w:tc>
          <w:tcPr>
            <w:tcW w:w="1620" w:type="dxa"/>
            <w:vAlign w:val="bottom"/>
          </w:tcPr>
          <w:p>
            <w:pPr>
              <w:spacing w:after="0"/>
              <w:rPr>
                <w:sz w:val="17"/>
                <w:szCs w:val="17"/>
                <w:color w:val="auto"/>
              </w:rPr>
            </w:pPr>
          </w:p>
        </w:tc>
        <w:tc>
          <w:tcPr>
            <w:tcW w:w="9260" w:type="dxa"/>
            <w:vAlign w:val="bottom"/>
          </w:tcPr>
          <w:p>
            <w:pPr>
              <w:ind w:left="60"/>
              <w:spacing w:after="0"/>
              <w:rPr>
                <w:sz w:val="20"/>
                <w:szCs w:val="20"/>
                <w:color w:val="auto"/>
              </w:rPr>
            </w:pPr>
            <w:r>
              <w:rPr>
                <w:rFonts w:ascii="Arial" w:cs="Arial" w:eastAsia="Arial" w:hAnsi="Arial"/>
                <w:sz w:val="16"/>
                <w:szCs w:val="16"/>
                <w:color w:val="auto"/>
              </w:rPr>
              <w:t>Inline XBRL document</w:t>
            </w:r>
          </w:p>
        </w:tc>
      </w:tr>
      <w:tr>
        <w:trPr>
          <w:trHeight w:val="257"/>
        </w:trPr>
        <w:tc>
          <w:tcPr>
            <w:tcW w:w="1620" w:type="dxa"/>
            <w:vAlign w:val="bottom"/>
          </w:tcPr>
          <w:p>
            <w:pPr>
              <w:jc w:val="center"/>
              <w:spacing w:after="0"/>
              <w:rPr>
                <w:sz w:val="20"/>
                <w:szCs w:val="20"/>
                <w:color w:val="auto"/>
              </w:rPr>
            </w:pPr>
            <w:r>
              <w:rPr>
                <w:rFonts w:ascii="Arial" w:cs="Arial" w:eastAsia="Arial" w:hAnsi="Arial"/>
                <w:sz w:val="16"/>
                <w:szCs w:val="16"/>
                <w:color w:val="auto"/>
                <w:w w:val="95"/>
              </w:rPr>
              <w:t>Exhibit No. (101).SCH</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Schema Document</w:t>
            </w:r>
          </w:p>
        </w:tc>
      </w:tr>
      <w:tr>
        <w:trPr>
          <w:trHeight w:val="257"/>
        </w:trPr>
        <w:tc>
          <w:tcPr>
            <w:tcW w:w="1620" w:type="dxa"/>
            <w:vAlign w:val="bottom"/>
          </w:tcPr>
          <w:p>
            <w:pPr>
              <w:jc w:val="center"/>
              <w:spacing w:after="0"/>
              <w:rPr>
                <w:sz w:val="20"/>
                <w:szCs w:val="20"/>
                <w:color w:val="auto"/>
              </w:rPr>
            </w:pPr>
            <w:r>
              <w:rPr>
                <w:rFonts w:ascii="Arial" w:cs="Arial" w:eastAsia="Arial" w:hAnsi="Arial"/>
                <w:sz w:val="16"/>
                <w:szCs w:val="16"/>
                <w:color w:val="auto"/>
                <w:w w:val="96"/>
              </w:rPr>
              <w:t>Exhibit No. (101).CAL</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56"/>
        </w:trPr>
        <w:tc>
          <w:tcPr>
            <w:tcW w:w="1620" w:type="dxa"/>
            <w:vAlign w:val="bottom"/>
          </w:tcPr>
          <w:p>
            <w:pPr>
              <w:jc w:val="center"/>
              <w:spacing w:after="0"/>
              <w:rPr>
                <w:sz w:val="20"/>
                <w:szCs w:val="20"/>
                <w:color w:val="auto"/>
              </w:rPr>
            </w:pPr>
            <w:r>
              <w:rPr>
                <w:rFonts w:ascii="Arial" w:cs="Arial" w:eastAsia="Arial" w:hAnsi="Arial"/>
                <w:sz w:val="16"/>
                <w:szCs w:val="16"/>
                <w:color w:val="auto"/>
                <w:w w:val="96"/>
              </w:rPr>
              <w:t>Exhibit No. (101).DEF</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Definition Linkbase Document</w:t>
            </w:r>
          </w:p>
        </w:tc>
      </w:tr>
      <w:tr>
        <w:trPr>
          <w:trHeight w:val="256"/>
        </w:trPr>
        <w:tc>
          <w:tcPr>
            <w:tcW w:w="1620" w:type="dxa"/>
            <w:vAlign w:val="bottom"/>
          </w:tcPr>
          <w:p>
            <w:pPr>
              <w:jc w:val="center"/>
              <w:spacing w:after="0"/>
              <w:rPr>
                <w:sz w:val="20"/>
                <w:szCs w:val="20"/>
                <w:color w:val="auto"/>
              </w:rPr>
            </w:pPr>
            <w:r>
              <w:rPr>
                <w:rFonts w:ascii="Arial" w:cs="Arial" w:eastAsia="Arial" w:hAnsi="Arial"/>
                <w:sz w:val="16"/>
                <w:szCs w:val="16"/>
                <w:color w:val="auto"/>
                <w:w w:val="97"/>
              </w:rPr>
              <w:t>Exhibit No. (101).LAB</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Label Linkbase Document</w:t>
            </w:r>
          </w:p>
        </w:tc>
      </w:tr>
      <w:tr>
        <w:trPr>
          <w:trHeight w:val="257"/>
        </w:trPr>
        <w:tc>
          <w:tcPr>
            <w:tcW w:w="1620" w:type="dxa"/>
            <w:vAlign w:val="bottom"/>
          </w:tcPr>
          <w:p>
            <w:pPr>
              <w:jc w:val="center"/>
              <w:spacing w:after="0"/>
              <w:rPr>
                <w:sz w:val="20"/>
                <w:szCs w:val="20"/>
                <w:color w:val="auto"/>
              </w:rPr>
            </w:pPr>
            <w:r>
              <w:rPr>
                <w:rFonts w:ascii="Arial" w:cs="Arial" w:eastAsia="Arial" w:hAnsi="Arial"/>
                <w:sz w:val="16"/>
                <w:szCs w:val="16"/>
                <w:color w:val="auto"/>
                <w:w w:val="95"/>
              </w:rPr>
              <w:t>Exhibit No. (101).PRE</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56"/>
        </w:trPr>
        <w:tc>
          <w:tcPr>
            <w:tcW w:w="1620" w:type="dxa"/>
            <w:vAlign w:val="bottom"/>
          </w:tcPr>
          <w:p>
            <w:pPr>
              <w:spacing w:after="0"/>
              <w:rPr>
                <w:sz w:val="20"/>
                <w:szCs w:val="20"/>
                <w:color w:val="auto"/>
              </w:rPr>
            </w:pPr>
            <w:r>
              <w:rPr>
                <w:rFonts w:ascii="Arial" w:cs="Arial" w:eastAsia="Arial" w:hAnsi="Arial"/>
                <w:sz w:val="16"/>
                <w:szCs w:val="16"/>
                <w:color w:val="auto"/>
              </w:rPr>
              <w:t>Exhibit No. 104</w:t>
            </w:r>
          </w:p>
        </w:tc>
        <w:tc>
          <w:tcPr>
            <w:tcW w:w="9260" w:type="dxa"/>
            <w:vAlign w:val="bottom"/>
          </w:tcPr>
          <w:p>
            <w:pPr>
              <w:ind w:left="60"/>
              <w:spacing w:after="0"/>
              <w:rPr>
                <w:sz w:val="20"/>
                <w:szCs w:val="20"/>
                <w:color w:val="auto"/>
              </w:rPr>
            </w:pPr>
            <w:r>
              <w:rPr>
                <w:rFonts w:ascii="Arial" w:cs="Arial" w:eastAsia="Arial" w:hAnsi="Arial"/>
                <w:sz w:val="16"/>
                <w:szCs w:val="16"/>
                <w:color w:val="auto"/>
              </w:rPr>
              <w:t>The cover page from this Current Report on Form 10-Q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320" w:top="337" w:right="419" w:bottom="1440" w:gutter="0" w:footer="0" w:header="0"/>
        </w:sectPr>
      </w:pPr>
    </w:p>
    <w:bookmarkStart w:id="41" w:name="page42"/>
    <w:bookmarkEnd w:id="41"/>
    <w:p>
      <w:pPr>
        <w:ind w:left="49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0"/>
        <w:spacing w:after="0"/>
        <w:tabs>
          <w:tab w:leader="none" w:pos="6140" w:val="left"/>
        </w:tabs>
        <w:rPr>
          <w:sz w:val="20"/>
          <w:szCs w:val="20"/>
          <w:color w:val="auto"/>
        </w:rPr>
      </w:pPr>
      <w:r>
        <w:rPr>
          <w:rFonts w:ascii="Arial" w:cs="Arial" w:eastAsia="Arial" w:hAnsi="Arial"/>
          <w:sz w:val="16"/>
          <w:szCs w:val="16"/>
          <w:color w:val="auto"/>
        </w:rPr>
        <w:t>July 24, 2020</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34925</wp:posOffset>
            </wp:positionV>
            <wp:extent cx="26060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07" w:lineRule="exact"/>
        <w:rPr>
          <w:sz w:val="20"/>
          <w:szCs w:val="20"/>
          <w:color w:val="auto"/>
        </w:rPr>
      </w:pPr>
    </w:p>
    <w:p>
      <w:pPr>
        <w:jc w:val="center"/>
        <w:ind w:left="2760"/>
        <w:spacing w:after="0"/>
        <w:rPr>
          <w:sz w:val="20"/>
          <w:szCs w:val="20"/>
          <w:color w:val="auto"/>
        </w:rPr>
      </w:pPr>
      <w:r>
        <w:rPr>
          <w:rFonts w:ascii="Arial" w:cs="Arial" w:eastAsia="Arial" w:hAnsi="Arial"/>
          <w:sz w:val="16"/>
          <w:szCs w:val="16"/>
          <w:color w:val="auto"/>
        </w:rPr>
        <w:t>Michael D. Casey</w:t>
      </w:r>
    </w:p>
    <w:p>
      <w:pPr>
        <w:spacing w:after="0" w:line="73"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Chief Executive Officer</w:t>
      </w:r>
    </w:p>
    <w:p>
      <w:pPr>
        <w:spacing w:after="0" w:line="86"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0"/>
        <w:spacing w:after="0"/>
        <w:tabs>
          <w:tab w:leader="none" w:pos="5780" w:val="left"/>
        </w:tabs>
        <w:rPr>
          <w:sz w:val="20"/>
          <w:szCs w:val="20"/>
          <w:color w:val="auto"/>
        </w:rPr>
      </w:pPr>
      <w:r>
        <w:rPr>
          <w:rFonts w:ascii="Arial" w:cs="Arial" w:eastAsia="Arial" w:hAnsi="Arial"/>
          <w:sz w:val="16"/>
          <w:szCs w:val="16"/>
          <w:color w:val="auto"/>
        </w:rPr>
        <w:t>July 24, 2020</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34925</wp:posOffset>
            </wp:positionV>
            <wp:extent cx="26060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07" w:lineRule="exact"/>
        <w:rPr>
          <w:sz w:val="20"/>
          <w:szCs w:val="20"/>
          <w:color w:val="auto"/>
        </w:rPr>
      </w:pPr>
    </w:p>
    <w:p>
      <w:pPr>
        <w:jc w:val="center"/>
        <w:ind w:left="2760"/>
        <w:spacing w:after="0"/>
        <w:rPr>
          <w:sz w:val="20"/>
          <w:szCs w:val="20"/>
          <w:color w:val="auto"/>
        </w:rPr>
      </w:pPr>
      <w:r>
        <w:rPr>
          <w:rFonts w:ascii="Arial" w:cs="Arial" w:eastAsia="Arial" w:hAnsi="Arial"/>
          <w:sz w:val="16"/>
          <w:szCs w:val="16"/>
          <w:color w:val="auto"/>
        </w:rPr>
        <w:t>Richard F. Westenberger</w:t>
      </w:r>
    </w:p>
    <w:p>
      <w:pPr>
        <w:spacing w:after="0" w:line="73"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Executive Vice President and</w:t>
      </w:r>
    </w:p>
    <w:p>
      <w:pPr>
        <w:spacing w:after="0" w:line="86"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Chief Financial Officer</w:t>
      </w:r>
    </w:p>
    <w:p>
      <w:pPr>
        <w:spacing w:after="0" w:line="86"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00"/>
          </w:cols>
          <w:pgMar w:left="320" w:top="738" w:right="10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39" w:lineRule="exact"/>
        <w:rPr>
          <w:sz w:val="20"/>
          <w:szCs w:val="20"/>
          <w:color w:val="auto"/>
        </w:rPr>
      </w:pPr>
    </w:p>
    <w:p>
      <w:pPr>
        <w:ind w:left="9740"/>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AMENDMENT NO. 2</w:t>
      </w:r>
      <w:r>
        <w:rPr>
          <w:rFonts w:ascii="Arial" w:cs="Arial" w:eastAsia="Arial" w:hAnsi="Arial"/>
          <w:sz w:val="19"/>
          <w:szCs w:val="19"/>
          <w:color w:val="auto"/>
        </w:rPr>
        <w:t>, dated as of May 4, 2020 (this “</w:t>
      </w:r>
      <w:r>
        <w:rPr>
          <w:rFonts w:ascii="Arial" w:cs="Arial" w:eastAsia="Arial" w:hAnsi="Arial"/>
          <w:sz w:val="19"/>
          <w:szCs w:val="19"/>
          <w:u w:val="single" w:color="auto"/>
          <w:color w:val="auto"/>
        </w:rPr>
        <w:t>Amendment No. 2</w:t>
      </w:r>
      <w:r>
        <w:rPr>
          <w:rFonts w:ascii="Arial" w:cs="Arial" w:eastAsia="Arial" w:hAnsi="Arial"/>
          <w:sz w:val="19"/>
          <w:szCs w:val="19"/>
          <w:color w:val="auto"/>
        </w:rPr>
        <w:t>”), to the Fourth Amended and Restated Credit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Agreement dated as of August 25, 2017, among THE WILLIAM CARTER COMPANY, a Massachusetts corporation (the “</w:t>
      </w:r>
      <w:r>
        <w:rPr>
          <w:rFonts w:ascii="Arial" w:cs="Arial" w:eastAsia="Arial" w:hAnsi="Arial"/>
          <w:sz w:val="18"/>
          <w:szCs w:val="18"/>
          <w:u w:val="single" w:color="auto"/>
          <w:color w:val="auto"/>
        </w:rPr>
        <w:t>U.S. Borrower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Genuine Canadian Corp., an Ontario corporation (the “</w:t>
      </w:r>
      <w:r>
        <w:rPr>
          <w:rFonts w:ascii="Arial" w:cs="Arial" w:eastAsia="Arial" w:hAnsi="Arial"/>
          <w:sz w:val="19"/>
          <w:szCs w:val="19"/>
          <w:u w:val="single" w:color="auto"/>
          <w:color w:val="auto"/>
        </w:rPr>
        <w:t>Canadian Borrower</w:t>
      </w:r>
      <w:r>
        <w:rPr>
          <w:rFonts w:ascii="Arial" w:cs="Arial" w:eastAsia="Arial" w:hAnsi="Arial"/>
          <w:sz w:val="19"/>
          <w:szCs w:val="19"/>
          <w:color w:val="auto"/>
        </w:rPr>
        <w:t>”), CARTER’S HOLDINGS B.V., having its official seat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statutaire zetel</w:t>
      </w:r>
      <w:r>
        <w:rPr>
          <w:rFonts w:ascii="Arial" w:cs="Arial" w:eastAsia="Arial" w:hAnsi="Arial"/>
          <w:sz w:val="18"/>
          <w:szCs w:val="18"/>
          <w:color w:val="auto"/>
        </w:rPr>
        <w:t>) in Amsterdam, the Netherlands, registered with the Dutch trade register under number 63530201 (“</w:t>
      </w:r>
      <w:r>
        <w:rPr>
          <w:rFonts w:ascii="Arial" w:cs="Arial" w:eastAsia="Arial" w:hAnsi="Arial"/>
          <w:sz w:val="18"/>
          <w:szCs w:val="18"/>
          <w:u w:val="single" w:color="auto"/>
          <w:color w:val="auto"/>
        </w:rPr>
        <w:t>Dutch Borrower</w:t>
      </w:r>
      <w:r>
        <w:rPr>
          <w:rFonts w:ascii="Arial" w:cs="Arial" w:eastAsia="Arial" w:hAnsi="Arial"/>
          <w:sz w:val="18"/>
          <w:szCs w:val="18"/>
          <w:color w:val="auto"/>
        </w:rPr>
        <w:t>”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U.S. Borrower and the Canadian Borrower, the “</w:t>
      </w:r>
      <w:r>
        <w:rPr>
          <w:rFonts w:ascii="Arial" w:cs="Arial" w:eastAsia="Arial" w:hAnsi="Arial"/>
          <w:sz w:val="18"/>
          <w:szCs w:val="18"/>
          <w:u w:val="single" w:color="auto"/>
          <w:color w:val="auto"/>
        </w:rPr>
        <w:t>Borrowers</w:t>
      </w:r>
      <w:r>
        <w:rPr>
          <w:rFonts w:ascii="Arial" w:cs="Arial" w:eastAsia="Arial" w:hAnsi="Arial"/>
          <w:sz w:val="18"/>
          <w:szCs w:val="18"/>
          <w:color w:val="auto"/>
        </w:rPr>
        <w:t>”), each lender from time to time party thereto (collectively,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JPMORGAN CHASE BANK, N.A., as Administrative Agent (in such capacity, the “</w:t>
      </w:r>
      <w:r>
        <w:rPr>
          <w:rFonts w:ascii="Arial" w:cs="Arial" w:eastAsia="Arial" w:hAnsi="Arial"/>
          <w:sz w:val="18"/>
          <w:szCs w:val="18"/>
          <w:u w:val="single" w:color="auto"/>
          <w:color w:val="auto"/>
        </w:rPr>
        <w:t>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Agent</w:t>
      </w:r>
      <w:r>
        <w:rPr>
          <w:rFonts w:ascii="Arial" w:cs="Arial" w:eastAsia="Arial" w:hAnsi="Arial"/>
          <w:sz w:val="19"/>
          <w:szCs w:val="19"/>
          <w:color w:val="auto"/>
        </w:rPr>
        <w:t>”), Collateral Agent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U.S. Dollar Facility Swing Line Lender and U.S. Dollar Facility 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Issuer, JPMORGAN CHASE BANK, N.A., TORONTO BRANCH, as Canadian Agent, a Multicurrency Facility Swing Line Lender and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Multicurrency Facility L/C Issuer, J.P. MORGAN EUROPE LIMITED, as European Agent, JPMORGAN CHASE BANK, N.A., LONDON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BRANCH, as a Multicurrency Facility Swing Line Lender and a Multicurrency Facility L/C Issuer and the other parties party thereto (as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amended, restated, modified and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and not otherwise defined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herein shall have the meanings assigned to such terms in the Credit Agreement as amended by this Amendment No. 2.</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the Borrowers desire to amend the Credit Agreement on the terms set forth herein;</w:t>
      </w:r>
    </w:p>
    <w:p>
      <w:pPr>
        <w:spacing w:after="0" w:line="216" w:lineRule="exact"/>
        <w:rPr>
          <w:sz w:val="20"/>
          <w:szCs w:val="20"/>
          <w:color w:val="auto"/>
        </w:rPr>
      </w:pPr>
    </w:p>
    <w:p>
      <w:pPr>
        <w:jc w:val="both"/>
        <w:ind w:right="80" w:firstLine="1296"/>
        <w:spacing w:after="0" w:line="250" w:lineRule="auto"/>
        <w:rPr>
          <w:sz w:val="20"/>
          <w:szCs w:val="20"/>
          <w:color w:val="auto"/>
        </w:rPr>
      </w:pPr>
      <w:r>
        <w:rPr>
          <w:rFonts w:ascii="Arial" w:cs="Arial" w:eastAsia="Arial" w:hAnsi="Arial"/>
          <w:sz w:val="20"/>
          <w:szCs w:val="20"/>
          <w:color w:val="auto"/>
        </w:rPr>
        <w:t>WHEREAS, Section 10.01 of the Credit Agreement provides that the Loan Parties and the Required Lenders (and in certain cases, each Lender, L/C Issuer and Swing Line Lender affected thereby), with the acknowledgment of the Administrative Agent, may amend the Credit Agreement and the other Loan Documents; and</w:t>
      </w:r>
    </w:p>
    <w:p>
      <w:pPr>
        <w:spacing w:after="0" w:line="186" w:lineRule="exact"/>
        <w:rPr>
          <w:sz w:val="20"/>
          <w:szCs w:val="20"/>
          <w:color w:val="auto"/>
        </w:rPr>
      </w:pPr>
    </w:p>
    <w:p>
      <w:pPr>
        <w:ind w:right="260" w:firstLine="1296"/>
        <w:spacing w:after="0" w:line="260" w:lineRule="auto"/>
        <w:rPr>
          <w:sz w:val="20"/>
          <w:szCs w:val="20"/>
          <w:color w:val="auto"/>
        </w:rPr>
      </w:pPr>
      <w:r>
        <w:rPr>
          <w:rFonts w:ascii="Arial" w:cs="Arial" w:eastAsia="Arial" w:hAnsi="Arial"/>
          <w:sz w:val="20"/>
          <w:szCs w:val="20"/>
          <w:color w:val="auto"/>
        </w:rPr>
        <w:t xml:space="preserve">WHEREAS, effective as of the Amendment No. 2 Effective Date (as defined below) each Lender, Swing Line Lender and L/C Issuer party hereto has agreed to the amendment of the Credit Agreement as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77" w:lineRule="exact"/>
        <w:rPr>
          <w:sz w:val="20"/>
          <w:szCs w:val="20"/>
          <w:color w:val="auto"/>
        </w:rPr>
      </w:pPr>
    </w:p>
    <w:p>
      <w:pPr>
        <w:ind w:right="220" w:firstLine="1296"/>
        <w:spacing w:after="0" w:line="316"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24" w:lineRule="exact"/>
        <w:rPr>
          <w:sz w:val="20"/>
          <w:szCs w:val="20"/>
          <w:color w:val="auto"/>
        </w:rPr>
      </w:pPr>
    </w:p>
    <w:p>
      <w:pPr>
        <w:ind w:left="1300"/>
        <w:spacing w:after="0"/>
        <w:tabs>
          <w:tab w:leader="none" w:pos="3340" w:val="left"/>
        </w:tabs>
        <w:rPr>
          <w:sz w:val="20"/>
          <w:szCs w:val="20"/>
          <w:color w:val="auto"/>
        </w:rPr>
      </w:pPr>
      <w:r>
        <w:rPr>
          <w:rFonts w:ascii="Arial" w:cs="Arial" w:eastAsia="Arial" w:hAnsi="Arial"/>
          <w:sz w:val="20"/>
          <w:szCs w:val="20"/>
          <w:color w:val="auto"/>
        </w:rPr>
        <w:t>Section I.</w:t>
      </w:r>
      <w:r>
        <w:rPr>
          <w:sz w:val="20"/>
          <w:szCs w:val="20"/>
          <w:color w:val="auto"/>
        </w:rPr>
        <w:tab/>
      </w:r>
      <w:r>
        <w:rPr>
          <w:rFonts w:ascii="Arial" w:cs="Arial" w:eastAsia="Arial" w:hAnsi="Arial"/>
          <w:sz w:val="18"/>
          <w:szCs w:val="18"/>
          <w:b w:val="1"/>
          <w:bCs w:val="1"/>
          <w:u w:val="single" w:color="auto"/>
          <w:color w:val="auto"/>
        </w:rPr>
        <w:t>Amendment to Credit Agreement</w:t>
      </w:r>
      <w:r>
        <w:rPr>
          <w:rFonts w:ascii="Arial" w:cs="Arial" w:eastAsia="Arial" w:hAnsi="Arial"/>
          <w:sz w:val="18"/>
          <w:szCs w:val="18"/>
          <w:color w:val="auto"/>
        </w:rPr>
        <w:t>.</w:t>
      </w:r>
    </w:p>
    <w:p>
      <w:pPr>
        <w:spacing w:after="0" w:line="208" w:lineRule="exact"/>
        <w:rPr>
          <w:sz w:val="20"/>
          <w:szCs w:val="20"/>
          <w:color w:val="auto"/>
        </w:rPr>
      </w:pPr>
    </w:p>
    <w:p>
      <w:pPr>
        <w:ind w:left="660" w:firstLine="887"/>
        <w:spacing w:after="0" w:line="230" w:lineRule="auto"/>
        <w:tabs>
          <w:tab w:leader="none" w:pos="1976"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The Credit Agreement is, effective as of the Amendment No. 2 Effective Date (as defined below), hereby amended to delete the stricken text (indicated textually in the same manner as the following example: </w:t>
      </w:r>
      <w:r>
        <w:rPr>
          <w:rFonts w:ascii="Arial" w:cs="Arial" w:eastAsia="Arial" w:hAnsi="Arial"/>
          <w:sz w:val="20"/>
          <w:szCs w:val="20"/>
          <w:color w:val="auto"/>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auto"/>
        </w:rPr>
        <w:t>double-underlined text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as set forth in the pages of the Credit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97" w:lineRule="exact"/>
        <w:rPr>
          <w:rFonts w:ascii="Arial" w:cs="Arial" w:eastAsia="Arial" w:hAnsi="Arial"/>
          <w:sz w:val="20"/>
          <w:szCs w:val="20"/>
          <w:color w:val="auto"/>
        </w:rPr>
      </w:pPr>
    </w:p>
    <w:p>
      <w:pPr>
        <w:ind w:left="660" w:right="620" w:firstLine="887"/>
        <w:spacing w:after="0" w:line="260" w:lineRule="auto"/>
        <w:tabs>
          <w:tab w:leader="none" w:pos="1968"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Exhibit D to the Credit Agreement is, effective as the Amendment No. 2 Effective Date, hereby amended and restated in its entirety in the form attached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71" w:lineRule="exact"/>
        <w:rPr>
          <w:sz w:val="20"/>
          <w:szCs w:val="20"/>
          <w:color w:val="auto"/>
        </w:rPr>
      </w:pPr>
    </w:p>
    <w:p>
      <w:pPr>
        <w:ind w:right="100" w:firstLine="1296"/>
        <w:spacing w:after="0" w:line="265"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u w:val="single" w:color="auto"/>
          <w:color w:val="auto"/>
        </w:rPr>
        <w:t>Representations and Warranties, No Default</w:t>
      </w:r>
      <w:r>
        <w:rPr>
          <w:rFonts w:ascii="Arial" w:cs="Arial" w:eastAsia="Arial" w:hAnsi="Arial"/>
          <w:sz w:val="19"/>
          <w:szCs w:val="19"/>
          <w:color w:val="auto"/>
        </w:rPr>
        <w:t xml:space="preserve">. The Borrowers hereby represent and warrant that as of the Amendment No. 2 Effective Date, after giving effect to the amendments set forth in this Amendment No. 2, (a) no Default or Event of Default exists and is continuing or will result therefrom and (b) the representations and warranties of the U.S. Borrower and each other Loan Party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the Credit Agreement or any other Loan Document, or which are con-</w:t>
      </w:r>
    </w:p>
    <w:p>
      <w:pPr>
        <w:spacing w:after="0" w:line="389" w:lineRule="exact"/>
        <w:rPr>
          <w:sz w:val="20"/>
          <w:szCs w:val="20"/>
          <w:color w:val="auto"/>
        </w:rPr>
      </w:pPr>
    </w:p>
    <w:p>
      <w:pPr>
        <w:ind w:right="300" w:firstLine="8"/>
        <w:spacing w:after="0" w:line="273" w:lineRule="auto"/>
        <w:tabs>
          <w:tab w:leader="none" w:pos="87" w:val="left"/>
        </w:tabs>
        <w:numPr>
          <w:ilvl w:val="0"/>
          <w:numId w:val="20"/>
        </w:numPr>
        <w:rPr>
          <w:rFonts w:ascii="Arial" w:cs="Arial" w:eastAsia="Arial" w:hAnsi="Arial"/>
          <w:sz w:val="9"/>
          <w:szCs w:val="9"/>
          <w:b w:val="1"/>
          <w:bCs w:val="1"/>
          <w:color w:val="auto"/>
        </w:rPr>
      </w:pPr>
      <w:r>
        <w:rPr>
          <w:rFonts w:ascii="Arial" w:cs="Arial" w:eastAsia="Arial" w:hAnsi="Arial"/>
          <w:sz w:val="14"/>
          <w:szCs w:val="14"/>
          <w:color w:val="auto"/>
        </w:rPr>
        <w:t xml:space="preserve">Note: double-underlined text is indicated textually in this version with single-underlined text that is bracketed with asterisks, as in the manner of the following example: </w:t>
      </w:r>
      <w:r>
        <w:rPr>
          <w:rFonts w:ascii="Arial" w:cs="Arial" w:eastAsia="Arial" w:hAnsi="Arial"/>
          <w:sz w:val="14"/>
          <w:szCs w:val="14"/>
          <w:u w:val="single" w:color="auto"/>
          <w:color w:val="auto"/>
        </w:rPr>
        <w:t>*double-underlined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text*</w:t>
      </w:r>
      <w:r>
        <w:rPr>
          <w:rFonts w:ascii="Arial" w:cs="Arial" w:eastAsia="Arial" w:hAnsi="Arial"/>
          <w:sz w:val="14"/>
          <w:szCs w:val="14"/>
          <w:color w:val="auto"/>
        </w:rPr>
        <w:t>.</w:t>
      </w:r>
    </w:p>
    <w:p>
      <w:pPr>
        <w:sectPr>
          <w:pgSz w:w="11900" w:h="16838" w:orient="portrait"/>
          <w:cols w:equalWidth="0" w:num="1">
            <w:col w:w="11240"/>
          </w:cols>
          <w:pgMar w:left="320" w:top="125" w:right="339" w:bottom="1440" w:gutter="0" w:footer="0" w:header="0"/>
        </w:sectPr>
      </w:pPr>
    </w:p>
    <w:bookmarkStart w:id="43" w:name="page44"/>
    <w:bookmarkEnd w:id="43"/>
    <w:p>
      <w:pPr>
        <w:ind w:right="240"/>
        <w:spacing w:after="0" w:line="257" w:lineRule="auto"/>
        <w:rPr>
          <w:sz w:val="20"/>
          <w:szCs w:val="20"/>
          <w:color w:val="auto"/>
        </w:rPr>
      </w:pPr>
      <w:r>
        <w:rPr>
          <w:rFonts w:ascii="Arial" w:cs="Arial" w:eastAsia="Arial" w:hAnsi="Arial"/>
          <w:sz w:val="19"/>
          <w:szCs w:val="19"/>
          <w:color w:val="auto"/>
        </w:rPr>
        <w:t xml:space="preserve">tained in any document furnished at any time under or in connection herewith or therewith, shall be true and correct in all material respects on and as of the Amendment No. 2 Effective Date, except (i) to the extent that such representations and warranties specifically refer to an earlier date, in which case they shall be true and correct in all material aspects as of such earlier date, (ii) to the extent that such representations and warranties are qualified as to materiality, in which case they shall be true and correct in all respects, and (iii) that for purposes of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the representations and warranties contained in subsections (a) and (b)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of the Credit Agreement shall be deemed to refer to the most recent statements of the U.S. Borrower and its Subsidiaries furnished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of the Credit Agreement, respectively.</w:t>
      </w:r>
    </w:p>
    <w:p>
      <w:pPr>
        <w:spacing w:after="0" w:line="179" w:lineRule="exact"/>
        <w:rPr>
          <w:sz w:val="20"/>
          <w:szCs w:val="20"/>
          <w:color w:val="auto"/>
        </w:rPr>
      </w:pPr>
    </w:p>
    <w:p>
      <w:pPr>
        <w:ind w:right="460" w:firstLine="1296"/>
        <w:spacing w:after="0" w:line="267"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u w:val="single" w:color="auto"/>
          <w:color w:val="auto"/>
        </w:rPr>
        <w:t>Effectiveness</w:t>
      </w:r>
      <w:r>
        <w:rPr>
          <w:rFonts w:ascii="Arial" w:cs="Arial" w:eastAsia="Arial" w:hAnsi="Arial"/>
          <w:sz w:val="20"/>
          <w:szCs w:val="20"/>
          <w:color w:val="auto"/>
        </w:rPr>
        <w:t>. Section 1 of this Amendment No. 2 shall become effective on the date (such date, if any, the “</w:t>
      </w:r>
      <w:r>
        <w:rPr>
          <w:rFonts w:ascii="Arial" w:cs="Arial" w:eastAsia="Arial" w:hAnsi="Arial"/>
          <w:sz w:val="20"/>
          <w:szCs w:val="20"/>
          <w:u w:val="single" w:color="auto"/>
          <w:color w:val="auto"/>
        </w:rPr>
        <w:t>Amendment No. 2 Effective Date</w:t>
      </w:r>
      <w:r>
        <w:rPr>
          <w:rFonts w:ascii="Arial" w:cs="Arial" w:eastAsia="Arial" w:hAnsi="Arial"/>
          <w:sz w:val="20"/>
          <w:szCs w:val="20"/>
          <w:color w:val="auto"/>
        </w:rPr>
        <w:t>”) that the following conditions have been satisfied:</w:t>
      </w:r>
    </w:p>
    <w:p>
      <w:pPr>
        <w:spacing w:after="0" w:line="169" w:lineRule="exact"/>
        <w:rPr>
          <w:sz w:val="20"/>
          <w:szCs w:val="20"/>
          <w:color w:val="auto"/>
        </w:rPr>
      </w:pPr>
    </w:p>
    <w:p>
      <w:pPr>
        <w:ind w:left="660" w:right="200" w:firstLine="887"/>
        <w:spacing w:after="0" w:line="244" w:lineRule="auto"/>
        <w:tabs>
          <w:tab w:leader="none" w:pos="1968"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Loan and Corporate Documents</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Certificates</w:t>
      </w:r>
      <w:r>
        <w:rPr>
          <w:rFonts w:ascii="Arial" w:cs="Arial" w:eastAsia="Arial" w:hAnsi="Arial"/>
          <w:sz w:val="20"/>
          <w:szCs w:val="20"/>
          <w:color w:val="auto"/>
        </w:rPr>
        <w:t>. The Administrative Agent’s receipt of the following, each of which shall be originals, facsimiles or other electronic transmission unless otherwise specified, each, if applicable, properly executed by a Responsible Officer of the signing Loan Party, each dated the Amendment No. 2 Effective Date (or, in the case of certificates of governmental officials, a recent date before the Amendment No. 2 Effective Date) and each in form and substance reasonably satisfactory to the Administrative Agent:</w:t>
      </w:r>
    </w:p>
    <w:p>
      <w:pPr>
        <w:spacing w:after="0" w:line="194" w:lineRule="exact"/>
        <w:rPr>
          <w:rFonts w:ascii="Arial" w:cs="Arial" w:eastAsia="Arial" w:hAnsi="Arial"/>
          <w:sz w:val="20"/>
          <w:szCs w:val="20"/>
          <w:color w:val="auto"/>
        </w:rPr>
      </w:pPr>
    </w:p>
    <w:p>
      <w:pPr>
        <w:ind w:left="1300" w:right="280" w:firstLine="652"/>
        <w:spacing w:after="0" w:line="260" w:lineRule="auto"/>
        <w:tabs>
          <w:tab w:leader="none" w:pos="2333" w:val="left"/>
        </w:tabs>
        <w:numPr>
          <w:ilvl w:val="1"/>
          <w:numId w:val="21"/>
        </w:numPr>
        <w:rPr>
          <w:rFonts w:ascii="Arial" w:cs="Arial" w:eastAsia="Arial" w:hAnsi="Arial"/>
          <w:sz w:val="20"/>
          <w:szCs w:val="20"/>
          <w:color w:val="auto"/>
        </w:rPr>
      </w:pPr>
      <w:r>
        <w:rPr>
          <w:rFonts w:ascii="Arial" w:cs="Arial" w:eastAsia="Arial" w:hAnsi="Arial"/>
          <w:sz w:val="20"/>
          <w:szCs w:val="20"/>
          <w:color w:val="auto"/>
        </w:rPr>
        <w:t>executed signature pages to this Amendment No. 2 from each Loan Party, the Collateral Agent, the Canadian Agent, the European Agent, each Lender, each L/C Issuer and each Swing Line Lender;</w:t>
      </w:r>
    </w:p>
    <w:p>
      <w:pPr>
        <w:spacing w:after="0" w:line="176" w:lineRule="exact"/>
        <w:rPr>
          <w:rFonts w:ascii="Arial" w:cs="Arial" w:eastAsia="Arial" w:hAnsi="Arial"/>
          <w:sz w:val="20"/>
          <w:szCs w:val="20"/>
          <w:color w:val="auto"/>
        </w:rPr>
      </w:pPr>
    </w:p>
    <w:p>
      <w:pPr>
        <w:ind w:left="1300" w:firstLine="652"/>
        <w:spacing w:after="0" w:line="256" w:lineRule="auto"/>
        <w:tabs>
          <w:tab w:leader="none" w:pos="2388" w:val="left"/>
        </w:tabs>
        <w:numPr>
          <w:ilvl w:val="1"/>
          <w:numId w:val="21"/>
        </w:numPr>
        <w:rPr>
          <w:rFonts w:ascii="Arial" w:cs="Arial" w:eastAsia="Arial" w:hAnsi="Arial"/>
          <w:sz w:val="19"/>
          <w:szCs w:val="19"/>
          <w:color w:val="auto"/>
        </w:rPr>
      </w:pPr>
      <w:r>
        <w:rPr>
          <w:rFonts w:ascii="Arial" w:cs="Arial" w:eastAsia="Arial" w:hAnsi="Arial"/>
          <w:sz w:val="19"/>
          <w:szCs w:val="19"/>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No. 2 (including the certificate or articles of formation and by-laws (or equivalent organizational documents), as applicable, of each Loan Party certified by the relevant authority of the jurisdiction of organization of such Loan Party, including, without limitation, a copy of the articles of association (</w:t>
      </w:r>
      <w:r>
        <w:rPr>
          <w:rFonts w:ascii="Arial" w:cs="Arial" w:eastAsia="Arial" w:hAnsi="Arial"/>
          <w:sz w:val="19"/>
          <w:szCs w:val="19"/>
          <w:i w:val="1"/>
          <w:iCs w:val="1"/>
          <w:color w:val="auto"/>
        </w:rPr>
        <w:t>statuten</w:t>
      </w:r>
      <w:r>
        <w:rPr>
          <w:rFonts w:ascii="Arial" w:cs="Arial" w:eastAsia="Arial" w:hAnsi="Arial"/>
          <w:sz w:val="19"/>
          <w:szCs w:val="19"/>
          <w:color w:val="auto"/>
        </w:rPr>
        <w:t>) and deed of incorporation (</w:t>
      </w:r>
      <w:r>
        <w:rPr>
          <w:rFonts w:ascii="Arial" w:cs="Arial" w:eastAsia="Arial" w:hAnsi="Arial"/>
          <w:sz w:val="19"/>
          <w:szCs w:val="19"/>
          <w:i w:val="1"/>
          <w:iCs w:val="1"/>
          <w:color w:val="auto"/>
        </w:rPr>
        <w:t>oprichtingsakte</w:t>
      </w:r>
      <w:r>
        <w:rPr>
          <w:rFonts w:ascii="Arial" w:cs="Arial" w:eastAsia="Arial" w:hAnsi="Arial"/>
          <w:sz w:val="19"/>
          <w:szCs w:val="19"/>
          <w:color w:val="auto"/>
        </w:rPr>
        <w:t>) of the Dutch Borrower, an extract (</w:t>
      </w:r>
      <w:r>
        <w:rPr>
          <w:rFonts w:ascii="Arial" w:cs="Arial" w:eastAsia="Arial" w:hAnsi="Arial"/>
          <w:sz w:val="19"/>
          <w:szCs w:val="19"/>
          <w:i w:val="1"/>
          <w:iCs w:val="1"/>
          <w:color w:val="auto"/>
        </w:rPr>
        <w:t>uittreksel</w:t>
      </w:r>
      <w:r>
        <w:rPr>
          <w:rFonts w:ascii="Arial" w:cs="Arial" w:eastAsia="Arial" w:hAnsi="Arial"/>
          <w:sz w:val="19"/>
          <w:szCs w:val="19"/>
          <w:color w:val="auto"/>
        </w:rPr>
        <w:t>) from the Dutch Commercial Register (</w:t>
      </w:r>
      <w:r>
        <w:rPr>
          <w:rFonts w:ascii="Arial" w:cs="Arial" w:eastAsia="Arial" w:hAnsi="Arial"/>
          <w:sz w:val="19"/>
          <w:szCs w:val="19"/>
          <w:i w:val="1"/>
          <w:iCs w:val="1"/>
          <w:color w:val="auto"/>
        </w:rPr>
        <w:t>Handelsregister</w:t>
      </w:r>
      <w:r>
        <w:rPr>
          <w:rFonts w:ascii="Arial" w:cs="Arial" w:eastAsia="Arial" w:hAnsi="Arial"/>
          <w:sz w:val="19"/>
          <w:szCs w:val="19"/>
          <w:color w:val="auto"/>
        </w:rPr>
        <w:t>) of the Dutch Borrower and a copy of a resolution of the board of managing directors of the Dutch Borrower in form and substance reasonably satisfactory to the European Agent);</w:t>
      </w:r>
    </w:p>
    <w:p>
      <w:pPr>
        <w:spacing w:after="0" w:line="184" w:lineRule="exact"/>
        <w:rPr>
          <w:rFonts w:ascii="Arial" w:cs="Arial" w:eastAsia="Arial" w:hAnsi="Arial"/>
          <w:sz w:val="19"/>
          <w:szCs w:val="19"/>
          <w:color w:val="auto"/>
        </w:rPr>
      </w:pPr>
    </w:p>
    <w:p>
      <w:pPr>
        <w:ind w:left="1300" w:firstLine="652"/>
        <w:spacing w:after="0" w:line="244" w:lineRule="auto"/>
        <w:tabs>
          <w:tab w:leader="none" w:pos="2443" w:val="left"/>
        </w:tabs>
        <w:numPr>
          <w:ilvl w:val="1"/>
          <w:numId w:val="21"/>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reasonably require to evidence that each Loan Party is duly organized or formed, is validly existing, in good standing (or such comparable term as may be used in Ontario or the Netherlands) and qualified to engage in business in each jurisdiction where its ownership, lease or operation of properties or the conduct of its business requires such qualification, except to the extent that failure to be so qualified could not reasonably be expected to have a Material Adverse Effect; and</w:t>
      </w:r>
    </w:p>
    <w:p>
      <w:pPr>
        <w:spacing w:after="0" w:line="194" w:lineRule="exact"/>
        <w:rPr>
          <w:rFonts w:ascii="Arial" w:cs="Arial" w:eastAsia="Arial" w:hAnsi="Arial"/>
          <w:sz w:val="20"/>
          <w:szCs w:val="20"/>
          <w:color w:val="auto"/>
        </w:rPr>
      </w:pPr>
    </w:p>
    <w:p>
      <w:pPr>
        <w:ind w:left="1300" w:right="140" w:firstLine="652"/>
        <w:spacing w:after="0" w:line="246" w:lineRule="auto"/>
        <w:tabs>
          <w:tab w:leader="none" w:pos="2432" w:val="left"/>
        </w:tabs>
        <w:numPr>
          <w:ilvl w:val="1"/>
          <w:numId w:val="21"/>
        </w:numPr>
        <w:rPr>
          <w:rFonts w:ascii="Arial" w:cs="Arial" w:eastAsia="Arial" w:hAnsi="Arial"/>
          <w:sz w:val="20"/>
          <w:szCs w:val="20"/>
          <w:color w:val="auto"/>
        </w:rPr>
      </w:pPr>
      <w:r>
        <w:rPr>
          <w:rFonts w:ascii="Arial" w:cs="Arial" w:eastAsia="Arial" w:hAnsi="Arial"/>
          <w:sz w:val="20"/>
          <w:szCs w:val="20"/>
          <w:color w:val="auto"/>
        </w:rPr>
        <w:t xml:space="preserve">a certificate signed by the chief executive officer or the chief financial officer of the U.S. Borrower certifying that, after giving effect to this Amendment No. 2, (A) the conditions specified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the Credit Agreement have been satisfied as if a Borrowing were occurring on the Amendment No. 2 Effective Date and (B) there has been no event or circumstance since December 28, 2019 that has had 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5"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could be reasonably expected to have, either individually or in the aggregate, a Material Adverse Effect;</w:t>
      </w:r>
    </w:p>
    <w:p>
      <w:pPr>
        <w:spacing w:after="0" w:line="216" w:lineRule="exact"/>
        <w:rPr>
          <w:sz w:val="20"/>
          <w:szCs w:val="20"/>
          <w:color w:val="auto"/>
        </w:rPr>
      </w:pPr>
    </w:p>
    <w:p>
      <w:pPr>
        <w:jc w:val="both"/>
        <w:ind w:left="660" w:right="220" w:firstLine="1292"/>
        <w:spacing w:after="0" w:line="246" w:lineRule="auto"/>
        <w:tabs>
          <w:tab w:leader="none" w:pos="2384"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Opinions of Counsel</w:t>
      </w:r>
      <w:r>
        <w:rPr>
          <w:rFonts w:ascii="Arial" w:cs="Arial" w:eastAsia="Arial" w:hAnsi="Arial"/>
          <w:sz w:val="20"/>
          <w:szCs w:val="20"/>
          <w:color w:val="auto"/>
        </w:rPr>
        <w:t>. The Administrative Agent shall have received, on behalf of itself, the other Agents, the Lenders and the L/C Issuers, an opinion of Paul Hastings LLP, counsel to the Loan Parties addressed to each of the Administrative Agent, the Collateral Agent, the Canadian Agent, the European Agent, the Lenders and the L/C Issuers and dated the Amendment No. 2 Effective Date.</w:t>
      </w:r>
    </w:p>
    <w:p>
      <w:pPr>
        <w:spacing w:after="0" w:line="191" w:lineRule="exact"/>
        <w:rPr>
          <w:rFonts w:ascii="Arial" w:cs="Arial" w:eastAsia="Arial" w:hAnsi="Arial"/>
          <w:sz w:val="20"/>
          <w:szCs w:val="20"/>
          <w:color w:val="auto"/>
        </w:rPr>
      </w:pPr>
    </w:p>
    <w:p>
      <w:pPr>
        <w:jc w:val="both"/>
        <w:ind w:left="660" w:right="280" w:firstLine="1292"/>
        <w:spacing w:after="0" w:line="246" w:lineRule="auto"/>
        <w:tabs>
          <w:tab w:leader="none" w:pos="2373"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Fee and Expenses</w:t>
      </w:r>
      <w:r>
        <w:rPr>
          <w:rFonts w:ascii="Arial" w:cs="Arial" w:eastAsia="Arial" w:hAnsi="Arial"/>
          <w:sz w:val="20"/>
          <w:szCs w:val="20"/>
          <w:color w:val="auto"/>
        </w:rPr>
        <w:t>. All fees and expenses of the Administrative Agent (including the reasonable fees and expenses of Cahill Gordon &amp; Reindel LLP, counsel for the Administrative Agent, and of any local and special counsel for the Administrative Agent) and the Arrangers and fees of the Lenders required to be paid on or before the Amendment No. 2 Effective Date shall have been paid.</w:t>
      </w:r>
    </w:p>
    <w:p>
      <w:pPr>
        <w:spacing w:after="0" w:line="191" w:lineRule="exact"/>
        <w:rPr>
          <w:rFonts w:ascii="Arial" w:cs="Arial" w:eastAsia="Arial" w:hAnsi="Arial"/>
          <w:sz w:val="20"/>
          <w:szCs w:val="20"/>
          <w:color w:val="auto"/>
        </w:rPr>
      </w:pPr>
    </w:p>
    <w:p>
      <w:pPr>
        <w:ind w:left="660" w:right="80" w:firstLine="1292"/>
        <w:spacing w:after="0" w:line="274" w:lineRule="auto"/>
        <w:tabs>
          <w:tab w:leader="none" w:pos="238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Security Interests</w:t>
      </w:r>
      <w:r>
        <w:rPr>
          <w:rFonts w:ascii="Arial" w:cs="Arial" w:eastAsia="Arial" w:hAnsi="Arial"/>
          <w:sz w:val="18"/>
          <w:szCs w:val="18"/>
          <w:color w:val="auto"/>
        </w:rPr>
        <w:t xml:space="preserve">. The Collateral Agent shall have received copies of UCC, United States Patent and Trademark Office and United States Copyright Office, tax and judgment lien searches, bankruptcy and pending lawsuit searches or equivalent reports or searches, each of a recent date in each of the jurisdictions set forth in </w:t>
      </w:r>
      <w:r>
        <w:rPr>
          <w:rFonts w:ascii="Arial" w:cs="Arial" w:eastAsia="Arial" w:hAnsi="Arial"/>
          <w:sz w:val="18"/>
          <w:szCs w:val="18"/>
          <w:u w:val="single" w:color="auto"/>
          <w:color w:val="auto"/>
        </w:rPr>
        <w:t>Schedules 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attached to the Perfection Certificate (or a subset of those jurisdictions, as the case may be), the results of which shall not reveal any Liens on the Collateral covered or intended to be covered by the Security Documents (other than Permitted Liens). The Arrangers shall have received reasonably satisfactory evidence that the Collateral Agent shall have a valid and perfected first priority (subject to certain exceptions set forth in the Loan Documents) lien and security interest in the Collateral.</w:t>
      </w:r>
    </w:p>
    <w:p>
      <w:pPr>
        <w:spacing w:after="0" w:line="168" w:lineRule="exact"/>
        <w:rPr>
          <w:rFonts w:ascii="Arial" w:cs="Arial" w:eastAsia="Arial" w:hAnsi="Arial"/>
          <w:sz w:val="18"/>
          <w:szCs w:val="18"/>
          <w:color w:val="auto"/>
        </w:rPr>
      </w:pPr>
    </w:p>
    <w:p>
      <w:pPr>
        <w:ind w:left="660" w:right="80" w:firstLine="1292"/>
        <w:spacing w:after="0" w:line="263" w:lineRule="auto"/>
        <w:tabs>
          <w:tab w:leader="none" w:pos="2373"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Administrative Agent shall have received evidence that all insurance (including without limitation title insurance, if applicable) required to be maintained pursuant to the Loan Documents has been obtained and is in effect and that the Collateral Agent has been named as loss payee or additional insured, as applicable, under each insurance policy with respect to such insurance as to which the Collateral Agent shall have requested to be so named.</w:t>
      </w:r>
    </w:p>
    <w:p>
      <w:pPr>
        <w:spacing w:after="0" w:line="176" w:lineRule="exact"/>
        <w:rPr>
          <w:rFonts w:ascii="Arial" w:cs="Arial" w:eastAsia="Arial" w:hAnsi="Arial"/>
          <w:sz w:val="19"/>
          <w:szCs w:val="19"/>
          <w:color w:val="auto"/>
        </w:rPr>
      </w:pPr>
    </w:p>
    <w:p>
      <w:pPr>
        <w:ind w:left="660" w:firstLine="1292"/>
        <w:spacing w:after="0" w:line="256" w:lineRule="auto"/>
        <w:tabs>
          <w:tab w:leader="none" w:pos="2352"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Patriot Act Compliance</w:t>
      </w:r>
      <w:r>
        <w:rPr>
          <w:rFonts w:ascii="Arial" w:cs="Arial" w:eastAsia="Arial" w:hAnsi="Arial"/>
          <w:sz w:val="19"/>
          <w:szCs w:val="19"/>
          <w:color w:val="auto"/>
        </w:rPr>
        <w:t>. (i) At least three Business Days prior to the Amendment No. 2 Effective Date, the Arrangers shall have received all documentation and other information required by regulatory authorities under applicable “know your customer” and anti-money laundering rules and regulations, including without limitation, the USA Patriot Act (Title III of Pub. L. 107-56 (signed into law October 26, 2001) (the “</w:t>
      </w:r>
      <w:r>
        <w:rPr>
          <w:rFonts w:ascii="Arial" w:cs="Arial" w:eastAsia="Arial" w:hAnsi="Arial"/>
          <w:sz w:val="19"/>
          <w:szCs w:val="19"/>
          <w:u w:val="single" w:color="auto"/>
          <w:color w:val="auto"/>
        </w:rPr>
        <w:t>Patriot Act</w:t>
      </w:r>
      <w:r>
        <w:rPr>
          <w:rFonts w:ascii="Arial" w:cs="Arial" w:eastAsia="Arial" w:hAnsi="Arial"/>
          <w:sz w:val="19"/>
          <w:szCs w:val="19"/>
          <w:color w:val="auto"/>
        </w:rPr>
        <w:t>”)) and (ii) to the extent the U.S. Borrower qualifies as a “legal entity customer” under the Beneficial Ownership Regulation, at least five days prior to the Amendment No. 2 Effective Date, any Lender that has requested, in a written notice to the U.S. Borrower at least 10 days prior to the Amendment No. 2 Effective Date, a Beneficial Ownership Certification in relation to the U.S. Borrower shall have received such Beneficial Ownership Certification (provided that, upon the execution and delivery by such Lender of its signature page to this Amendment No. 2, the condition set forth in this clause (ii) shall be deemed to be satisfied).</w:t>
      </w:r>
    </w:p>
    <w:p>
      <w:pPr>
        <w:spacing w:after="0" w:line="184" w:lineRule="exact"/>
        <w:rPr>
          <w:rFonts w:ascii="Arial" w:cs="Arial" w:eastAsia="Arial" w:hAnsi="Arial"/>
          <w:sz w:val="19"/>
          <w:szCs w:val="19"/>
          <w:color w:val="auto"/>
        </w:rPr>
      </w:pPr>
    </w:p>
    <w:p>
      <w:pPr>
        <w:jc w:val="both"/>
        <w:ind w:left="660" w:right="80" w:firstLine="1292"/>
        <w:spacing w:after="0" w:line="269" w:lineRule="auto"/>
        <w:tabs>
          <w:tab w:leader="none" w:pos="2384"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Approvals</w:t>
      </w:r>
      <w:r>
        <w:rPr>
          <w:rFonts w:ascii="Arial" w:cs="Arial" w:eastAsia="Arial" w:hAnsi="Arial"/>
          <w:sz w:val="19"/>
          <w:szCs w:val="19"/>
          <w:color w:val="auto"/>
        </w:rPr>
        <w:t>. All governmental and third party approvals necessary or, in the discretion of the Agents, advisable in connection with this Amendment No. 2, the financing contemplated by the Credit Agreement and the continuing operations of the Loan Parties and their Restricted Subsidiaries shall have been obtained and be in full force and effect.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339" w:right="359" w:bottom="1440" w:gutter="0" w:footer="0" w:header="0"/>
        </w:sectPr>
      </w:pPr>
    </w:p>
    <w:bookmarkStart w:id="45" w:name="page46"/>
    <w:bookmarkEnd w:id="45"/>
    <w:p>
      <w:pPr>
        <w:ind w:left="660" w:right="260" w:firstLine="1292"/>
        <w:spacing w:after="0" w:line="250" w:lineRule="auto"/>
        <w:tabs>
          <w:tab w:leader="none" w:pos="2384"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Indebtedness</w:t>
      </w:r>
      <w:r>
        <w:rPr>
          <w:rFonts w:ascii="Arial" w:cs="Arial" w:eastAsia="Arial" w:hAnsi="Arial"/>
          <w:sz w:val="20"/>
          <w:szCs w:val="20"/>
          <w:color w:val="auto"/>
        </w:rPr>
        <w:t xml:space="preserve">. After giving effect to this Amendment No. 2, neither the Borrowers nor any of their Restricted Subsidiaries shall have any outstanding Indebtedness (other than Indebtedness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of the Credit Agreement).</w:t>
      </w:r>
    </w:p>
    <w:p>
      <w:pPr>
        <w:spacing w:after="0" w:line="186" w:lineRule="exact"/>
        <w:rPr>
          <w:sz w:val="20"/>
          <w:szCs w:val="20"/>
          <w:color w:val="auto"/>
        </w:rPr>
      </w:pPr>
    </w:p>
    <w:p>
      <w:pPr>
        <w:ind w:left="660" w:firstLine="648"/>
        <w:spacing w:after="0" w:line="260" w:lineRule="auto"/>
        <w:rPr>
          <w:sz w:val="20"/>
          <w:szCs w:val="20"/>
          <w:color w:val="auto"/>
        </w:rPr>
      </w:pPr>
      <w:r>
        <w:rPr>
          <w:rFonts w:ascii="Arial" w:cs="Arial" w:eastAsia="Arial" w:hAnsi="Arial"/>
          <w:sz w:val="19"/>
          <w:szCs w:val="19"/>
          <w:color w:val="auto"/>
        </w:rPr>
        <w:t>Without limiting the generality of the provisions of Section 9.04 of the Credit Agreement, for purposes of determining compliance with the conditions specified in this Section 3, each Lender that has signed this Amendment No. 2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Amendment No. 2 Effective Date specifying its objection thereto.</w:t>
      </w:r>
    </w:p>
    <w:p>
      <w:pPr>
        <w:spacing w:after="0" w:line="174" w:lineRule="exact"/>
        <w:rPr>
          <w:sz w:val="20"/>
          <w:szCs w:val="20"/>
          <w:color w:val="auto"/>
        </w:rPr>
      </w:pPr>
    </w:p>
    <w:p>
      <w:pPr>
        <w:ind w:right="20" w:firstLine="1296"/>
        <w:spacing w:after="0" w:line="28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No. 2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No. 2 by facsimile or any other electronic transmission shall be effective as delivery of a manually executed counterpart hereof.</w:t>
      </w:r>
    </w:p>
    <w:p>
      <w:pPr>
        <w:spacing w:after="0" w:line="151" w:lineRule="exact"/>
        <w:rPr>
          <w:sz w:val="20"/>
          <w:szCs w:val="20"/>
          <w:color w:val="auto"/>
        </w:rPr>
      </w:pPr>
    </w:p>
    <w:p>
      <w:pPr>
        <w:ind w:right="340" w:firstLine="1296"/>
        <w:spacing w:after="0" w:line="253"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b w:val="1"/>
          <w:bCs w:val="1"/>
          <w:u w:val="single" w:color="auto"/>
          <w:color w:val="auto"/>
        </w:rPr>
        <w:t>Applicable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AMENDMENT NO. 2 AND THE RIGHTS AND OBLIGATIONS OF THE</w:t>
      </w:r>
      <w:r>
        <w:rPr>
          <w:rFonts w:ascii="Arial" w:cs="Arial" w:eastAsia="Arial" w:hAnsi="Arial"/>
          <w:sz w:val="20"/>
          <w:szCs w:val="20"/>
          <w:color w:val="auto"/>
        </w:rPr>
        <w:t xml:space="preserve"> </w:t>
      </w:r>
      <w:r>
        <w:rPr>
          <w:rFonts w:ascii="Arial" w:cs="Arial" w:eastAsia="Arial" w:hAnsi="Arial"/>
          <w:sz w:val="20"/>
          <w:szCs w:val="20"/>
          <w:b w:val="1"/>
          <w:bCs w:val="1"/>
          <w:color w:val="auto"/>
        </w:rPr>
        <w:t>PARTIES HEREUNDER SHALL BE CONSTRUED IN ACCORDANCE WITH AND BE GOVERNED BY THE LAW OF THE STATE OF NEW YORK.</w:t>
      </w:r>
    </w:p>
    <w:p>
      <w:pPr>
        <w:spacing w:after="0" w:line="177" w:lineRule="exact"/>
        <w:rPr>
          <w:sz w:val="20"/>
          <w:szCs w:val="20"/>
          <w:color w:val="auto"/>
        </w:rPr>
      </w:pPr>
    </w:p>
    <w:p>
      <w:pPr>
        <w:ind w:right="500" w:firstLine="1296"/>
        <w:spacing w:after="0" w:line="267"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The headings of this Amendment No. 2 are for purposes of reference only and shall not limit or otherwise affect the meaning hereof.</w:t>
      </w:r>
    </w:p>
    <w:p>
      <w:pPr>
        <w:spacing w:after="0" w:line="163" w:lineRule="exact"/>
        <w:rPr>
          <w:sz w:val="20"/>
          <w:szCs w:val="20"/>
          <w:color w:val="auto"/>
        </w:rPr>
      </w:pPr>
    </w:p>
    <w:p>
      <w:pPr>
        <w:ind w:right="20" w:firstLine="1296"/>
        <w:spacing w:after="0" w:line="26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u w:val="single" w:color="auto"/>
          <w:color w:val="auto"/>
        </w:rPr>
        <w:t>Effect of Amendment</w:t>
      </w:r>
      <w:r>
        <w:rPr>
          <w:rFonts w:ascii="Arial" w:cs="Arial" w:eastAsia="Arial" w:hAnsi="Arial"/>
          <w:sz w:val="18"/>
          <w:szCs w:val="18"/>
          <w:color w:val="auto"/>
        </w:rPr>
        <w:t>. This Amendment No. 2 shall not by implication or otherwise limit, impair, constitute a waiver of or otherwise affect the rights and remedies of the Lenders, the Administrative Agent, any other Agent, in each case under the Credit Agreement or any other Loan Document. Except as expressly set forth therein, this Amendment No. 2 shall not alter, modify, amend or in any way affect any of the terms, conditions, obligations, covenants or agreements contained in the Credit Agreement or any other provision of such agreement or any other Loan Document. Each and every term, condition, obligation, covenant and agreement contained in the Credit Agreement or any other Loan Document is hereby ratified and re-affirmed in all respects and shall continue in full force and effect. Each Loan Party hereby reaffirms its obligations under the Loan Documents to which it is party and the prior grant the validity, enforceability and perfection of the Liens granted by it pursuant to the Security Documents, with all such Liens continuing in full force and effect after giving effect to this Amendment No. 2. This Amendment No. 2 shall not constitute a novation of the Credit Agreement or any of the Loan Documents. This Amendment No. 2 shall constitute a Loan Document for purposes of the Credit Agreement and from and after the Amendment No. 2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amended by this Amendment No. 2. Each of the Loan Parties hereby consents to this Amendment No. 2 and confirms that all obligations of such Loan Party under the Loan Documents to which such Loan Party is a party shall continue to apply to the Credit Agreement as amended hereby and that the Liens granted by such Loan Party pursuant to the Security Documents shall continue in full force and effect after giving effect to this Amendment No. 2.</w:t>
      </w:r>
    </w:p>
    <w:p>
      <w:pPr>
        <w:spacing w:after="0" w:line="176" w:lineRule="exact"/>
        <w:rPr>
          <w:sz w:val="20"/>
          <w:szCs w:val="20"/>
          <w:color w:val="auto"/>
        </w:rPr>
      </w:pPr>
    </w:p>
    <w:p>
      <w:pPr>
        <w:ind w:right="220" w:firstLine="1296"/>
        <w:spacing w:after="0" w:line="253"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b w:val="1"/>
          <w:bCs w:val="1"/>
          <w:u w:val="single" w:color="auto"/>
          <w:color w:val="auto"/>
        </w:rPr>
        <w:t>Post-Closing Covenant</w:t>
      </w:r>
      <w:r>
        <w:rPr>
          <w:rFonts w:ascii="Arial" w:cs="Arial" w:eastAsia="Arial" w:hAnsi="Arial"/>
          <w:sz w:val="20"/>
          <w:szCs w:val="20"/>
          <w:color w:val="auto"/>
        </w:rPr>
        <w:t>. The U.S. Borrower agrees that it will, or will cause its relevant subsidiaries that are Subsidiary Guarantors to, deliver to the Administrative Agent within 30 days of the Amendment No. 2 Effective Date (or such later date as the Administrative Agent may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84" w:right="339" w:bottom="1440" w:gutter="0" w:footer="0" w:header="0"/>
        </w:sectPr>
      </w:pPr>
    </w:p>
    <w:bookmarkStart w:id="46" w:name="page47"/>
    <w:bookmarkEnd w:id="46"/>
    <w:p>
      <w:pPr>
        <w:spacing w:after="0" w:line="260" w:lineRule="auto"/>
        <w:rPr>
          <w:sz w:val="20"/>
          <w:szCs w:val="20"/>
          <w:color w:val="auto"/>
        </w:rPr>
      </w:pPr>
      <w:r>
        <w:rPr>
          <w:rFonts w:ascii="Arial" w:cs="Arial" w:eastAsia="Arial" w:hAnsi="Arial"/>
          <w:sz w:val="20"/>
          <w:szCs w:val="20"/>
          <w:color w:val="auto"/>
        </w:rPr>
        <w:t>reasonably agree) evidence that the Collateral Agent has been named as loss payee, under each insurance policy with respect to such insurance as to which the Collateral Agent shall have requested to be so named.</w:t>
      </w:r>
    </w:p>
    <w:p>
      <w:pPr>
        <w:spacing w:after="0" w:line="17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320" w:top="784" w:right="1079" w:bottom="1440" w:gutter="0" w:footer="0" w:header="0"/>
        </w:sectPr>
      </w:pPr>
    </w:p>
    <w:bookmarkStart w:id="47" w:name="page48"/>
    <w:bookmarkEnd w:id="47"/>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Amendment No. 2 to be duly executed by their respective authorized officers as of the day and year first above written.</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WILLIAM CARTER COMPANY</w:t>
      </w:r>
      <w:r>
        <w:rPr>
          <w:rFonts w:ascii="Arial" w:cs="Arial" w:eastAsia="Arial" w:hAnsi="Arial"/>
          <w:sz w:val="20"/>
          <w:szCs w:val="20"/>
          <w:color w:val="auto"/>
        </w:rPr>
        <w:t>, as U.S.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Borrower</w:t>
      </w:r>
    </w:p>
    <w:p>
      <w:pPr>
        <w:spacing w:after="0" w:line="175"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2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4"/>
              </w:rPr>
              <w:t>/s/ Richard F. Westenberger</w:t>
            </w:r>
          </w:p>
        </w:tc>
        <w:tc>
          <w:tcPr>
            <w:tcW w:w="90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Name: Richard F. Westenberger</w:t>
            </w:r>
          </w:p>
        </w:tc>
      </w:tr>
      <w:tr>
        <w:trPr>
          <w:trHeight w:val="229"/>
        </w:trPr>
        <w:tc>
          <w:tcPr>
            <w:tcW w:w="64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w w:val="90"/>
              </w:rPr>
              <w:t>Title: Executive Vice President and Chief</w:t>
            </w:r>
          </w:p>
        </w:tc>
      </w:tr>
      <w:tr>
        <w:trPr>
          <w:trHeight w:val="250"/>
        </w:trPr>
        <w:tc>
          <w:tcPr>
            <w:tcW w:w="640" w:type="dxa"/>
            <w:vAlign w:val="bottom"/>
          </w:tcPr>
          <w:p>
            <w:pPr>
              <w:spacing w:after="0"/>
              <w:rPr>
                <w:sz w:val="21"/>
                <w:szCs w:val="21"/>
                <w:color w:val="auto"/>
              </w:rPr>
            </w:pPr>
          </w:p>
        </w:tc>
        <w:tc>
          <w:tcPr>
            <w:tcW w:w="3280" w:type="dxa"/>
            <w:vAlign w:val="bottom"/>
            <w:gridSpan w:val="2"/>
          </w:tcPr>
          <w:p>
            <w:pPr>
              <w:ind w:left="440"/>
              <w:spacing w:after="0"/>
              <w:rPr>
                <w:sz w:val="20"/>
                <w:szCs w:val="20"/>
                <w:color w:val="auto"/>
              </w:rPr>
            </w:pPr>
            <w:r>
              <w:rPr>
                <w:rFonts w:ascii="Arial" w:cs="Arial" w:eastAsia="Arial" w:hAnsi="Arial"/>
                <w:sz w:val="20"/>
                <w:szCs w:val="20"/>
                <w:color w:val="auto"/>
              </w:rPr>
              <w:t>Financial Officer</w:t>
            </w:r>
          </w:p>
        </w:tc>
      </w:tr>
    </w:tbl>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GENUINE CANADIAN CORP</w:t>
      </w:r>
      <w:r>
        <w:rPr>
          <w:rFonts w:ascii="Arial" w:cs="Arial" w:eastAsia="Arial" w:hAnsi="Arial"/>
          <w:sz w:val="20"/>
          <w:szCs w:val="20"/>
          <w:color w:val="auto"/>
        </w:rPr>
        <w:t>., as Canadian Borrower</w:t>
      </w:r>
    </w:p>
    <w:p>
      <w:pPr>
        <w:spacing w:after="0" w:line="197"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2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4"/>
              </w:rPr>
              <w:t>/s/ Richard F. Westenberger</w:t>
            </w:r>
          </w:p>
        </w:tc>
        <w:tc>
          <w:tcPr>
            <w:tcW w:w="108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20"/>
                <w:szCs w:val="20"/>
                <w:color w:val="auto"/>
              </w:rPr>
              <w:t>Name: Richard F. Westenberger</w:t>
            </w:r>
          </w:p>
        </w:tc>
      </w:tr>
      <w:tr>
        <w:trPr>
          <w:trHeight w:val="250"/>
        </w:trPr>
        <w:tc>
          <w:tcPr>
            <w:tcW w:w="6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0"/>
                <w:szCs w:val="20"/>
                <w:color w:val="auto"/>
                <w:w w:val="91"/>
              </w:rPr>
              <w:t>Title: Chief Financial Officer and Treasurer</w:t>
            </w:r>
          </w:p>
        </w:tc>
      </w:tr>
    </w:tbl>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CARTER’S HOLDINGS B.V.</w:t>
      </w:r>
      <w:r>
        <w:rPr>
          <w:rFonts w:ascii="Arial" w:cs="Arial" w:eastAsia="Arial" w:hAnsi="Arial"/>
          <w:sz w:val="20"/>
          <w:szCs w:val="20"/>
          <w:color w:val="auto"/>
        </w:rPr>
        <w:t>, as Dutch Borrower</w:t>
      </w:r>
    </w:p>
    <w:p>
      <w:pPr>
        <w:spacing w:after="0" w:line="197"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2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4"/>
              </w:rPr>
              <w:t>/s/ Richard F. Westenberger</w:t>
            </w:r>
          </w:p>
        </w:tc>
        <w:tc>
          <w:tcPr>
            <w:tcW w:w="90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Name: Richard F. Westenberger</w:t>
            </w:r>
          </w:p>
        </w:tc>
      </w:tr>
      <w:tr>
        <w:trPr>
          <w:trHeight w:val="250"/>
        </w:trPr>
        <w:tc>
          <w:tcPr>
            <w:tcW w:w="64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Title: Authorized Signatory</w:t>
            </w:r>
          </w:p>
        </w:tc>
      </w:tr>
      <w:tr>
        <w:trPr>
          <w:trHeight w:val="675"/>
        </w:trPr>
        <w:tc>
          <w:tcPr>
            <w:tcW w:w="3920" w:type="dxa"/>
            <w:vAlign w:val="bottom"/>
            <w:gridSpan w:val="3"/>
          </w:tcPr>
          <w:p>
            <w:pPr>
              <w:spacing w:after="0"/>
              <w:rPr>
                <w:sz w:val="20"/>
                <w:szCs w:val="20"/>
                <w:color w:val="auto"/>
              </w:rPr>
            </w:pPr>
            <w:r>
              <w:rPr>
                <w:rFonts w:ascii="Arial" w:cs="Arial" w:eastAsia="Arial" w:hAnsi="Arial"/>
                <w:sz w:val="20"/>
                <w:szCs w:val="20"/>
                <w:b w:val="1"/>
                <w:bCs w:val="1"/>
                <w:color w:val="auto"/>
              </w:rPr>
              <w:t>CARTER’S, INC</w:t>
            </w:r>
            <w:r>
              <w:rPr>
                <w:rFonts w:ascii="Arial" w:cs="Arial" w:eastAsia="Arial" w:hAnsi="Arial"/>
                <w:sz w:val="20"/>
                <w:szCs w:val="20"/>
                <w:color w:val="auto"/>
              </w:rPr>
              <w:t>., as Holdings</w:t>
            </w:r>
          </w:p>
        </w:tc>
      </w:tr>
      <w:tr>
        <w:trPr>
          <w:trHeight w:val="401"/>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2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4"/>
              </w:rPr>
              <w:t>/s/ Richard F. Westenberger</w:t>
            </w:r>
          </w:p>
        </w:tc>
        <w:tc>
          <w:tcPr>
            <w:tcW w:w="900" w:type="dxa"/>
            <w:vAlign w:val="bottom"/>
          </w:tcPr>
          <w:p>
            <w:pPr>
              <w:spacing w:after="0"/>
              <w:rPr>
                <w:sz w:val="24"/>
                <w:szCs w:val="24"/>
                <w:color w:val="auto"/>
              </w:rPr>
            </w:pPr>
          </w:p>
        </w:tc>
      </w:tr>
      <w:tr>
        <w:trPr>
          <w:trHeight w:val="233"/>
        </w:trPr>
        <w:tc>
          <w:tcPr>
            <w:tcW w:w="64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Name: Richard F. Westenberger</w:t>
            </w:r>
          </w:p>
        </w:tc>
      </w:tr>
      <w:tr>
        <w:trPr>
          <w:trHeight w:val="230"/>
        </w:trPr>
        <w:tc>
          <w:tcPr>
            <w:tcW w:w="64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w w:val="90"/>
              </w:rPr>
              <w:t>Title: Executive Vice President and Chief</w:t>
            </w:r>
          </w:p>
        </w:tc>
      </w:tr>
      <w:tr>
        <w:trPr>
          <w:trHeight w:val="250"/>
        </w:trPr>
        <w:tc>
          <w:tcPr>
            <w:tcW w:w="640" w:type="dxa"/>
            <w:vAlign w:val="bottom"/>
          </w:tcPr>
          <w:p>
            <w:pPr>
              <w:spacing w:after="0"/>
              <w:rPr>
                <w:sz w:val="21"/>
                <w:szCs w:val="21"/>
                <w:color w:val="auto"/>
              </w:rPr>
            </w:pPr>
          </w:p>
        </w:tc>
        <w:tc>
          <w:tcPr>
            <w:tcW w:w="3280" w:type="dxa"/>
            <w:vAlign w:val="bottom"/>
            <w:gridSpan w:val="2"/>
          </w:tcPr>
          <w:p>
            <w:pPr>
              <w:ind w:left="440"/>
              <w:spacing w:after="0"/>
              <w:rPr>
                <w:sz w:val="20"/>
                <w:szCs w:val="20"/>
                <w:color w:val="auto"/>
              </w:rPr>
            </w:pPr>
            <w:r>
              <w:rPr>
                <w:rFonts w:ascii="Arial" w:cs="Arial" w:eastAsia="Arial" w:hAnsi="Arial"/>
                <w:sz w:val="20"/>
                <w:szCs w:val="20"/>
                <w:color w:val="auto"/>
              </w:rPr>
              <w:t>Financial Officer</w:t>
            </w:r>
          </w:p>
        </w:tc>
      </w:tr>
    </w:tbl>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OSHKOSH B’GOSH,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CARTER’S RETAIL, INC.</w:t>
      </w:r>
    </w:p>
    <w:p>
      <w:pPr>
        <w:ind w:left="3900"/>
        <w:spacing w:after="0"/>
        <w:rPr>
          <w:sz w:val="20"/>
          <w:szCs w:val="20"/>
          <w:color w:val="auto"/>
        </w:rPr>
      </w:pPr>
      <w:r>
        <w:rPr>
          <w:rFonts w:ascii="Arial" w:cs="Arial" w:eastAsia="Arial" w:hAnsi="Arial"/>
          <w:sz w:val="20"/>
          <w:szCs w:val="20"/>
          <w:b w:val="1"/>
          <w:bCs w:val="1"/>
          <w:color w:val="auto"/>
        </w:rPr>
        <w:t>CARTER’S GIFTCARD COMPANY, INC.</w:t>
      </w:r>
    </w:p>
    <w:p>
      <w:pPr>
        <w:ind w:left="3900"/>
        <w:spacing w:after="0"/>
        <w:rPr>
          <w:sz w:val="20"/>
          <w:szCs w:val="20"/>
          <w:color w:val="auto"/>
        </w:rPr>
      </w:pPr>
      <w:r>
        <w:rPr>
          <w:rFonts w:ascii="Arial" w:cs="Arial" w:eastAsia="Arial" w:hAnsi="Arial"/>
          <w:sz w:val="19"/>
          <w:szCs w:val="19"/>
          <w:b w:val="1"/>
          <w:bCs w:val="1"/>
          <w:color w:val="auto"/>
        </w:rPr>
        <w:t>TWCC PRODUCT DEVELOPMENT AND SALES, INC.</w:t>
      </w:r>
      <w:r>
        <w:rPr>
          <w:rFonts w:ascii="Arial" w:cs="Arial" w:eastAsia="Arial" w:hAnsi="Arial"/>
          <w:sz w:val="19"/>
          <w:szCs w:val="19"/>
          <w:color w:val="auto"/>
        </w:rPr>
        <w:t>, each as a Subsidiary</w:t>
      </w:r>
    </w:p>
    <w:p>
      <w:pPr>
        <w:spacing w:after="0" w:line="1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Guarantor</w:t>
      </w:r>
    </w:p>
    <w:p>
      <w:pPr>
        <w:spacing w:after="0" w:line="175"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By:</w:t>
            </w:r>
          </w:p>
        </w:tc>
        <w:tc>
          <w:tcPr>
            <w:tcW w:w="320" w:type="dxa"/>
            <w:vAlign w:val="bottom"/>
          </w:tcPr>
          <w:p>
            <w:pPr>
              <w:spacing w:after="0"/>
              <w:rPr>
                <w:sz w:val="19"/>
                <w:szCs w:val="19"/>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4"/>
              </w:rPr>
              <w:t>/s/ Richard F. Westenberger</w:t>
            </w:r>
          </w:p>
        </w:tc>
        <w:tc>
          <w:tcPr>
            <w:tcW w:w="900" w:type="dxa"/>
            <w:vAlign w:val="bottom"/>
          </w:tcPr>
          <w:p>
            <w:pPr>
              <w:spacing w:after="0"/>
              <w:rPr>
                <w:sz w:val="19"/>
                <w:szCs w:val="19"/>
                <w:color w:val="auto"/>
              </w:rPr>
            </w:pPr>
          </w:p>
        </w:tc>
      </w:tr>
      <w:tr>
        <w:trPr>
          <w:trHeight w:val="233"/>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Name: Richard F. Westenberger</w:t>
            </w:r>
          </w:p>
        </w:tc>
      </w:tr>
      <w:tr>
        <w:trPr>
          <w:trHeight w:val="229"/>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w w:val="90"/>
              </w:rPr>
              <w:t>Title: Executive Vice President and Chief</w:t>
            </w:r>
          </w:p>
        </w:tc>
      </w:tr>
      <w:tr>
        <w:trPr>
          <w:trHeight w:val="250"/>
        </w:trPr>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80" w:type="dxa"/>
            <w:vAlign w:val="bottom"/>
            <w:gridSpan w:val="2"/>
          </w:tcPr>
          <w:p>
            <w:pPr>
              <w:ind w:left="440"/>
              <w:spacing w:after="0"/>
              <w:rPr>
                <w:sz w:val="20"/>
                <w:szCs w:val="20"/>
                <w:color w:val="auto"/>
              </w:rPr>
            </w:pPr>
            <w:r>
              <w:rPr>
                <w:rFonts w:ascii="Arial" w:cs="Arial" w:eastAsia="Arial" w:hAnsi="Arial"/>
                <w:sz w:val="20"/>
                <w:szCs w:val="20"/>
                <w:color w:val="auto"/>
              </w:rPr>
              <w:t>Financial Officer and Treasurer</w:t>
            </w:r>
          </w:p>
        </w:tc>
      </w:tr>
      <w:tr>
        <w:trPr>
          <w:trHeight w:val="644"/>
        </w:trPr>
        <w:tc>
          <w:tcPr>
            <w:tcW w:w="320" w:type="dxa"/>
            <w:vAlign w:val="bottom"/>
          </w:tcPr>
          <w:p>
            <w:pPr>
              <w:spacing w:after="0"/>
              <w:rPr>
                <w:sz w:val="24"/>
                <w:szCs w:val="24"/>
                <w:color w:val="auto"/>
              </w:rPr>
            </w:pPr>
          </w:p>
        </w:tc>
        <w:tc>
          <w:tcPr>
            <w:tcW w:w="3600" w:type="dxa"/>
            <w:vAlign w:val="bottom"/>
            <w:gridSpan w:val="3"/>
          </w:tcPr>
          <w:p>
            <w:pPr>
              <w:ind w:left="20"/>
              <w:spacing w:after="0"/>
              <w:rPr>
                <w:sz w:val="20"/>
                <w:szCs w:val="20"/>
                <w:color w:val="auto"/>
              </w:rPr>
            </w:pPr>
            <w:r>
              <w:rPr>
                <w:rFonts w:ascii="Arial" w:cs="Arial" w:eastAsia="Arial" w:hAnsi="Arial"/>
                <w:sz w:val="18"/>
                <w:szCs w:val="18"/>
                <w:color w:val="auto"/>
              </w:rPr>
              <w:t>[Signature Page to Amendment No. 2]</w:t>
            </w:r>
          </w:p>
        </w:tc>
      </w:tr>
    </w:tbl>
    <w:p>
      <w:pPr>
        <w:sectPr>
          <w:pgSz w:w="11900" w:h="16838" w:orient="portrait"/>
          <w:cols w:equalWidth="0" w:num="1">
            <w:col w:w="10780"/>
          </w:cols>
          <w:pgMar w:left="320" w:top="564" w:right="799" w:bottom="1440" w:gutter="0" w:footer="0" w:header="0"/>
        </w:sectPr>
      </w:pPr>
    </w:p>
    <w:bookmarkStart w:id="48" w:name="page49"/>
    <w:bookmarkEnd w:id="48"/>
    <w:p>
      <w:pPr>
        <w:ind w:left="2780"/>
        <w:spacing w:after="0"/>
        <w:rPr>
          <w:sz w:val="20"/>
          <w:szCs w:val="20"/>
          <w:color w:val="auto"/>
        </w:rPr>
      </w:pPr>
      <w:r>
        <w:rPr>
          <w:rFonts w:ascii="Arial" w:cs="Arial" w:eastAsia="Arial" w:hAnsi="Arial"/>
          <w:sz w:val="20"/>
          <w:szCs w:val="20"/>
          <w:b w:val="1"/>
          <w:bCs w:val="1"/>
          <w:color w:val="auto"/>
        </w:rPr>
        <w:t>SKIP HOP, INC.</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SKIP HOP HOLDINGS, INC.</w:t>
      </w:r>
      <w:r>
        <w:rPr>
          <w:rFonts w:ascii="Arial" w:cs="Arial" w:eastAsia="Arial" w:hAnsi="Arial"/>
          <w:sz w:val="18"/>
          <w:szCs w:val="18"/>
          <w:color w:val="auto"/>
        </w:rPr>
        <w:t>, each as a Subsidiary Guarantor</w:t>
      </w:r>
    </w:p>
    <w:p>
      <w:pPr>
        <w:spacing w:after="0" w:line="198"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2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4"/>
              </w:rPr>
              <w:t>/s/ Richard F. Westenberger</w:t>
            </w:r>
          </w:p>
        </w:tc>
        <w:tc>
          <w:tcPr>
            <w:tcW w:w="14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20"/>
                <w:szCs w:val="20"/>
                <w:color w:val="auto"/>
                <w:w w:val="86"/>
              </w:rPr>
              <w:t>Name: Richard F. Westenberger</w:t>
            </w:r>
          </w:p>
        </w:tc>
      </w:tr>
      <w:tr>
        <w:trPr>
          <w:trHeight w:val="250"/>
        </w:trPr>
        <w:tc>
          <w:tcPr>
            <w:tcW w:w="64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20"/>
                <w:szCs w:val="20"/>
                <w:color w:val="auto"/>
              </w:rPr>
              <w:t>Title: Treasurer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019"/>
          </w:cols>
          <w:pgMar w:left="1440" w:top="549" w:right="1440" w:bottom="1440" w:gutter="0" w:footer="0" w:header="0"/>
        </w:sectPr>
      </w:pPr>
    </w:p>
    <w:bookmarkStart w:id="49" w:name="page50"/>
    <w:bookmarkEnd w:id="49"/>
    <w:p>
      <w:pPr>
        <w:ind w:left="278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Administrative Agent and Collateral Agent</w:t>
      </w:r>
    </w:p>
    <w:p>
      <w:pPr>
        <w:spacing w:after="0" w:line="197"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/s/ Philip VanFossan</w:t>
            </w:r>
          </w:p>
        </w:tc>
        <w:tc>
          <w:tcPr>
            <w:tcW w:w="16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20"/>
                <w:szCs w:val="20"/>
                <w:color w:val="auto"/>
                <w:w w:val="89"/>
              </w:rPr>
              <w:t>Name: Philip VanFossan</w:t>
            </w:r>
          </w:p>
        </w:tc>
      </w:tr>
      <w:tr>
        <w:trPr>
          <w:trHeight w:val="250"/>
        </w:trPr>
        <w:tc>
          <w:tcPr>
            <w:tcW w:w="64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20"/>
                <w:szCs w:val="20"/>
                <w:color w:val="auto"/>
                <w:w w:val="92"/>
              </w:rPr>
              <w:t>Title: Executive Director</w:t>
            </w:r>
          </w:p>
        </w:tc>
      </w:tr>
    </w:tbl>
    <w:p>
      <w:pPr>
        <w:spacing w:after="0" w:line="200" w:lineRule="exact"/>
        <w:rPr>
          <w:sz w:val="20"/>
          <w:szCs w:val="20"/>
          <w:color w:val="auto"/>
        </w:rPr>
      </w:pPr>
    </w:p>
    <w:p>
      <w:pPr>
        <w:spacing w:after="0" w:line="219" w:lineRule="exact"/>
        <w:rPr>
          <w:sz w:val="20"/>
          <w:szCs w:val="20"/>
          <w:color w:val="auto"/>
        </w:rPr>
      </w:pPr>
    </w:p>
    <w:p>
      <w:pPr>
        <w:ind w:left="2780" w:right="240"/>
        <w:spacing w:after="0" w:line="267" w:lineRule="auto"/>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a Lender, a U.S. Dollar Facility L/C Issuer and</w:t>
      </w:r>
      <w:r>
        <w:rPr>
          <w:rFonts w:ascii="Arial" w:cs="Arial" w:eastAsia="Arial" w:hAnsi="Arial"/>
          <w:sz w:val="20"/>
          <w:szCs w:val="20"/>
          <w:b w:val="1"/>
          <w:bCs w:val="1"/>
          <w:color w:val="auto"/>
        </w:rPr>
        <w:t xml:space="preserve"> </w:t>
      </w:r>
      <w:r>
        <w:rPr>
          <w:rFonts w:ascii="Arial" w:cs="Arial" w:eastAsia="Arial" w:hAnsi="Arial"/>
          <w:sz w:val="20"/>
          <w:szCs w:val="20"/>
          <w:color w:val="auto"/>
        </w:rPr>
        <w:t>U.S. Dollar Facility Swing Line Lender</w:t>
      </w:r>
    </w:p>
    <w:p>
      <w:pPr>
        <w:spacing w:after="0" w:line="145"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/s/ Philip VanFossan</w:t>
            </w:r>
          </w:p>
        </w:tc>
        <w:tc>
          <w:tcPr>
            <w:tcW w:w="16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20"/>
                <w:szCs w:val="20"/>
                <w:color w:val="auto"/>
                <w:w w:val="89"/>
              </w:rPr>
              <w:t>Name: Philip VanFossan</w:t>
            </w:r>
          </w:p>
        </w:tc>
      </w:tr>
      <w:tr>
        <w:trPr>
          <w:trHeight w:val="250"/>
        </w:trPr>
        <w:tc>
          <w:tcPr>
            <w:tcW w:w="64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20"/>
                <w:szCs w:val="20"/>
                <w:color w:val="auto"/>
                <w:w w:val="92"/>
              </w:rPr>
              <w:t>Title: Executive Director</w:t>
            </w:r>
          </w:p>
        </w:tc>
      </w:tr>
    </w:tbl>
    <w:p>
      <w:pPr>
        <w:spacing w:after="0" w:line="200" w:lineRule="exact"/>
        <w:rPr>
          <w:sz w:val="20"/>
          <w:szCs w:val="20"/>
          <w:color w:val="auto"/>
        </w:rPr>
      </w:pPr>
    </w:p>
    <w:p>
      <w:pPr>
        <w:spacing w:after="0" w:line="219" w:lineRule="exact"/>
        <w:rPr>
          <w:sz w:val="20"/>
          <w:szCs w:val="20"/>
          <w:color w:val="auto"/>
        </w:rPr>
      </w:pPr>
    </w:p>
    <w:p>
      <w:pPr>
        <w:ind w:left="2780" w:right="460"/>
        <w:spacing w:after="0" w:line="250" w:lineRule="auto"/>
        <w:rPr>
          <w:sz w:val="20"/>
          <w:szCs w:val="20"/>
          <w:color w:val="auto"/>
        </w:rPr>
      </w:pPr>
      <w:r>
        <w:rPr>
          <w:rFonts w:ascii="Arial" w:cs="Arial" w:eastAsia="Arial" w:hAnsi="Arial"/>
          <w:sz w:val="20"/>
          <w:szCs w:val="20"/>
          <w:b w:val="1"/>
          <w:bCs w:val="1"/>
          <w:color w:val="auto"/>
        </w:rPr>
        <w:t>JPMORGAN CHASE BANK, N.A., TORONTO BRANCH</w:t>
      </w:r>
      <w:r>
        <w:rPr>
          <w:rFonts w:ascii="Arial" w:cs="Arial" w:eastAsia="Arial" w:hAnsi="Arial"/>
          <w:sz w:val="20"/>
          <w:szCs w:val="20"/>
          <w:color w:val="auto"/>
        </w:rPr>
        <w:t>, as Canadian Agent, a</w:t>
      </w:r>
      <w:r>
        <w:rPr>
          <w:rFonts w:ascii="Arial" w:cs="Arial" w:eastAsia="Arial" w:hAnsi="Arial"/>
          <w:sz w:val="20"/>
          <w:szCs w:val="20"/>
          <w:b w:val="1"/>
          <w:bCs w:val="1"/>
          <w:color w:val="auto"/>
        </w:rPr>
        <w:t xml:space="preserve"> </w:t>
      </w:r>
      <w:r>
        <w:rPr>
          <w:rFonts w:ascii="Arial" w:cs="Arial" w:eastAsia="Arial" w:hAnsi="Arial"/>
          <w:sz w:val="20"/>
          <w:szCs w:val="20"/>
          <w:color w:val="auto"/>
        </w:rPr>
        <w:t>Lender, a</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Multicurrency Facility L/C Issuer and a Multicurrency Facility Swing Line Lender</w:t>
      </w:r>
    </w:p>
    <w:p>
      <w:pPr>
        <w:spacing w:after="0" w:line="175"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Auggie Marchetti</w:t>
            </w:r>
          </w:p>
        </w:tc>
        <w:tc>
          <w:tcPr>
            <w:tcW w:w="14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20"/>
                <w:szCs w:val="20"/>
                <w:color w:val="auto"/>
                <w:w w:val="91"/>
              </w:rPr>
              <w:t>Name: Auggie Marchetti</w:t>
            </w:r>
          </w:p>
        </w:tc>
      </w:tr>
      <w:tr>
        <w:trPr>
          <w:trHeight w:val="250"/>
        </w:trPr>
        <w:tc>
          <w:tcPr>
            <w:tcW w:w="64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20"/>
                <w:szCs w:val="20"/>
                <w:color w:val="auto"/>
                <w:w w:val="93"/>
              </w:rPr>
              <w:t>Title: Authorized Officer</w:t>
            </w:r>
          </w:p>
        </w:tc>
      </w:tr>
    </w:tbl>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J.P. MORGAN EUROPE LIMITED</w:t>
      </w:r>
      <w:r>
        <w:rPr>
          <w:rFonts w:ascii="Arial" w:cs="Arial" w:eastAsia="Arial" w:hAnsi="Arial"/>
          <w:sz w:val="20"/>
          <w:szCs w:val="20"/>
          <w:color w:val="auto"/>
        </w:rPr>
        <w:t>,</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European Agent</w:t>
      </w:r>
    </w:p>
    <w:p>
      <w:pPr>
        <w:spacing w:after="0" w:line="175"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Belinda Lucas</w:t>
            </w:r>
          </w:p>
        </w:tc>
        <w:tc>
          <w:tcPr>
            <w:tcW w:w="60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auto"/>
              </w:rPr>
              <w:t>Name: Belinda Lucas</w:t>
            </w:r>
          </w:p>
        </w:tc>
      </w:tr>
      <w:tr>
        <w:trPr>
          <w:trHeight w:val="250"/>
        </w:trPr>
        <w:tc>
          <w:tcPr>
            <w:tcW w:w="6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auto"/>
                <w:w w:val="92"/>
              </w:rPr>
              <w:t>Title: Authorised Signatory</w:t>
            </w:r>
          </w:p>
        </w:tc>
      </w:tr>
    </w:tbl>
    <w:p>
      <w:pPr>
        <w:spacing w:after="0" w:line="200" w:lineRule="exact"/>
        <w:rPr>
          <w:sz w:val="20"/>
          <w:szCs w:val="20"/>
          <w:color w:val="auto"/>
        </w:rPr>
      </w:pPr>
    </w:p>
    <w:p>
      <w:pPr>
        <w:spacing w:after="0" w:line="219" w:lineRule="exact"/>
        <w:rPr>
          <w:sz w:val="20"/>
          <w:szCs w:val="20"/>
          <w:color w:val="auto"/>
        </w:rPr>
      </w:pPr>
    </w:p>
    <w:p>
      <w:pPr>
        <w:ind w:left="2780"/>
        <w:spacing w:after="0" w:line="267" w:lineRule="auto"/>
        <w:rPr>
          <w:sz w:val="20"/>
          <w:szCs w:val="20"/>
          <w:color w:val="auto"/>
        </w:rPr>
      </w:pPr>
      <w:r>
        <w:rPr>
          <w:rFonts w:ascii="Arial" w:cs="Arial" w:eastAsia="Arial" w:hAnsi="Arial"/>
          <w:sz w:val="20"/>
          <w:szCs w:val="20"/>
          <w:b w:val="1"/>
          <w:bCs w:val="1"/>
          <w:color w:val="auto"/>
        </w:rPr>
        <w:t>JPMORGAN CHASE BANK, N.A., LONDON BRANCH</w:t>
      </w:r>
      <w:r>
        <w:rPr>
          <w:rFonts w:ascii="Arial" w:cs="Arial" w:eastAsia="Arial" w:hAnsi="Arial"/>
          <w:sz w:val="20"/>
          <w:szCs w:val="20"/>
          <w:color w:val="auto"/>
        </w:rPr>
        <w:t>, as a Lender, a Multicurrency</w:t>
      </w:r>
      <w:r>
        <w:rPr>
          <w:rFonts w:ascii="Arial" w:cs="Arial" w:eastAsia="Arial" w:hAnsi="Arial"/>
          <w:sz w:val="20"/>
          <w:szCs w:val="20"/>
          <w:b w:val="1"/>
          <w:bCs w:val="1"/>
          <w:color w:val="auto"/>
        </w:rPr>
        <w:t xml:space="preserve"> </w:t>
      </w:r>
      <w:r>
        <w:rPr>
          <w:rFonts w:ascii="Arial" w:cs="Arial" w:eastAsia="Arial" w:hAnsi="Arial"/>
          <w:sz w:val="20"/>
          <w:szCs w:val="20"/>
          <w:color w:val="auto"/>
        </w:rPr>
        <w:t>Facility L/C Issuer and a Multicurrency Facility Swing Line Lender</w:t>
      </w:r>
    </w:p>
    <w:p>
      <w:pPr>
        <w:spacing w:after="0" w:line="145"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Altan Kayaalp</w:t>
            </w:r>
          </w:p>
        </w:tc>
        <w:tc>
          <w:tcPr>
            <w:tcW w:w="40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20"/>
                <w:szCs w:val="20"/>
                <w:color w:val="auto"/>
              </w:rPr>
              <w:t>Name: Altan Kayaalp</w:t>
            </w:r>
          </w:p>
        </w:tc>
      </w:tr>
      <w:tr>
        <w:trPr>
          <w:trHeight w:val="250"/>
        </w:trPr>
        <w:tc>
          <w:tcPr>
            <w:tcW w:w="64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20"/>
                <w:szCs w:val="20"/>
                <w:color w:val="auto"/>
                <w:w w:val="92"/>
              </w:rPr>
              <w:t>Title: Executive Director</w:t>
            </w:r>
          </w:p>
        </w:tc>
      </w:tr>
    </w:tbl>
    <w:p>
      <w:pPr>
        <w:spacing w:after="0" w:line="200" w:lineRule="exact"/>
        <w:rPr>
          <w:sz w:val="20"/>
          <w:szCs w:val="20"/>
          <w:color w:val="auto"/>
        </w:rPr>
      </w:pPr>
    </w:p>
    <w:p>
      <w:pPr>
        <w:spacing w:after="0" w:line="214"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000"/>
          </w:cols>
          <w:pgMar w:left="1440" w:top="549" w:right="45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Anthony Hoye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019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Anthony Hoye</w:t>
      </w:r>
    </w:p>
    <w:p>
      <w:pPr>
        <w:ind w:left="4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32"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AMERICA, N.A. (CANADA BRANCH)</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5703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57035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Medina Sales de Andrade</w:t>
      </w:r>
    </w:p>
    <w:p>
      <w:pPr>
        <w:ind w:left="420"/>
        <w:spacing w:after="0"/>
        <w:rPr>
          <w:sz w:val="20"/>
          <w:szCs w:val="20"/>
          <w:color w:val="auto"/>
        </w:rPr>
      </w:pPr>
      <w:r>
        <w:rPr>
          <w:rFonts w:ascii="Arial" w:cs="Arial" w:eastAsia="Arial" w:hAnsi="Arial"/>
          <w:sz w:val="20"/>
          <w:szCs w:val="20"/>
          <w:color w:val="auto"/>
        </w:rPr>
        <w:t>Title: Vice President</w:t>
      </w:r>
    </w:p>
    <w:p>
      <w:pPr>
        <w:spacing w:after="0" w:line="202"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MONTREAL</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Katie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0610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06108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Katie Robinson</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784" w:right="1440"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MONTREAL</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Sean Gallaway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0325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Sean Gallaway</w:t>
      </w:r>
    </w:p>
    <w:p>
      <w:pPr>
        <w:ind w:left="4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54" w:name="page55"/>
    <w:bookmarkEnd w:id="54"/>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MONTREAL</w:t>
      </w:r>
      <w:r>
        <w:rPr>
          <w:rFonts w:ascii="Arial" w:cs="Arial" w:eastAsia="Arial" w:hAnsi="Arial"/>
          <w:sz w:val="20"/>
          <w:szCs w:val="20"/>
          <w:color w:val="auto"/>
        </w:rPr>
        <w:t>, as a Lender</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20"/>
                <w:szCs w:val="20"/>
                <w:color w:val="auto"/>
              </w:rPr>
              <w:t>By: /s/ Tom Woolgar</w:t>
            </w:r>
          </w:p>
        </w:tc>
        <w:tc>
          <w:tcPr>
            <w:tcW w:w="1900" w:type="dxa"/>
            <w:vAlign w:val="bottom"/>
          </w:tcPr>
          <w:p>
            <w:pPr>
              <w:ind w:left="240"/>
              <w:spacing w:after="0"/>
              <w:rPr>
                <w:sz w:val="20"/>
                <w:szCs w:val="20"/>
                <w:color w:val="auto"/>
              </w:rPr>
            </w:pPr>
            <w:r>
              <w:rPr>
                <w:rFonts w:ascii="Arial" w:cs="Arial" w:eastAsia="Arial" w:hAnsi="Arial"/>
                <w:sz w:val="20"/>
                <w:szCs w:val="20"/>
                <w:color w:val="auto"/>
              </w:rPr>
              <w:t>/s/ Scott Matthews</w:t>
            </w:r>
          </w:p>
        </w:tc>
      </w:tr>
      <w:tr>
        <w:trPr>
          <w:trHeight w:val="233"/>
        </w:trPr>
        <w:tc>
          <w:tcPr>
            <w:tcW w:w="420" w:type="dxa"/>
            <w:vAlign w:val="bottom"/>
          </w:tcPr>
          <w:p>
            <w:pPr>
              <w:spacing w:after="0"/>
              <w:rPr>
                <w:sz w:val="20"/>
                <w:szCs w:val="20"/>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Name: Tom Woolgar</w:t>
            </w:r>
          </w:p>
        </w:tc>
        <w:tc>
          <w:tcPr>
            <w:tcW w:w="1900" w:type="dxa"/>
            <w:vAlign w:val="bottom"/>
            <w:tcBorders>
              <w:top w:val="single" w:sz="8" w:color="auto"/>
            </w:tcBorders>
          </w:tcPr>
          <w:p>
            <w:pPr>
              <w:ind w:left="320"/>
              <w:spacing w:after="0"/>
              <w:rPr>
                <w:sz w:val="20"/>
                <w:szCs w:val="20"/>
                <w:color w:val="auto"/>
              </w:rPr>
            </w:pPr>
            <w:r>
              <w:rPr>
                <w:rFonts w:ascii="Arial" w:cs="Arial" w:eastAsia="Arial" w:hAnsi="Arial"/>
                <w:sz w:val="20"/>
                <w:szCs w:val="20"/>
                <w:color w:val="auto"/>
              </w:rPr>
              <w:t>Scott Matthews</w:t>
            </w:r>
          </w:p>
        </w:tc>
      </w:tr>
      <w:tr>
        <w:trPr>
          <w:trHeight w:val="250"/>
        </w:trPr>
        <w:tc>
          <w:tcPr>
            <w:tcW w:w="420" w:type="dxa"/>
            <w:vAlign w:val="bottom"/>
          </w:tcPr>
          <w:p>
            <w:pPr>
              <w:spacing w:after="0"/>
              <w:rPr>
                <w:sz w:val="21"/>
                <w:szCs w:val="21"/>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Title: Managing Director</w:t>
            </w:r>
          </w:p>
        </w:tc>
        <w:tc>
          <w:tcPr>
            <w:tcW w:w="1900" w:type="dxa"/>
            <w:vAlign w:val="bottom"/>
          </w:tcPr>
          <w:p>
            <w:pPr>
              <w:ind w:left="24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Max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8235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82359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Max Greer</w:t>
      </w:r>
    </w:p>
    <w:p>
      <w:pPr>
        <w:ind w:left="4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ROYAL BANK OF CANADA</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Kirsten Jakobsen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1372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Kirsten Jakobsen</w:t>
      </w:r>
    </w:p>
    <w:p>
      <w:pPr>
        <w:ind w:left="420"/>
        <w:spacing w:after="0"/>
        <w:rPr>
          <w:sz w:val="20"/>
          <w:szCs w:val="20"/>
          <w:color w:val="auto"/>
        </w:rPr>
      </w:pPr>
      <w:r>
        <w:rPr>
          <w:rFonts w:ascii="Arial" w:cs="Arial" w:eastAsia="Arial" w:hAnsi="Arial"/>
          <w:sz w:val="20"/>
          <w:szCs w:val="20"/>
          <w:color w:val="auto"/>
        </w:rPr>
        <w:t>Title: Vice President, Corporate Client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Conan Schleicher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165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Conan Schleicher</w:t>
      </w:r>
    </w:p>
    <w:p>
      <w:pPr>
        <w:ind w:left="4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32"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58" w:name="page59"/>
    <w:bookmarkEnd w:id="58"/>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Michael J.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0883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Michael J. Stein</w:t>
      </w:r>
    </w:p>
    <w:p>
      <w:pPr>
        <w:ind w:left="4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32"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Brandon K. Fiddler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2560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Brandon K. Fiddler</w:t>
      </w:r>
    </w:p>
    <w:p>
      <w:pPr>
        <w:ind w:left="420"/>
        <w:spacing w:after="0"/>
        <w:rPr>
          <w:sz w:val="20"/>
          <w:szCs w:val="20"/>
          <w:color w:val="auto"/>
        </w:rPr>
      </w:pPr>
      <w:r>
        <w:rPr>
          <w:rFonts w:ascii="Arial" w:cs="Arial" w:eastAsia="Arial" w:hAnsi="Arial"/>
          <w:sz w:val="20"/>
          <w:szCs w:val="20"/>
          <w:color w:val="auto"/>
        </w:rPr>
        <w:t>Title: Senior Vice President</w:t>
      </w:r>
    </w:p>
    <w:p>
      <w:pPr>
        <w:spacing w:after="0" w:line="202"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MUFG BANK, LTD., CANADA BRANCH</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Samin Atique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970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Samin Atique</w:t>
      </w:r>
    </w:p>
    <w:p>
      <w:pPr>
        <w:ind w:left="420"/>
        <w:spacing w:after="0"/>
        <w:rPr>
          <w:sz w:val="20"/>
          <w:szCs w:val="20"/>
          <w:color w:val="auto"/>
        </w:rPr>
      </w:pPr>
      <w:r>
        <w:rPr>
          <w:rFonts w:ascii="Arial" w:cs="Arial" w:eastAsia="Arial" w:hAnsi="Arial"/>
          <w:sz w:val="20"/>
          <w:szCs w:val="20"/>
          <w:color w:val="auto"/>
        </w:rPr>
        <w:t>Title: Managing Director</w:t>
      </w:r>
    </w:p>
    <w:p>
      <w:pPr>
        <w:spacing w:after="0" w:line="202"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The undersigned hereby consents to the Amendment No.2: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MUFG BANK, LTD.</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/s/ Henry Schwarz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053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Henry Schwarz</w:t>
      </w:r>
    </w:p>
    <w:p>
      <w:pPr>
        <w:ind w:left="4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555"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u w:val="single" w:color="auto"/>
          <w:color w:val="auto"/>
        </w:rPr>
        <w:t>EXHIBIT A</w:t>
      </w:r>
    </w:p>
    <w:p>
      <w:pPr>
        <w:spacing w:after="0" w:line="22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[Credit Agreement, as amended]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20"/>
          </w:cols>
          <w:pgMar w:left="1440" w:top="55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 xml:space="preserve">EXHIBIT A TO AMENDMENT NO. </w:t>
      </w:r>
      <w:r>
        <w:rPr>
          <w:rFonts w:ascii="Arial" w:cs="Arial" w:eastAsia="Arial" w:hAnsi="Arial"/>
          <w:sz w:val="20"/>
          <w:szCs w:val="20"/>
          <w:b w:val="1"/>
          <w:bCs w:val="1"/>
          <w:color w:val="auto"/>
          <w:strike w:val="1"/>
        </w:rPr>
        <w:t>1</w:t>
      </w:r>
      <w:r>
        <w:rPr>
          <w:rFonts w:ascii="Arial" w:cs="Arial" w:eastAsia="Arial" w:hAnsi="Arial"/>
          <w:sz w:val="20"/>
          <w:szCs w:val="20"/>
          <w:b w:val="1"/>
          <w:bCs w:val="1"/>
          <w:u w:val="single" w:color="auto"/>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211455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8"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FOURTH AMENDED AND RESTATED</w:t>
      </w:r>
    </w:p>
    <w:p>
      <w:pPr>
        <w:spacing w:after="0" w:line="22"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CREDIT AGREEMENT</w:t>
      </w:r>
    </w:p>
    <w:p>
      <w:pPr>
        <w:spacing w:after="0" w:line="213"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Dated as of August 25, 2017</w:t>
      </w:r>
    </w:p>
    <w:p>
      <w:pPr>
        <w:spacing w:after="0" w:line="16"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 xml:space="preserve">as amended </w:t>
      </w:r>
      <w:r>
        <w:rPr>
          <w:rFonts w:ascii="Arial" w:cs="Arial" w:eastAsia="Arial" w:hAnsi="Arial"/>
          <w:sz w:val="20"/>
          <w:szCs w:val="20"/>
          <w:u w:val="single" w:color="auto"/>
          <w:color w:val="auto"/>
        </w:rPr>
        <w:t>*by Amendment No. 1*</w:t>
      </w:r>
      <w:r>
        <w:rPr>
          <w:rFonts w:ascii="Arial" w:cs="Arial" w:eastAsia="Arial" w:hAnsi="Arial"/>
          <w:sz w:val="20"/>
          <w:szCs w:val="20"/>
          <w:color w:val="auto"/>
        </w:rPr>
        <w:t xml:space="preserve"> as of September 21, </w:t>
      </w:r>
      <w:r>
        <w:rPr>
          <w:rFonts w:ascii="Arial" w:cs="Arial" w:eastAsia="Arial" w:hAnsi="Arial"/>
          <w:sz w:val="20"/>
          <w:szCs w:val="20"/>
          <w:color w:val="auto"/>
          <w:strike w:val="1"/>
        </w:rPr>
        <w:t>2018</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*2018, and*</w:t>
      </w:r>
    </w:p>
    <w:p>
      <w:pPr>
        <w:spacing w:after="0" w:line="213"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strike w:val="1"/>
        </w:rPr>
        <w:t>among</w:t>
      </w:r>
    </w:p>
    <w:p>
      <w:pPr>
        <w:spacing w:after="0" w:line="229" w:lineRule="exact"/>
        <w:rPr>
          <w:sz w:val="20"/>
          <w:szCs w:val="20"/>
          <w:color w:val="auto"/>
        </w:rPr>
      </w:pPr>
    </w:p>
    <w:p>
      <w:pPr>
        <w:jc w:val="center"/>
        <w:ind w:right="1160"/>
        <w:spacing w:after="0"/>
        <w:rPr>
          <w:sz w:val="20"/>
          <w:szCs w:val="20"/>
          <w:color w:val="auto"/>
        </w:rPr>
      </w:pPr>
      <w:r>
        <w:rPr>
          <w:rFonts w:ascii="Arial" w:cs="Arial" w:eastAsia="Arial" w:hAnsi="Arial"/>
          <w:sz w:val="20"/>
          <w:szCs w:val="20"/>
          <w:u w:val="single" w:color="auto"/>
          <w:color w:val="auto"/>
        </w:rPr>
        <w:t>*as amended by Amendment No. 2. as of May 4, 2020*</w:t>
      </w:r>
    </w:p>
    <w:p>
      <w:pPr>
        <w:spacing w:after="0" w:line="223"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THE WILLIAM CARTER COMPANY,</w:t>
      </w:r>
    </w:p>
    <w:p>
      <w:pPr>
        <w:spacing w:after="0" w:line="22"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as U.S. Borrower,</w:t>
      </w:r>
    </w:p>
    <w:p>
      <w:pPr>
        <w:spacing w:after="0" w:line="207"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THE GENUINE CANADIAN CORP.,</w:t>
      </w:r>
    </w:p>
    <w:p>
      <w:pPr>
        <w:spacing w:after="0" w:line="22"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as Canadian Borrower,</w:t>
      </w:r>
    </w:p>
    <w:p>
      <w:pPr>
        <w:spacing w:after="0" w:line="207"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CARTER’S HOLDINGS B.V.,</w:t>
      </w:r>
    </w:p>
    <w:p>
      <w:pPr>
        <w:spacing w:after="0" w:line="22"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as Dutch Borrower,</w:t>
      </w:r>
    </w:p>
    <w:p>
      <w:pPr>
        <w:spacing w:after="0" w:line="207" w:lineRule="exact"/>
        <w:rPr>
          <w:sz w:val="20"/>
          <w:szCs w:val="20"/>
          <w:color w:val="auto"/>
        </w:rPr>
      </w:pPr>
    </w:p>
    <w:p>
      <w:pPr>
        <w:jc w:val="center"/>
        <w:ind w:left="400" w:right="1560"/>
        <w:spacing w:after="0" w:line="253" w:lineRule="auto"/>
        <w:rPr>
          <w:sz w:val="20"/>
          <w:szCs w:val="20"/>
          <w:color w:val="auto"/>
        </w:rPr>
      </w:pPr>
      <w:r>
        <w:rPr>
          <w:rFonts w:ascii="Arial" w:cs="Arial" w:eastAsia="Arial" w:hAnsi="Arial"/>
          <w:sz w:val="20"/>
          <w:szCs w:val="20"/>
          <w:b w:val="1"/>
          <w:bCs w:val="1"/>
          <w:color w:val="auto"/>
        </w:rPr>
        <w:t xml:space="preserve">JPMORGAN CHASE BANK, N.A., </w:t>
      </w:r>
      <w:r>
        <w:rPr>
          <w:rFonts w:ascii="Arial" w:cs="Arial" w:eastAsia="Arial" w:hAnsi="Arial"/>
          <w:sz w:val="20"/>
          <w:szCs w:val="20"/>
          <w:color w:val="auto"/>
        </w:rPr>
        <w:t>as Administrative Agent, U.S. Dollar Facility Swing Line Lender, U.S. Dollar Facility L/C Issuer and Collateral Agent,</w:t>
      </w:r>
    </w:p>
    <w:p>
      <w:pPr>
        <w:spacing w:after="0" w:line="191" w:lineRule="exact"/>
        <w:rPr>
          <w:sz w:val="20"/>
          <w:szCs w:val="20"/>
          <w:color w:val="auto"/>
        </w:rPr>
      </w:pPr>
    </w:p>
    <w:p>
      <w:pPr>
        <w:jc w:val="center"/>
        <w:ind w:left="400" w:right="1560"/>
        <w:spacing w:after="0" w:line="272" w:lineRule="auto"/>
        <w:rPr>
          <w:sz w:val="20"/>
          <w:szCs w:val="20"/>
          <w:color w:val="auto"/>
        </w:rPr>
      </w:pPr>
      <w:r>
        <w:rPr>
          <w:rFonts w:ascii="Arial" w:cs="Arial" w:eastAsia="Arial" w:hAnsi="Arial"/>
          <w:sz w:val="19"/>
          <w:szCs w:val="19"/>
          <w:b w:val="1"/>
          <w:bCs w:val="1"/>
          <w:color w:val="auto"/>
        </w:rPr>
        <w:t>JPMORGAN CHASE BANK, N.A., TORONTO BRANCH</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as Canadian Agent, a Multicurrency Facility Swing Line Lender and a Multicurrency Facility L/C Issuer,</w:t>
      </w:r>
    </w:p>
    <w:p>
      <w:pPr>
        <w:spacing w:after="0" w:line="175"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J.P. MORGAN EUROPE LIMITED,</w:t>
      </w:r>
    </w:p>
    <w:p>
      <w:pPr>
        <w:spacing w:after="0" w:line="22"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as European Agent,</w:t>
      </w:r>
    </w:p>
    <w:p>
      <w:pPr>
        <w:spacing w:after="0" w:line="207"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JPMORGAN CHASE BANK, N.A., LONDON BRANCH,</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as a Multicurrency Facility Swing Line Lender</w:t>
      </w:r>
    </w:p>
    <w:p>
      <w:pPr>
        <w:jc w:val="center"/>
        <w:ind w:right="1160"/>
        <w:spacing w:after="0"/>
        <w:rPr>
          <w:sz w:val="20"/>
          <w:szCs w:val="20"/>
          <w:color w:val="auto"/>
        </w:rPr>
      </w:pPr>
      <w:r>
        <w:rPr>
          <w:rFonts w:ascii="Arial" w:cs="Arial" w:eastAsia="Arial" w:hAnsi="Arial"/>
          <w:sz w:val="20"/>
          <w:szCs w:val="20"/>
          <w:color w:val="auto"/>
        </w:rPr>
        <w:t>and a Multicurrency Facility L/C Issuer,</w:t>
      </w:r>
    </w:p>
    <w:p>
      <w:pPr>
        <w:spacing w:after="0" w:line="207"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 xml:space="preserve">BANK OF AMERICA, N.A. </w:t>
      </w:r>
      <w:r>
        <w:rPr>
          <w:rFonts w:ascii="Arial" w:cs="Arial" w:eastAsia="Arial" w:hAnsi="Arial"/>
          <w:sz w:val="20"/>
          <w:szCs w:val="20"/>
          <w:color w:val="auto"/>
        </w:rPr>
        <w:t>and</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BANK OF MONTREAL,</w:t>
      </w:r>
    </w:p>
    <w:p>
      <w:pPr>
        <w:jc w:val="center"/>
        <w:ind w:right="1160"/>
        <w:spacing w:after="0"/>
        <w:rPr>
          <w:sz w:val="20"/>
          <w:szCs w:val="20"/>
          <w:color w:val="auto"/>
        </w:rPr>
      </w:pPr>
      <w:r>
        <w:rPr>
          <w:rFonts w:ascii="Arial" w:cs="Arial" w:eastAsia="Arial" w:hAnsi="Arial"/>
          <w:sz w:val="20"/>
          <w:szCs w:val="20"/>
          <w:color w:val="auto"/>
        </w:rPr>
        <w:t>as Co-Syndication Agents,</w:t>
      </w:r>
    </w:p>
    <w:p>
      <w:pPr>
        <w:spacing w:after="0" w:line="213"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The Other Lenders Party Hereto,</w:t>
      </w:r>
    </w:p>
    <w:p>
      <w:pPr>
        <w:spacing w:after="0" w:line="229"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JPMORGAN CHASE BANK, N.A.,</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 xml:space="preserve">MERRILL LYNCH, PIERCE, FENNER &amp; SMITH INCORPORATED </w:t>
      </w:r>
      <w:r>
        <w:rPr>
          <w:rFonts w:ascii="Arial" w:cs="Arial" w:eastAsia="Arial" w:hAnsi="Arial"/>
          <w:sz w:val="20"/>
          <w:szCs w:val="20"/>
          <w:color w:val="auto"/>
        </w:rPr>
        <w:t>and</w:t>
      </w:r>
    </w:p>
    <w:p>
      <w:pPr>
        <w:jc w:val="center"/>
        <w:ind w:right="1160"/>
        <w:spacing w:after="0"/>
        <w:rPr>
          <w:sz w:val="20"/>
          <w:szCs w:val="20"/>
          <w:color w:val="auto"/>
        </w:rPr>
      </w:pPr>
      <w:r>
        <w:rPr>
          <w:rFonts w:ascii="Arial" w:cs="Arial" w:eastAsia="Arial" w:hAnsi="Arial"/>
          <w:sz w:val="20"/>
          <w:szCs w:val="20"/>
          <w:b w:val="1"/>
          <w:bCs w:val="1"/>
          <w:color w:val="auto"/>
        </w:rPr>
        <w:t>BMO CAPITAL MARKETS CORP.,</w:t>
      </w:r>
    </w:p>
    <w:p>
      <w:pPr>
        <w:jc w:val="center"/>
        <w:ind w:right="1160"/>
        <w:spacing w:after="0"/>
        <w:rPr>
          <w:sz w:val="20"/>
          <w:szCs w:val="20"/>
          <w:color w:val="auto"/>
        </w:rPr>
      </w:pPr>
      <w:r>
        <w:rPr>
          <w:rFonts w:ascii="Arial" w:cs="Arial" w:eastAsia="Arial" w:hAnsi="Arial"/>
          <w:sz w:val="20"/>
          <w:szCs w:val="20"/>
          <w:color w:val="auto"/>
        </w:rPr>
        <w:t>as Joint Lead Arrangers and Bookrunners,</w:t>
      </w:r>
    </w:p>
    <w:p>
      <w:pPr>
        <w:spacing w:after="0" w:line="213"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ind w:left="400" w:right="1560"/>
        <w:spacing w:after="0" w:line="249" w:lineRule="auto"/>
        <w:rPr>
          <w:sz w:val="20"/>
          <w:szCs w:val="20"/>
          <w:color w:val="auto"/>
        </w:rPr>
      </w:pPr>
      <w:r>
        <w:rPr>
          <w:rFonts w:ascii="Arial" w:cs="Arial" w:eastAsia="Arial" w:hAnsi="Arial"/>
          <w:sz w:val="20"/>
          <w:szCs w:val="20"/>
          <w:b w:val="1"/>
          <w:bCs w:val="1"/>
          <w:color w:val="auto"/>
        </w:rPr>
        <w:t xml:space="preserve">BRANCH BANKING &amp; TRUST COMPANY, HSBC SECURITIES (USA) INC., ROYAL BANK OF CANADA, SUNTRUST BANK, U.S. BANK NATIONAL ASSOCIATION </w:t>
      </w:r>
      <w:r>
        <w:rPr>
          <w:rFonts w:ascii="Arial" w:cs="Arial" w:eastAsia="Arial" w:hAnsi="Arial"/>
          <w:sz w:val="20"/>
          <w:szCs w:val="20"/>
          <w:color w:val="auto"/>
        </w:rPr>
        <w:t>and</w:t>
      </w:r>
      <w:r>
        <w:rPr>
          <w:rFonts w:ascii="Arial" w:cs="Arial" w:eastAsia="Arial" w:hAnsi="Arial"/>
          <w:sz w:val="20"/>
          <w:szCs w:val="20"/>
          <w:b w:val="1"/>
          <w:bCs w:val="1"/>
          <w:color w:val="auto"/>
        </w:rPr>
        <w:t xml:space="preserve"> WELLS FARGO BANK, NATIONAL ASSOCIATION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Co-Documentation Agents</w:t>
      </w:r>
    </w:p>
    <w:p>
      <w:pPr>
        <w:sectPr>
          <w:pgSz w:w="11900" w:h="16838" w:orient="portrait"/>
          <w:cols w:equalWidth="0" w:num="1">
            <w:col w:w="10120"/>
          </w:cols>
          <w:pgMar w:left="1440" w:top="122" w:right="339" w:bottom="1440" w:gutter="0" w:footer="0" w:header="0"/>
        </w:sectPr>
      </w:pPr>
    </w:p>
    <w:bookmarkStart w:id="64" w:name="page65"/>
    <w:bookmarkEnd w:id="64"/>
    <w:p>
      <w:pPr>
        <w:jc w:val="center"/>
        <w:ind w:right="-3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DEFINITIONS AND ACCOUNTING TERMS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90" w:type="dxa"/>
            <w:vAlign w:val="bottom"/>
            <w:gridSpan w:val="4"/>
          </w:tcPr>
          <w:p>
            <w:pPr>
              <w:ind w:left="90"/>
              <w:spacing w:after="0"/>
              <w:rPr>
                <w:sz w:val="20"/>
                <w:szCs w:val="20"/>
                <w:color w:val="auto"/>
              </w:rPr>
            </w:pPr>
            <w:r>
              <w:rPr>
                <w:rFonts w:ascii="Arial" w:cs="Arial" w:eastAsia="Arial" w:hAnsi="Arial"/>
                <w:sz w:val="18"/>
                <w:szCs w:val="18"/>
                <w:color w:val="auto"/>
                <w:w w:val="90"/>
              </w:rPr>
              <w:t>Page</w:t>
            </w:r>
          </w:p>
        </w:tc>
      </w:tr>
      <w:tr>
        <w:trPr>
          <w:trHeight w:val="291"/>
        </w:trPr>
        <w:tc>
          <w:tcPr>
            <w:tcW w:w="50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Defined Terms</w:t>
            </w:r>
          </w:p>
        </w:tc>
        <w:tc>
          <w:tcPr>
            <w:tcW w:w="17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Other Interpretive Provisions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43</w:t>
            </w:r>
          </w:p>
        </w:tc>
        <w:tc>
          <w:tcPr>
            <w:tcW w:w="130" w:type="dxa"/>
            <w:vAlign w:val="bottom"/>
            <w:gridSpan w:val="2"/>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*47*</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Accounting Terms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45</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*48*</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1.04</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Rounding</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45</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*49*</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1.05</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Times of Day</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45</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*49*</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1.06</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Letter of Credit Amounts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45</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*49*</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1.07</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Resolution of Drafting Ambiguities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45</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*49*</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1.08</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Exchange Rates; Currency Equivalents; Reduction of Commitments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46</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*49*</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1.09</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Alternative Currencies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47</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*50*</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1.10</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Change of Currency</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47</w:t>
            </w:r>
          </w:p>
        </w:tc>
        <w:tc>
          <w:tcPr>
            <w:tcW w:w="490" w:type="dxa"/>
            <w:vAlign w:val="bottom"/>
            <w:gridSpan w:val="4"/>
          </w:tcPr>
          <w:p>
            <w:pPr>
              <w:ind w:left="130"/>
              <w:spacing w:after="0"/>
              <w:rPr>
                <w:sz w:val="20"/>
                <w:szCs w:val="20"/>
                <w:color w:val="auto"/>
              </w:rPr>
            </w:pPr>
            <w:r>
              <w:rPr>
                <w:rFonts w:ascii="Arial" w:cs="Arial" w:eastAsia="Arial" w:hAnsi="Arial"/>
                <w:sz w:val="18"/>
                <w:szCs w:val="18"/>
                <w:color w:val="auto"/>
                <w:w w:val="99"/>
              </w:rPr>
              <w:t>*51*</w:t>
            </w:r>
          </w:p>
        </w:tc>
      </w:tr>
      <w:tr>
        <w:trPr>
          <w:trHeight w:val="785"/>
        </w:trPr>
        <w:tc>
          <w:tcPr>
            <w:tcW w:w="500" w:type="dxa"/>
            <w:vAlign w:val="bottom"/>
          </w:tcPr>
          <w:p>
            <w:pPr>
              <w:spacing w:after="0"/>
              <w:rPr>
                <w:sz w:val="24"/>
                <w:szCs w:val="24"/>
                <w:color w:val="auto"/>
              </w:rPr>
            </w:pPr>
          </w:p>
        </w:tc>
        <w:tc>
          <w:tcPr>
            <w:tcW w:w="9720" w:type="dxa"/>
            <w:vAlign w:val="bottom"/>
          </w:tcPr>
          <w:p>
            <w:pPr>
              <w:jc w:val="center"/>
              <w:ind w:left="310"/>
              <w:spacing w:after="0"/>
              <w:rPr>
                <w:sz w:val="20"/>
                <w:szCs w:val="20"/>
                <w:color w:val="auto"/>
              </w:rPr>
            </w:pPr>
            <w:r>
              <w:rPr>
                <w:rFonts w:ascii="Arial" w:cs="Arial" w:eastAsia="Arial" w:hAnsi="Arial"/>
                <w:sz w:val="18"/>
                <w:szCs w:val="18"/>
                <w:b w:val="1"/>
                <w:bCs w:val="1"/>
                <w:color w:val="auto"/>
              </w:rPr>
              <w:t>ARTICLE II</w:t>
            </w:r>
          </w:p>
        </w:tc>
        <w:tc>
          <w:tcPr>
            <w:tcW w:w="17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9720" w:type="dxa"/>
            <w:vAlign w:val="bottom"/>
          </w:tcPr>
          <w:p>
            <w:pPr>
              <w:jc w:val="center"/>
              <w:ind w:left="350"/>
              <w:spacing w:after="0"/>
              <w:rPr>
                <w:sz w:val="20"/>
                <w:szCs w:val="20"/>
                <w:color w:val="auto"/>
              </w:rPr>
            </w:pPr>
            <w:r>
              <w:rPr>
                <w:rFonts w:ascii="Arial" w:cs="Arial" w:eastAsia="Arial" w:hAnsi="Arial"/>
                <w:sz w:val="18"/>
                <w:szCs w:val="18"/>
                <w:b w:val="1"/>
                <w:bCs w:val="1"/>
                <w:color w:val="auto"/>
              </w:rPr>
              <w:t>THE COMMITMENTS AND CREDIT EXTENSIONS</w:t>
            </w:r>
          </w:p>
        </w:tc>
        <w:tc>
          <w:tcPr>
            <w:tcW w:w="17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500" w:type="dxa"/>
            <w:vAlign w:val="bottom"/>
          </w:tcPr>
          <w:p>
            <w:pPr>
              <w:spacing w:after="0"/>
              <w:rPr>
                <w:sz w:val="20"/>
                <w:szCs w:val="20"/>
                <w:color w:val="auto"/>
              </w:rPr>
            </w:pPr>
            <w:r>
              <w:rPr>
                <w:rFonts w:ascii="Arial" w:cs="Arial" w:eastAsia="Arial" w:hAnsi="Arial"/>
                <w:sz w:val="18"/>
                <w:szCs w:val="18"/>
                <w:b w:val="1"/>
                <w:bCs w:val="1"/>
                <w:color w:val="auto"/>
              </w:rPr>
              <w:t>2.01</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Revolving Loans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48</w:t>
            </w:r>
          </w:p>
        </w:tc>
        <w:tc>
          <w:tcPr>
            <w:tcW w:w="130" w:type="dxa"/>
            <w:vAlign w:val="bottom"/>
            <w:gridSpan w:val="2"/>
          </w:tcPr>
          <w:p>
            <w:pPr>
              <w:spacing w:after="0"/>
              <w:rPr>
                <w:sz w:val="24"/>
                <w:szCs w:val="24"/>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*51*</w:t>
            </w:r>
          </w:p>
        </w:tc>
      </w:tr>
      <w:tr>
        <w:trPr>
          <w:trHeight w:val="291"/>
        </w:trPr>
        <w:tc>
          <w:tcPr>
            <w:tcW w:w="500" w:type="dxa"/>
            <w:vAlign w:val="bottom"/>
          </w:tcPr>
          <w:p>
            <w:pPr>
              <w:spacing w:after="0"/>
              <w:rPr>
                <w:sz w:val="20"/>
                <w:szCs w:val="20"/>
                <w:color w:val="auto"/>
              </w:rPr>
            </w:pPr>
            <w:r>
              <w:rPr>
                <w:rFonts w:ascii="Arial" w:cs="Arial" w:eastAsia="Arial" w:hAnsi="Arial"/>
                <w:sz w:val="18"/>
                <w:szCs w:val="18"/>
                <w:b w:val="1"/>
                <w:bCs w:val="1"/>
                <w:color w:val="auto"/>
              </w:rPr>
              <w:t>2.02</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Borrowings, Conversions and Continuations of Revolving Loans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48</w:t>
            </w:r>
          </w:p>
        </w:tc>
        <w:tc>
          <w:tcPr>
            <w:tcW w:w="490" w:type="dxa"/>
            <w:vAlign w:val="bottom"/>
            <w:gridSpan w:val="4"/>
          </w:tcPr>
          <w:p>
            <w:pPr>
              <w:ind w:left="130"/>
              <w:spacing w:after="0"/>
              <w:rPr>
                <w:sz w:val="20"/>
                <w:szCs w:val="20"/>
                <w:color w:val="auto"/>
              </w:rPr>
            </w:pPr>
            <w:r>
              <w:rPr>
                <w:rFonts w:ascii="Arial" w:cs="Arial" w:eastAsia="Arial" w:hAnsi="Arial"/>
                <w:sz w:val="18"/>
                <w:szCs w:val="18"/>
                <w:color w:val="auto"/>
                <w:w w:val="99"/>
              </w:rPr>
              <w:t>*52*</w:t>
            </w:r>
          </w:p>
        </w:tc>
      </w:tr>
      <w:tr>
        <w:trPr>
          <w:trHeight w:val="229"/>
        </w:trPr>
        <w:tc>
          <w:tcPr>
            <w:tcW w:w="500" w:type="dxa"/>
            <w:vAlign w:val="bottom"/>
          </w:tcPr>
          <w:p>
            <w:pPr>
              <w:spacing w:after="0"/>
              <w:rPr>
                <w:sz w:val="20"/>
                <w:szCs w:val="20"/>
                <w:color w:val="auto"/>
              </w:rPr>
            </w:pPr>
            <w:r>
              <w:rPr>
                <w:rFonts w:ascii="Arial" w:cs="Arial" w:eastAsia="Arial" w:hAnsi="Arial"/>
                <w:sz w:val="18"/>
                <w:szCs w:val="18"/>
                <w:b w:val="1"/>
                <w:bCs w:val="1"/>
                <w:color w:val="auto"/>
              </w:rPr>
              <w:t>2.03</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Letters of Credit</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51</w:t>
            </w:r>
          </w:p>
        </w:tc>
        <w:tc>
          <w:tcPr>
            <w:tcW w:w="130" w:type="dxa"/>
            <w:vAlign w:val="bottom"/>
            <w:gridSpan w:val="2"/>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*54*</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2.04</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Swing Line Loans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61</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*64*</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2.05</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Prepayments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66</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*69*</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2.06</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Termination or Reduction of Commitments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67</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*72*</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2.07</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Repayment of Loans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68</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*72*</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2.08</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Interest</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68</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*72*</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2.09</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Fees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69</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*73*</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2.10</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Computation of Interest and Fees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70</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*74*</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2.11</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Evidence of Debt</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70</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*74*</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2.12</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Payments Generally; Applicable Facility Agent’s Clawback</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71</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*75*</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2.13</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Sharing of Payments by Lenders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73</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*77*</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2.14</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Incremental Credit Extensions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74</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*78*</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2.15</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Cash Collateral</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76</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*80*</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2.16</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Defaulting Lenders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77</w:t>
            </w:r>
          </w:p>
        </w:tc>
        <w:tc>
          <w:tcPr>
            <w:tcW w:w="490" w:type="dxa"/>
            <w:vAlign w:val="bottom"/>
            <w:gridSpan w:val="4"/>
          </w:tcPr>
          <w:p>
            <w:pPr>
              <w:ind w:left="130"/>
              <w:spacing w:after="0"/>
              <w:rPr>
                <w:sz w:val="20"/>
                <w:szCs w:val="20"/>
                <w:color w:val="auto"/>
              </w:rPr>
            </w:pPr>
            <w:r>
              <w:rPr>
                <w:rFonts w:ascii="Arial" w:cs="Arial" w:eastAsia="Arial" w:hAnsi="Arial"/>
                <w:sz w:val="18"/>
                <w:szCs w:val="18"/>
                <w:color w:val="auto"/>
                <w:w w:val="99"/>
              </w:rPr>
              <w:t>*81*</w:t>
            </w:r>
          </w:p>
        </w:tc>
      </w:tr>
      <w:tr>
        <w:trPr>
          <w:trHeight w:val="785"/>
        </w:trPr>
        <w:tc>
          <w:tcPr>
            <w:tcW w:w="500" w:type="dxa"/>
            <w:vAlign w:val="bottom"/>
          </w:tcPr>
          <w:p>
            <w:pPr>
              <w:spacing w:after="0"/>
              <w:rPr>
                <w:sz w:val="24"/>
                <w:szCs w:val="24"/>
                <w:color w:val="auto"/>
              </w:rPr>
            </w:pPr>
          </w:p>
        </w:tc>
        <w:tc>
          <w:tcPr>
            <w:tcW w:w="9720" w:type="dxa"/>
            <w:vAlign w:val="bottom"/>
          </w:tcPr>
          <w:p>
            <w:pPr>
              <w:jc w:val="center"/>
              <w:ind w:left="310"/>
              <w:spacing w:after="0"/>
              <w:rPr>
                <w:sz w:val="20"/>
                <w:szCs w:val="20"/>
                <w:color w:val="auto"/>
              </w:rPr>
            </w:pPr>
            <w:r>
              <w:rPr>
                <w:rFonts w:ascii="Arial" w:cs="Arial" w:eastAsia="Arial" w:hAnsi="Arial"/>
                <w:sz w:val="18"/>
                <w:szCs w:val="18"/>
                <w:b w:val="1"/>
                <w:bCs w:val="1"/>
                <w:color w:val="auto"/>
              </w:rPr>
              <w:t>ARTICLE III</w:t>
            </w:r>
          </w:p>
        </w:tc>
        <w:tc>
          <w:tcPr>
            <w:tcW w:w="17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9720" w:type="dxa"/>
            <w:vAlign w:val="bottom"/>
          </w:tcPr>
          <w:p>
            <w:pPr>
              <w:jc w:val="center"/>
              <w:ind w:left="350"/>
              <w:spacing w:after="0"/>
              <w:rPr>
                <w:sz w:val="20"/>
                <w:szCs w:val="20"/>
                <w:color w:val="auto"/>
              </w:rPr>
            </w:pPr>
            <w:r>
              <w:rPr>
                <w:rFonts w:ascii="Arial" w:cs="Arial" w:eastAsia="Arial" w:hAnsi="Arial"/>
                <w:sz w:val="18"/>
                <w:szCs w:val="18"/>
                <w:b w:val="1"/>
                <w:bCs w:val="1"/>
                <w:color w:val="auto"/>
              </w:rPr>
              <w:t>TAXES, YIELD PROTECTION AND ILLEGALITY</w:t>
            </w:r>
          </w:p>
        </w:tc>
        <w:tc>
          <w:tcPr>
            <w:tcW w:w="17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7"/>
        </w:trPr>
        <w:tc>
          <w:tcPr>
            <w:tcW w:w="500" w:type="dxa"/>
            <w:vAlign w:val="bottom"/>
          </w:tcPr>
          <w:p>
            <w:pPr>
              <w:spacing w:after="0"/>
              <w:rPr>
                <w:sz w:val="20"/>
                <w:szCs w:val="20"/>
                <w:color w:val="auto"/>
              </w:rPr>
            </w:pPr>
            <w:r>
              <w:rPr>
                <w:rFonts w:ascii="Arial" w:cs="Arial" w:eastAsia="Arial" w:hAnsi="Arial"/>
                <w:sz w:val="18"/>
                <w:szCs w:val="18"/>
                <w:b w:val="1"/>
                <w:bCs w:val="1"/>
                <w:color w:val="auto"/>
              </w:rPr>
              <w:t>3.01</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Taxes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79</w:t>
            </w:r>
          </w:p>
        </w:tc>
        <w:tc>
          <w:tcPr>
            <w:tcW w:w="130" w:type="dxa"/>
            <w:vAlign w:val="bottom"/>
            <w:gridSpan w:val="2"/>
          </w:tcPr>
          <w:p>
            <w:pPr>
              <w:spacing w:after="0"/>
              <w:rPr>
                <w:sz w:val="24"/>
                <w:szCs w:val="24"/>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*83*</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3.02</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Illegality</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81</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*85*</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3.03</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Inability to Determine Rates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82</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*86*</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3.04</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Increased Costs; Reserves on Eurodollar Rate Loans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83</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*87*</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3.05</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Compensation for Losses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84</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*88*</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3.06</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Mitigation Obligations; Replacement of Lenders</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85</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*89*</w:t>
            </w: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3.07</w:t>
            </w: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Survival</w:t>
            </w:r>
          </w:p>
        </w:tc>
        <w:tc>
          <w:tcPr>
            <w:tcW w:w="170" w:type="dxa"/>
            <w:vAlign w:val="bottom"/>
          </w:tcPr>
          <w:p>
            <w:pPr>
              <w:jc w:val="right"/>
              <w:spacing w:after="0"/>
              <w:rPr>
                <w:sz w:val="20"/>
                <w:szCs w:val="20"/>
                <w:color w:val="auto"/>
              </w:rPr>
            </w:pPr>
            <w:r>
              <w:rPr>
                <w:rFonts w:ascii="Arial" w:cs="Arial" w:eastAsia="Arial" w:hAnsi="Arial"/>
                <w:sz w:val="17"/>
                <w:szCs w:val="17"/>
                <w:color w:val="auto"/>
                <w:strike w:val="1"/>
                <w:w w:val="73"/>
              </w:rPr>
              <w:t>85</w:t>
            </w:r>
          </w:p>
        </w:tc>
        <w:tc>
          <w:tcPr>
            <w:tcW w:w="130" w:type="dxa"/>
            <w:vAlign w:val="bottom"/>
            <w:gridSpan w:val="2"/>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*89*</w:t>
            </w:r>
          </w:p>
        </w:tc>
      </w:tr>
    </w:tbl>
    <w:p>
      <w:pPr>
        <w:spacing w:after="0" w:line="200" w:lineRule="exact"/>
        <w:rPr>
          <w:sz w:val="20"/>
          <w:szCs w:val="20"/>
          <w:color w:val="auto"/>
        </w:rPr>
      </w:pPr>
    </w:p>
    <w:p>
      <w:pPr>
        <w:sectPr>
          <w:pgSz w:w="11900" w:h="16838" w:orient="portrait"/>
          <w:cols w:equalWidth="0" w:num="1">
            <w:col w:w="10880"/>
          </w:cols>
          <w:pgMar w:left="360" w:top="459" w:right="659" w:bottom="1440" w:gutter="0" w:footer="0" w:header="0"/>
        </w:sectPr>
      </w:pPr>
    </w:p>
    <w:p>
      <w:pPr>
        <w:spacing w:after="0" w:line="38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80"/>
          </w:cols>
          <w:pgMar w:left="360" w:top="459" w:right="659" w:bottom="1440" w:gutter="0" w:footer="0" w:header="0"/>
          <w:type w:val="continuous"/>
        </w:sectPr>
      </w:pPr>
    </w:p>
    <w:bookmarkStart w:id="65" w:name="page66"/>
    <w:bookmarkEnd w:id="65"/>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9620" w:type="dxa"/>
            <w:vAlign w:val="bottom"/>
          </w:tcPr>
          <w:p>
            <w:pPr>
              <w:spacing w:after="0"/>
              <w:rPr>
                <w:sz w:val="17"/>
                <w:szCs w:val="17"/>
                <w:color w:val="auto"/>
              </w:rPr>
            </w:pPr>
          </w:p>
        </w:tc>
        <w:tc>
          <w:tcPr>
            <w:tcW w:w="270" w:type="dxa"/>
            <w:vAlign w:val="bottom"/>
          </w:tcPr>
          <w:p>
            <w:pPr>
              <w:spacing w:after="0"/>
              <w:rPr>
                <w:sz w:val="17"/>
                <w:szCs w:val="17"/>
                <w:color w:val="auto"/>
              </w:rPr>
            </w:pPr>
          </w:p>
        </w:tc>
        <w:tc>
          <w:tcPr>
            <w:tcW w:w="590" w:type="dxa"/>
            <w:vAlign w:val="bottom"/>
            <w:gridSpan w:val="4"/>
          </w:tcPr>
          <w:p>
            <w:pPr>
              <w:ind w:lef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auto"/>
              </w:rPr>
              <w:t>4.01</w:t>
            </w:r>
          </w:p>
        </w:tc>
        <w:tc>
          <w:tcPr>
            <w:tcW w:w="96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[Reserved]</w:t>
            </w:r>
          </w:p>
        </w:tc>
        <w:tc>
          <w:tcPr>
            <w:tcW w:w="270" w:type="dxa"/>
            <w:vAlign w:val="bottom"/>
          </w:tcPr>
          <w:p>
            <w:pPr>
              <w:spacing w:after="0" w:line="20" w:lineRule="exact"/>
              <w:rPr>
                <w:sz w:val="1"/>
                <w:szCs w:val="1"/>
                <w:color w:val="auto"/>
              </w:rPr>
            </w:pPr>
          </w:p>
        </w:tc>
        <w:tc>
          <w:tcPr>
            <w:tcW w:w="13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vMerge w:val="continue"/>
          </w:tcPr>
          <w:p>
            <w:pPr>
              <w:spacing w:after="0"/>
              <w:rPr>
                <w:sz w:val="21"/>
                <w:szCs w:val="21"/>
                <w:color w:val="auto"/>
              </w:rPr>
            </w:pPr>
          </w:p>
        </w:tc>
        <w:tc>
          <w:tcPr>
            <w:tcW w:w="9620" w:type="dxa"/>
            <w:vAlign w:val="bottom"/>
            <w:vMerge w:val="continue"/>
          </w:tcPr>
          <w:p>
            <w:pPr>
              <w:spacing w:after="0"/>
              <w:rPr>
                <w:sz w:val="21"/>
                <w:szCs w:val="21"/>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85</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4.02</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Conditions to All Credit Extensions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85</w:t>
            </w:r>
          </w:p>
        </w:tc>
        <w:tc>
          <w:tcPr>
            <w:tcW w:w="490" w:type="dxa"/>
            <w:vAlign w:val="bottom"/>
            <w:gridSpan w:val="3"/>
          </w:tcPr>
          <w:p>
            <w:pPr>
              <w:ind w:left="130"/>
              <w:spacing w:after="0"/>
              <w:rPr>
                <w:sz w:val="20"/>
                <w:szCs w:val="20"/>
                <w:color w:val="auto"/>
              </w:rPr>
            </w:pPr>
            <w:r>
              <w:rPr>
                <w:rFonts w:ascii="Arial" w:cs="Arial" w:eastAsia="Arial" w:hAnsi="Arial"/>
                <w:sz w:val="18"/>
                <w:szCs w:val="18"/>
                <w:color w:val="auto"/>
                <w:w w:val="99"/>
              </w:rPr>
              <w:t>*90*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9620" w:type="dxa"/>
            <w:vAlign w:val="bottom"/>
          </w:tcPr>
          <w:p>
            <w:pPr>
              <w:jc w:val="center"/>
              <w:ind w:left="410"/>
              <w:spacing w:after="0"/>
              <w:rPr>
                <w:sz w:val="20"/>
                <w:szCs w:val="20"/>
                <w:color w:val="auto"/>
              </w:rPr>
            </w:pPr>
            <w:r>
              <w:rPr>
                <w:rFonts w:ascii="Arial" w:cs="Arial" w:eastAsia="Arial" w:hAnsi="Arial"/>
                <w:sz w:val="18"/>
                <w:szCs w:val="18"/>
                <w:b w:val="1"/>
                <w:bCs w:val="1"/>
                <w:color w:val="auto"/>
              </w:rPr>
              <w:t>ARTICLE V</w:t>
            </w:r>
          </w:p>
        </w:tc>
        <w:tc>
          <w:tcPr>
            <w:tcW w:w="2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9620" w:type="dxa"/>
            <w:vAlign w:val="bottom"/>
          </w:tcPr>
          <w:p>
            <w:pPr>
              <w:jc w:val="center"/>
              <w:ind w:left="450"/>
              <w:spacing w:after="0"/>
              <w:rPr>
                <w:sz w:val="20"/>
                <w:szCs w:val="20"/>
                <w:color w:val="auto"/>
              </w:rPr>
            </w:pPr>
            <w:r>
              <w:rPr>
                <w:rFonts w:ascii="Arial" w:cs="Arial" w:eastAsia="Arial" w:hAnsi="Arial"/>
                <w:sz w:val="18"/>
                <w:szCs w:val="18"/>
                <w:b w:val="1"/>
                <w:bCs w:val="1"/>
                <w:color w:val="auto"/>
                <w:w w:val="98"/>
              </w:rPr>
              <w:t>REPRESENTATIONS AND WARRANTIES</w:t>
            </w:r>
          </w:p>
        </w:tc>
        <w:tc>
          <w:tcPr>
            <w:tcW w:w="27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00" w:type="dxa"/>
            <w:vAlign w:val="bottom"/>
          </w:tcPr>
          <w:p>
            <w:pPr>
              <w:spacing w:after="0"/>
              <w:rPr>
                <w:sz w:val="20"/>
                <w:szCs w:val="20"/>
                <w:color w:val="auto"/>
              </w:rPr>
            </w:pPr>
            <w:r>
              <w:rPr>
                <w:rFonts w:ascii="Arial" w:cs="Arial" w:eastAsia="Arial" w:hAnsi="Arial"/>
                <w:sz w:val="18"/>
                <w:szCs w:val="18"/>
                <w:b w:val="1"/>
                <w:bCs w:val="1"/>
                <w:color w:val="auto"/>
              </w:rPr>
              <w:t>5.01</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Existence, Qualification and Power; Compliance with Laws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86</w:t>
            </w:r>
          </w:p>
        </w:tc>
        <w:tc>
          <w:tcPr>
            <w:tcW w:w="130" w:type="dxa"/>
            <w:vAlign w:val="bottom"/>
          </w:tcPr>
          <w:p>
            <w:pPr>
              <w:spacing w:after="0"/>
              <w:rPr>
                <w:sz w:val="24"/>
                <w:szCs w:val="24"/>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5.02</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Conditions to All Credit Extensions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86</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5.03</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Authorization; No Contravention</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86</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5.04</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Governmental Authorization; Other Consents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87</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5.05</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Binding Effect</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87</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5.06</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No Material Adverse Effect</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87</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5.07</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No Default</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88</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5.08</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Properties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88</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5.09</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Environmental Matters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88</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5.10</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Insurance</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89</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5.11</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Taxes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89</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5.12</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ERISA Compliance</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90</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5.13</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Subsidiaries; Equity Interests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90</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5.14</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Margin Regulations; Investment Company Act</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91</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5.15</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Disclosure</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91</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5.16</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Compliance with Laws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91</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5.17</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Solvency</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91</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5.18</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Intellectual Property Matters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92</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5.19</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Anti-Terrorism Laws; Anti-Corruption Laws; Sanctions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92</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5.20</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Anti-Terrorism Laws; Anti-Corruption Laws; Sanctions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92</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5.21</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EEA Financial Institutions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93</w:t>
            </w:r>
          </w:p>
        </w:tc>
        <w:tc>
          <w:tcPr>
            <w:tcW w:w="490" w:type="dxa"/>
            <w:vAlign w:val="bottom"/>
            <w:gridSpan w:val="3"/>
          </w:tcPr>
          <w:p>
            <w:pPr>
              <w:ind w:left="130"/>
              <w:spacing w:after="0"/>
              <w:rPr>
                <w:sz w:val="20"/>
                <w:szCs w:val="20"/>
                <w:color w:val="auto"/>
              </w:rPr>
            </w:pPr>
            <w:r>
              <w:rPr>
                <w:rFonts w:ascii="Arial" w:cs="Arial" w:eastAsia="Arial" w:hAnsi="Arial"/>
                <w:sz w:val="18"/>
                <w:szCs w:val="18"/>
                <w:color w:val="auto"/>
                <w:w w:val="99"/>
              </w:rPr>
              <w:t>*97*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9620" w:type="dxa"/>
            <w:vAlign w:val="bottom"/>
          </w:tcPr>
          <w:p>
            <w:pPr>
              <w:jc w:val="center"/>
              <w:ind w:left="430"/>
              <w:spacing w:after="0"/>
              <w:rPr>
                <w:sz w:val="20"/>
                <w:szCs w:val="20"/>
                <w:color w:val="auto"/>
              </w:rPr>
            </w:pPr>
            <w:r>
              <w:rPr>
                <w:rFonts w:ascii="Arial" w:cs="Arial" w:eastAsia="Arial" w:hAnsi="Arial"/>
                <w:sz w:val="18"/>
                <w:szCs w:val="18"/>
                <w:b w:val="1"/>
                <w:bCs w:val="1"/>
                <w:color w:val="auto"/>
              </w:rPr>
              <w:t>ARTICLE VI</w:t>
            </w:r>
          </w:p>
        </w:tc>
        <w:tc>
          <w:tcPr>
            <w:tcW w:w="2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9620" w:type="dxa"/>
            <w:vAlign w:val="bottom"/>
          </w:tcPr>
          <w:p>
            <w:pPr>
              <w:jc w:val="center"/>
              <w:ind w:left="450"/>
              <w:spacing w:after="0"/>
              <w:rPr>
                <w:sz w:val="20"/>
                <w:szCs w:val="20"/>
                <w:color w:val="auto"/>
              </w:rPr>
            </w:pPr>
            <w:r>
              <w:rPr>
                <w:rFonts w:ascii="Arial" w:cs="Arial" w:eastAsia="Arial" w:hAnsi="Arial"/>
                <w:sz w:val="18"/>
                <w:szCs w:val="18"/>
                <w:b w:val="1"/>
                <w:bCs w:val="1"/>
                <w:color w:val="auto"/>
              </w:rPr>
              <w:t>AFFIRMATIVE COVENANTS</w:t>
            </w:r>
          </w:p>
        </w:tc>
        <w:tc>
          <w:tcPr>
            <w:tcW w:w="27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00" w:type="dxa"/>
            <w:vAlign w:val="bottom"/>
          </w:tcPr>
          <w:p>
            <w:pPr>
              <w:spacing w:after="0"/>
              <w:rPr>
                <w:sz w:val="20"/>
                <w:szCs w:val="20"/>
                <w:color w:val="auto"/>
              </w:rPr>
            </w:pPr>
            <w:r>
              <w:rPr>
                <w:rFonts w:ascii="Arial" w:cs="Arial" w:eastAsia="Arial" w:hAnsi="Arial"/>
                <w:sz w:val="18"/>
                <w:szCs w:val="18"/>
                <w:b w:val="1"/>
                <w:bCs w:val="1"/>
                <w:color w:val="auto"/>
              </w:rPr>
              <w:t>6.01</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93</w:t>
            </w:r>
          </w:p>
        </w:tc>
        <w:tc>
          <w:tcPr>
            <w:tcW w:w="130" w:type="dxa"/>
            <w:vAlign w:val="bottom"/>
          </w:tcPr>
          <w:p>
            <w:pPr>
              <w:spacing w:after="0"/>
              <w:rPr>
                <w:sz w:val="24"/>
                <w:szCs w:val="24"/>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6.02</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Certificates; Other Information</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94</w:t>
            </w:r>
          </w:p>
        </w:tc>
        <w:tc>
          <w:tcPr>
            <w:tcW w:w="13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6.03</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Notices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96</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6.04</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Payment of Obligations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96</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6.05</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Preservation of Existence, Etc.</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96</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6.06</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Maintenance of Properties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97</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6.07</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Maintenance of Insurance</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97</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6.08</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Compliance with Laws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97</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6.09</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Books and Records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97</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6.10</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Inspection Rights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97</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6.11</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98</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6.12</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Compliance with Environmental Laws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98</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6.13</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Additional Collateral; Additional Subsidiary Guarantors; Collateral and CovenantRelease</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rPr>
              <w:t>98</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6.14</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Further Assurances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101</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6.15</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Information Regarding Collateral</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101</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6.16</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Designation of Subsidiaries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101</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60" w:top="553" w:right="559" w:bottom="1440" w:gutter="0" w:footer="0" w:header="0"/>
        </w:sect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360" w:top="553" w:right="559" w:bottom="1440" w:gutter="0" w:footer="0" w:header="0"/>
          <w:type w:val="continuous"/>
        </w:sectPr>
      </w:pPr>
    </w:p>
    <w:bookmarkStart w:id="66" w:name="page67"/>
    <w:bookmarkEnd w:id="66"/>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NEGATIVE COVENANTS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9580" w:type="dxa"/>
            <w:vAlign w:val="bottom"/>
          </w:tcPr>
          <w:p>
            <w:pPr>
              <w:spacing w:after="0"/>
              <w:rPr>
                <w:sz w:val="17"/>
                <w:szCs w:val="17"/>
                <w:color w:val="auto"/>
              </w:rPr>
            </w:pPr>
          </w:p>
        </w:tc>
        <w:tc>
          <w:tcPr>
            <w:tcW w:w="270" w:type="dxa"/>
            <w:vAlign w:val="bottom"/>
          </w:tcPr>
          <w:p>
            <w:pPr>
              <w:spacing w:after="0"/>
              <w:rPr>
                <w:sz w:val="17"/>
                <w:szCs w:val="17"/>
                <w:color w:val="auto"/>
              </w:rPr>
            </w:pPr>
          </w:p>
        </w:tc>
        <w:tc>
          <w:tcPr>
            <w:tcW w:w="590" w:type="dxa"/>
            <w:vAlign w:val="bottom"/>
            <w:gridSpan w:val="4"/>
          </w:tcPr>
          <w:p>
            <w:pPr>
              <w:ind w:lef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7.01</w:t>
            </w:r>
          </w:p>
        </w:tc>
        <w:tc>
          <w:tcPr>
            <w:tcW w:w="9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Liens</w:t>
            </w:r>
          </w:p>
        </w:tc>
        <w:tc>
          <w:tcPr>
            <w:tcW w:w="270" w:type="dxa"/>
            <w:vAlign w:val="bottom"/>
          </w:tcPr>
          <w:p>
            <w:pPr>
              <w:spacing w:after="0" w:line="20" w:lineRule="exact"/>
              <w:rPr>
                <w:sz w:val="1"/>
                <w:szCs w:val="1"/>
                <w:color w:val="auto"/>
              </w:rPr>
            </w:pPr>
          </w:p>
        </w:tc>
        <w:tc>
          <w:tcPr>
            <w:tcW w:w="13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vMerge w:val="continue"/>
          </w:tcPr>
          <w:p>
            <w:pPr>
              <w:spacing w:after="0"/>
              <w:rPr>
                <w:sz w:val="21"/>
                <w:szCs w:val="21"/>
                <w:color w:val="auto"/>
              </w:rPr>
            </w:pPr>
          </w:p>
        </w:tc>
        <w:tc>
          <w:tcPr>
            <w:tcW w:w="9580" w:type="dxa"/>
            <w:vAlign w:val="bottom"/>
            <w:vMerge w:val="continue"/>
          </w:tcPr>
          <w:p>
            <w:pPr>
              <w:spacing w:after="0"/>
              <w:rPr>
                <w:sz w:val="21"/>
                <w:szCs w:val="21"/>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102</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7.02</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Investments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104</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7.03</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Indebtedness and Disqualified Capital Stock</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106</w:t>
            </w:r>
          </w:p>
        </w:tc>
        <w:tc>
          <w:tcPr>
            <w:tcW w:w="130" w:type="dxa"/>
            <w:vAlign w:val="bottom"/>
          </w:tcPr>
          <w:p>
            <w:pPr>
              <w:spacing w:after="0"/>
              <w:rPr>
                <w:sz w:val="21"/>
                <w:szCs w:val="21"/>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7.04</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Fundamental Changes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109</w:t>
            </w:r>
          </w:p>
        </w:tc>
        <w:tc>
          <w:tcPr>
            <w:tcW w:w="130" w:type="dxa"/>
            <w:vAlign w:val="bottom"/>
          </w:tcPr>
          <w:p>
            <w:pPr>
              <w:spacing w:after="0"/>
              <w:rPr>
                <w:sz w:val="21"/>
                <w:szCs w:val="21"/>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7.05</w:t>
            </w:r>
          </w:p>
        </w:tc>
        <w:tc>
          <w:tcPr>
            <w:tcW w:w="9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Asset Sales</w:t>
            </w:r>
          </w:p>
        </w:tc>
        <w:tc>
          <w:tcPr>
            <w:tcW w:w="2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vMerge w:val="continue"/>
          </w:tcPr>
          <w:p>
            <w:pPr>
              <w:spacing w:after="0"/>
              <w:rPr>
                <w:sz w:val="21"/>
                <w:szCs w:val="21"/>
                <w:color w:val="auto"/>
              </w:rPr>
            </w:pPr>
          </w:p>
        </w:tc>
        <w:tc>
          <w:tcPr>
            <w:tcW w:w="9580" w:type="dxa"/>
            <w:vAlign w:val="bottom"/>
            <w:vMerge w:val="continue"/>
          </w:tcPr>
          <w:p>
            <w:pPr>
              <w:spacing w:after="0"/>
              <w:rPr>
                <w:sz w:val="21"/>
                <w:szCs w:val="21"/>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110</w:t>
            </w:r>
          </w:p>
        </w:tc>
        <w:tc>
          <w:tcPr>
            <w:tcW w:w="130" w:type="dxa"/>
            <w:vAlign w:val="bottom"/>
          </w:tcPr>
          <w:p>
            <w:pPr>
              <w:spacing w:after="0"/>
              <w:rPr>
                <w:sz w:val="21"/>
                <w:szCs w:val="21"/>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7.06</w:t>
            </w:r>
          </w:p>
        </w:tc>
        <w:tc>
          <w:tcPr>
            <w:tcW w:w="9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Restricted Payments</w:t>
            </w:r>
          </w:p>
        </w:tc>
        <w:tc>
          <w:tcPr>
            <w:tcW w:w="2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vMerge w:val="continue"/>
          </w:tcPr>
          <w:p>
            <w:pPr>
              <w:spacing w:after="0"/>
              <w:rPr>
                <w:sz w:val="21"/>
                <w:szCs w:val="21"/>
                <w:color w:val="auto"/>
              </w:rPr>
            </w:pPr>
          </w:p>
        </w:tc>
        <w:tc>
          <w:tcPr>
            <w:tcW w:w="9580" w:type="dxa"/>
            <w:vAlign w:val="bottom"/>
            <w:vMerge w:val="continue"/>
          </w:tcPr>
          <w:p>
            <w:pPr>
              <w:spacing w:after="0"/>
              <w:rPr>
                <w:sz w:val="21"/>
                <w:szCs w:val="21"/>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111</w:t>
            </w:r>
          </w:p>
        </w:tc>
        <w:tc>
          <w:tcPr>
            <w:tcW w:w="130" w:type="dxa"/>
            <w:vAlign w:val="bottom"/>
          </w:tcPr>
          <w:p>
            <w:pPr>
              <w:spacing w:after="0"/>
              <w:rPr>
                <w:sz w:val="21"/>
                <w:szCs w:val="21"/>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7.07</w:t>
            </w:r>
          </w:p>
        </w:tc>
        <w:tc>
          <w:tcPr>
            <w:tcW w:w="9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Change in Nature of Business/Partnerships/Accounting Changes</w:t>
            </w:r>
          </w:p>
        </w:tc>
        <w:tc>
          <w:tcPr>
            <w:tcW w:w="2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vMerge w:val="continue"/>
          </w:tcPr>
          <w:p>
            <w:pPr>
              <w:spacing w:after="0"/>
              <w:rPr>
                <w:sz w:val="21"/>
                <w:szCs w:val="21"/>
                <w:color w:val="auto"/>
              </w:rPr>
            </w:pPr>
          </w:p>
        </w:tc>
        <w:tc>
          <w:tcPr>
            <w:tcW w:w="9580" w:type="dxa"/>
            <w:vAlign w:val="bottom"/>
            <w:vMerge w:val="continue"/>
          </w:tcPr>
          <w:p>
            <w:pPr>
              <w:spacing w:after="0"/>
              <w:rPr>
                <w:sz w:val="21"/>
                <w:szCs w:val="21"/>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112</w:t>
            </w:r>
          </w:p>
        </w:tc>
        <w:tc>
          <w:tcPr>
            <w:tcW w:w="130" w:type="dxa"/>
            <w:vAlign w:val="bottom"/>
          </w:tcPr>
          <w:p>
            <w:pPr>
              <w:spacing w:after="0"/>
              <w:rPr>
                <w:sz w:val="21"/>
                <w:szCs w:val="21"/>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7.08</w:t>
            </w:r>
          </w:p>
        </w:tc>
        <w:tc>
          <w:tcPr>
            <w:tcW w:w="9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Transactions with Affiliates</w:t>
            </w:r>
          </w:p>
        </w:tc>
        <w:tc>
          <w:tcPr>
            <w:tcW w:w="2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vMerge w:val="continue"/>
          </w:tcPr>
          <w:p>
            <w:pPr>
              <w:spacing w:after="0"/>
              <w:rPr>
                <w:sz w:val="21"/>
                <w:szCs w:val="21"/>
                <w:color w:val="auto"/>
              </w:rPr>
            </w:pPr>
          </w:p>
        </w:tc>
        <w:tc>
          <w:tcPr>
            <w:tcW w:w="9580" w:type="dxa"/>
            <w:vAlign w:val="bottom"/>
            <w:vMerge w:val="continue"/>
          </w:tcPr>
          <w:p>
            <w:pPr>
              <w:spacing w:after="0"/>
              <w:rPr>
                <w:sz w:val="21"/>
                <w:szCs w:val="21"/>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113</w:t>
            </w:r>
          </w:p>
        </w:tc>
        <w:tc>
          <w:tcPr>
            <w:tcW w:w="130" w:type="dxa"/>
            <w:vAlign w:val="bottom"/>
          </w:tcPr>
          <w:p>
            <w:pPr>
              <w:spacing w:after="0"/>
              <w:rPr>
                <w:sz w:val="21"/>
                <w:szCs w:val="21"/>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7.09</w:t>
            </w:r>
          </w:p>
        </w:tc>
        <w:tc>
          <w:tcPr>
            <w:tcW w:w="9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Sales and Leasebacks</w:t>
            </w:r>
          </w:p>
        </w:tc>
        <w:tc>
          <w:tcPr>
            <w:tcW w:w="2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vMerge w:val="continue"/>
          </w:tcPr>
          <w:p>
            <w:pPr>
              <w:spacing w:after="0"/>
              <w:rPr>
                <w:sz w:val="21"/>
                <w:szCs w:val="21"/>
                <w:color w:val="auto"/>
              </w:rPr>
            </w:pPr>
          </w:p>
        </w:tc>
        <w:tc>
          <w:tcPr>
            <w:tcW w:w="9580" w:type="dxa"/>
            <w:vAlign w:val="bottom"/>
            <w:vMerge w:val="continue"/>
          </w:tcPr>
          <w:p>
            <w:pPr>
              <w:spacing w:after="0"/>
              <w:rPr>
                <w:sz w:val="21"/>
                <w:szCs w:val="21"/>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113</w:t>
            </w:r>
          </w:p>
        </w:tc>
        <w:tc>
          <w:tcPr>
            <w:tcW w:w="130" w:type="dxa"/>
            <w:vAlign w:val="bottom"/>
          </w:tcPr>
          <w:p>
            <w:pPr>
              <w:spacing w:after="0"/>
              <w:rPr>
                <w:sz w:val="21"/>
                <w:szCs w:val="21"/>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7.10</w:t>
            </w:r>
          </w:p>
        </w:tc>
        <w:tc>
          <w:tcPr>
            <w:tcW w:w="9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Clauses Restricting Restricted Subsidiary Distributions</w:t>
            </w:r>
          </w:p>
        </w:tc>
        <w:tc>
          <w:tcPr>
            <w:tcW w:w="2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vMerge w:val="continue"/>
          </w:tcPr>
          <w:p>
            <w:pPr>
              <w:spacing w:after="0"/>
              <w:rPr>
                <w:sz w:val="21"/>
                <w:szCs w:val="21"/>
                <w:color w:val="auto"/>
              </w:rPr>
            </w:pPr>
          </w:p>
        </w:tc>
        <w:tc>
          <w:tcPr>
            <w:tcW w:w="9580" w:type="dxa"/>
            <w:vAlign w:val="bottom"/>
            <w:vMerge w:val="continue"/>
          </w:tcPr>
          <w:p>
            <w:pPr>
              <w:spacing w:after="0"/>
              <w:rPr>
                <w:sz w:val="21"/>
                <w:szCs w:val="21"/>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114</w:t>
            </w:r>
          </w:p>
        </w:tc>
        <w:tc>
          <w:tcPr>
            <w:tcW w:w="130" w:type="dxa"/>
            <w:vAlign w:val="bottom"/>
          </w:tcPr>
          <w:p>
            <w:pPr>
              <w:spacing w:after="0"/>
              <w:rPr>
                <w:sz w:val="21"/>
                <w:szCs w:val="21"/>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7.11</w:t>
            </w:r>
          </w:p>
        </w:tc>
        <w:tc>
          <w:tcPr>
            <w:tcW w:w="9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Use of Proceeds</w:t>
            </w:r>
          </w:p>
        </w:tc>
        <w:tc>
          <w:tcPr>
            <w:tcW w:w="2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vMerge w:val="continue"/>
          </w:tcPr>
          <w:p>
            <w:pPr>
              <w:spacing w:after="0"/>
              <w:rPr>
                <w:sz w:val="21"/>
                <w:szCs w:val="21"/>
                <w:color w:val="auto"/>
              </w:rPr>
            </w:pPr>
          </w:p>
        </w:tc>
        <w:tc>
          <w:tcPr>
            <w:tcW w:w="9580" w:type="dxa"/>
            <w:vAlign w:val="bottom"/>
            <w:vMerge w:val="continue"/>
          </w:tcPr>
          <w:p>
            <w:pPr>
              <w:spacing w:after="0"/>
              <w:rPr>
                <w:sz w:val="21"/>
                <w:szCs w:val="21"/>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115</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7.12</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Financial Covenants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115</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7.13</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Negative Pledges During Collateral and Covenant Release Periods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116</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7.14</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Modifications of Organization Documents and Other Documents, Etc.</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116</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7.15</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Prepayments, Etc. of Indebtedness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116</w:t>
            </w:r>
          </w:p>
        </w:tc>
        <w:tc>
          <w:tcPr>
            <w:tcW w:w="590" w:type="dxa"/>
            <w:vAlign w:val="bottom"/>
            <w:gridSpan w:val="4"/>
          </w:tcPr>
          <w:p>
            <w:pPr>
              <w:ind w:left="130"/>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9580" w:type="dxa"/>
            <w:vAlign w:val="bottom"/>
          </w:tcPr>
          <w:p>
            <w:pPr>
              <w:jc w:val="center"/>
              <w:ind w:left="370"/>
              <w:spacing w:after="0"/>
              <w:rPr>
                <w:sz w:val="20"/>
                <w:szCs w:val="20"/>
                <w:color w:val="auto"/>
              </w:rPr>
            </w:pPr>
            <w:r>
              <w:rPr>
                <w:rFonts w:ascii="Arial" w:cs="Arial" w:eastAsia="Arial" w:hAnsi="Arial"/>
                <w:sz w:val="18"/>
                <w:szCs w:val="18"/>
                <w:b w:val="1"/>
                <w:bCs w:val="1"/>
                <w:color w:val="auto"/>
              </w:rPr>
              <w:t>ARTICLE VIII</w:t>
            </w:r>
          </w:p>
        </w:tc>
        <w:tc>
          <w:tcPr>
            <w:tcW w:w="2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958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EVENTS OF DEFAULT AND REMEDIES</w:t>
            </w:r>
          </w:p>
        </w:tc>
        <w:tc>
          <w:tcPr>
            <w:tcW w:w="27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8"/>
                <w:szCs w:val="18"/>
                <w:b w:val="1"/>
                <w:bCs w:val="1"/>
                <w:color w:val="auto"/>
              </w:rPr>
              <w:t>8.01</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Events of Default</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117</w:t>
            </w:r>
          </w:p>
        </w:tc>
        <w:tc>
          <w:tcPr>
            <w:tcW w:w="130" w:type="dxa"/>
            <w:vAlign w:val="bottom"/>
          </w:tcPr>
          <w:p>
            <w:pPr>
              <w:spacing w:after="0"/>
              <w:rPr>
                <w:sz w:val="24"/>
                <w:szCs w:val="24"/>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8.02</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Remedies upon Event of Default</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119</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8.03</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Application of Funds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119</w:t>
            </w:r>
          </w:p>
        </w:tc>
        <w:tc>
          <w:tcPr>
            <w:tcW w:w="590" w:type="dxa"/>
            <w:vAlign w:val="bottom"/>
            <w:gridSpan w:val="4"/>
          </w:tcPr>
          <w:p>
            <w:pPr>
              <w:ind w:left="13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9580" w:type="dxa"/>
            <w:vAlign w:val="bottom"/>
          </w:tcPr>
          <w:p>
            <w:pPr>
              <w:jc w:val="center"/>
              <w:ind w:left="390"/>
              <w:spacing w:after="0"/>
              <w:rPr>
                <w:sz w:val="20"/>
                <w:szCs w:val="20"/>
                <w:color w:val="auto"/>
              </w:rPr>
            </w:pPr>
            <w:r>
              <w:rPr>
                <w:rFonts w:ascii="Arial" w:cs="Arial" w:eastAsia="Arial" w:hAnsi="Arial"/>
                <w:sz w:val="18"/>
                <w:szCs w:val="18"/>
                <w:b w:val="1"/>
                <w:bCs w:val="1"/>
                <w:color w:val="auto"/>
              </w:rPr>
              <w:t>ARTICLE IX</w:t>
            </w:r>
          </w:p>
        </w:tc>
        <w:tc>
          <w:tcPr>
            <w:tcW w:w="2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9580" w:type="dxa"/>
            <w:vAlign w:val="bottom"/>
          </w:tcPr>
          <w:p>
            <w:pPr>
              <w:jc w:val="center"/>
              <w:ind w:left="430"/>
              <w:spacing w:after="0"/>
              <w:rPr>
                <w:sz w:val="20"/>
                <w:szCs w:val="20"/>
                <w:color w:val="auto"/>
              </w:rPr>
            </w:pPr>
            <w:r>
              <w:rPr>
                <w:rFonts w:ascii="Arial" w:cs="Arial" w:eastAsia="Arial" w:hAnsi="Arial"/>
                <w:sz w:val="18"/>
                <w:szCs w:val="18"/>
                <w:b w:val="1"/>
                <w:bCs w:val="1"/>
                <w:color w:val="auto"/>
              </w:rPr>
              <w:t>ADMINISTRATIVE AGENT, CANADIAN AGENT, EUROPEAN AGENT AND COLLATERAL AGENT</w:t>
            </w:r>
          </w:p>
        </w:tc>
        <w:tc>
          <w:tcPr>
            <w:tcW w:w="27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8"/>
                <w:szCs w:val="18"/>
                <w:b w:val="1"/>
                <w:bCs w:val="1"/>
                <w:color w:val="auto"/>
              </w:rPr>
              <w:t>9.01</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Appointment and Authority</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120</w:t>
            </w:r>
          </w:p>
        </w:tc>
        <w:tc>
          <w:tcPr>
            <w:tcW w:w="130" w:type="dxa"/>
            <w:vAlign w:val="bottom"/>
          </w:tcPr>
          <w:p>
            <w:pPr>
              <w:spacing w:after="0"/>
              <w:rPr>
                <w:sz w:val="24"/>
                <w:szCs w:val="24"/>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9.02</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Rights as a Lender</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120</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9.03</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Exculpatory Provisions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121</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9.04</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Reliance by Agents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121</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9.05</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Delegation of Duties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121</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9.06</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Resignation of Agent</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122</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9.07</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Non-Reliance on Agent and Other Lenders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122</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9.08</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No Other Duties, Etc.</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122</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9.09</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gent May File Proofs of Claim</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122</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9.10</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Collateral and Guarantee Matters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123</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9.11</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Treasury Management Agreements and Swap Contracts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124</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9.12</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Withholding</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124</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9.13</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ERISA</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124</w:t>
            </w:r>
          </w:p>
        </w:tc>
        <w:tc>
          <w:tcPr>
            <w:tcW w:w="590" w:type="dxa"/>
            <w:vAlign w:val="bottom"/>
            <w:gridSpan w:val="4"/>
          </w:tcPr>
          <w:p>
            <w:pPr>
              <w:ind w:left="130"/>
              <w:spacing w:after="0"/>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9580" w:type="dxa"/>
            <w:vAlign w:val="bottom"/>
          </w:tcPr>
          <w:p>
            <w:pPr>
              <w:jc w:val="center"/>
              <w:ind w:left="370"/>
              <w:spacing w:after="0"/>
              <w:rPr>
                <w:sz w:val="20"/>
                <w:szCs w:val="20"/>
                <w:color w:val="auto"/>
              </w:rPr>
            </w:pPr>
            <w:r>
              <w:rPr>
                <w:rFonts w:ascii="Arial" w:cs="Arial" w:eastAsia="Arial" w:hAnsi="Arial"/>
                <w:sz w:val="18"/>
                <w:szCs w:val="18"/>
                <w:b w:val="1"/>
                <w:bCs w:val="1"/>
                <w:color w:val="auto"/>
              </w:rPr>
              <w:t>ARTICLE X</w:t>
            </w:r>
          </w:p>
        </w:tc>
        <w:tc>
          <w:tcPr>
            <w:tcW w:w="2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9580" w:type="dxa"/>
            <w:vAlign w:val="bottom"/>
          </w:tcPr>
          <w:p>
            <w:pPr>
              <w:jc w:val="center"/>
              <w:ind w:left="430"/>
              <w:spacing w:after="0"/>
              <w:rPr>
                <w:sz w:val="20"/>
                <w:szCs w:val="20"/>
                <w:color w:val="auto"/>
              </w:rPr>
            </w:pPr>
            <w:r>
              <w:rPr>
                <w:rFonts w:ascii="Arial" w:cs="Arial" w:eastAsia="Arial" w:hAnsi="Arial"/>
                <w:sz w:val="18"/>
                <w:szCs w:val="18"/>
                <w:b w:val="1"/>
                <w:bCs w:val="1"/>
                <w:color w:val="auto"/>
              </w:rPr>
              <w:t>MISCELLANEOUS</w:t>
            </w:r>
          </w:p>
        </w:tc>
        <w:tc>
          <w:tcPr>
            <w:tcW w:w="27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8"/>
                <w:szCs w:val="18"/>
                <w:b w:val="1"/>
                <w:bCs w:val="1"/>
                <w:color w:val="auto"/>
              </w:rPr>
              <w:t>10.01</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Amendments, Etc.</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124</w:t>
            </w:r>
          </w:p>
        </w:tc>
        <w:tc>
          <w:tcPr>
            <w:tcW w:w="130" w:type="dxa"/>
            <w:vAlign w:val="bottom"/>
          </w:tcPr>
          <w:p>
            <w:pPr>
              <w:spacing w:after="0"/>
              <w:rPr>
                <w:sz w:val="24"/>
                <w:szCs w:val="24"/>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10.02</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Notices; Effectiveness; Electronic Communication</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126</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10.03</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No Waiver; Cumulative Remedies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128</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b w:val="1"/>
                <w:bCs w:val="1"/>
                <w:color w:val="auto"/>
              </w:rPr>
              <w:t>10.04</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Expenses; Indemnity; Damage Waiver</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128</w:t>
            </w:r>
          </w:p>
        </w:tc>
        <w:tc>
          <w:tcPr>
            <w:tcW w:w="13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360" w:top="553" w:right="5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9440" w:type="dxa"/>
            <w:vAlign w:val="bottom"/>
          </w:tcPr>
          <w:p>
            <w:pPr>
              <w:spacing w:after="0"/>
              <w:rPr>
                <w:sz w:val="17"/>
                <w:szCs w:val="17"/>
                <w:color w:val="auto"/>
              </w:rPr>
            </w:pPr>
          </w:p>
        </w:tc>
        <w:tc>
          <w:tcPr>
            <w:tcW w:w="270" w:type="dxa"/>
            <w:vAlign w:val="bottom"/>
          </w:tcPr>
          <w:p>
            <w:pPr>
              <w:spacing w:after="0"/>
              <w:rPr>
                <w:sz w:val="17"/>
                <w:szCs w:val="17"/>
                <w:color w:val="auto"/>
              </w:rPr>
            </w:pPr>
          </w:p>
        </w:tc>
        <w:tc>
          <w:tcPr>
            <w:tcW w:w="59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0"/>
        </w:trPr>
        <w:tc>
          <w:tcPr>
            <w:tcW w:w="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10.05</w:t>
            </w:r>
          </w:p>
        </w:tc>
        <w:tc>
          <w:tcPr>
            <w:tcW w:w="9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Payments Set Aside</w:t>
            </w:r>
          </w:p>
        </w:tc>
        <w:tc>
          <w:tcPr>
            <w:tcW w:w="270" w:type="dxa"/>
            <w:vAlign w:val="bottom"/>
          </w:tcPr>
          <w:p>
            <w:pPr>
              <w:spacing w:after="0" w:line="20" w:lineRule="exact"/>
              <w:rPr>
                <w:sz w:val="1"/>
                <w:szCs w:val="1"/>
                <w:color w:val="auto"/>
              </w:rPr>
            </w:pPr>
          </w:p>
        </w:tc>
        <w:tc>
          <w:tcPr>
            <w:tcW w:w="13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vMerge w:val="continue"/>
          </w:tcPr>
          <w:p>
            <w:pPr>
              <w:spacing w:after="0"/>
              <w:rPr>
                <w:sz w:val="21"/>
                <w:szCs w:val="21"/>
                <w:color w:val="auto"/>
              </w:rPr>
            </w:pPr>
          </w:p>
        </w:tc>
        <w:tc>
          <w:tcPr>
            <w:tcW w:w="9440" w:type="dxa"/>
            <w:vAlign w:val="bottom"/>
            <w:vMerge w:val="continue"/>
          </w:tcPr>
          <w:p>
            <w:pPr>
              <w:spacing w:after="0"/>
              <w:rPr>
                <w:sz w:val="21"/>
                <w:szCs w:val="21"/>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130</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10.06</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Successors and Assigns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130</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10.07</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Treatment of Certain Information; Confidentiality</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135</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10.08</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Right of Setoff</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136</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10.09</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Interest Rate Limitation</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136</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10.10</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Counterparts; Integration; Effectiveness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136</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10.11</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Survival of Representations and Warranties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137</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10.12</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Severability</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137</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10.13</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Replacement of Lenders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137</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10.14</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Governing Law, Jurisdiction; Etc.</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138</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10.15</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Waiver of Jury Trial</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138</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10.16</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No Advisory or Fiduciary Responsibility</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139</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10.17</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USA Patriot Act Notice</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139</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10.18</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Judgment Currency</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139</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10.19</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Separate and Distinct Obligations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140</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10.20</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Amendment and Restatement; Reaffirmation</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140</w:t>
            </w:r>
          </w:p>
        </w:tc>
        <w:tc>
          <w:tcPr>
            <w:tcW w:w="130" w:type="dxa"/>
            <w:vAlign w:val="bottom"/>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10.21</w:t>
            </w:r>
          </w:p>
        </w:tc>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Acknowledgement and Consent to Bail-In of EEA Financial Institutions</w:t>
            </w:r>
          </w:p>
        </w:tc>
        <w:tc>
          <w:tcPr>
            <w:tcW w:w="270" w:type="dxa"/>
            <w:vAlign w:val="bottom"/>
          </w:tcPr>
          <w:p>
            <w:pPr>
              <w:jc w:val="right"/>
              <w:spacing w:after="0"/>
              <w:rPr>
                <w:sz w:val="20"/>
                <w:szCs w:val="20"/>
                <w:color w:val="auto"/>
              </w:rPr>
            </w:pPr>
            <w:r>
              <w:rPr>
                <w:rFonts w:ascii="Arial" w:cs="Arial" w:eastAsia="Arial" w:hAnsi="Arial"/>
                <w:sz w:val="18"/>
                <w:szCs w:val="18"/>
                <w:color w:val="auto"/>
                <w:strike w:val="1"/>
                <w:w w:val="79"/>
              </w:rPr>
              <w:t>140</w:t>
            </w:r>
          </w:p>
        </w:tc>
        <w:tc>
          <w:tcPr>
            <w:tcW w:w="590" w:type="dxa"/>
            <w:vAlign w:val="bottom"/>
            <w:gridSpan w:val="3"/>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480"/>
        </w:trPr>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SCHEDULES</w:t>
            </w:r>
          </w:p>
        </w:tc>
        <w:tc>
          <w:tcPr>
            <w:tcW w:w="27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1.01(b)</w:t>
            </w:r>
          </w:p>
        </w:tc>
        <w:tc>
          <w:tcPr>
            <w:tcW w:w="9440" w:type="dxa"/>
            <w:vAlign w:val="bottom"/>
          </w:tcPr>
          <w:p>
            <w:pPr>
              <w:ind w:left="580"/>
              <w:spacing w:after="0"/>
              <w:rPr>
                <w:sz w:val="20"/>
                <w:szCs w:val="20"/>
                <w:color w:val="auto"/>
              </w:rPr>
            </w:pPr>
            <w:r>
              <w:rPr>
                <w:rFonts w:ascii="Arial" w:cs="Arial" w:eastAsia="Arial" w:hAnsi="Arial"/>
                <w:sz w:val="18"/>
                <w:szCs w:val="18"/>
                <w:color w:val="auto"/>
              </w:rPr>
              <w:t>Mortgaged Property</w:t>
            </w:r>
          </w:p>
        </w:tc>
        <w:tc>
          <w:tcPr>
            <w:tcW w:w="27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1.01(c)</w:t>
            </w:r>
          </w:p>
        </w:tc>
        <w:tc>
          <w:tcPr>
            <w:tcW w:w="9440" w:type="dxa"/>
            <w:vAlign w:val="bottom"/>
          </w:tcPr>
          <w:p>
            <w:pPr>
              <w:ind w:left="580"/>
              <w:spacing w:after="0"/>
              <w:rPr>
                <w:sz w:val="20"/>
                <w:szCs w:val="20"/>
                <w:color w:val="auto"/>
              </w:rPr>
            </w:pPr>
            <w:r>
              <w:rPr>
                <w:rFonts w:ascii="Arial" w:cs="Arial" w:eastAsia="Arial" w:hAnsi="Arial"/>
                <w:sz w:val="18"/>
                <w:szCs w:val="18"/>
                <w:color w:val="auto"/>
              </w:rPr>
              <w:t>2016 Reorganization</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2.01</w:t>
            </w:r>
          </w:p>
        </w:tc>
        <w:tc>
          <w:tcPr>
            <w:tcW w:w="9440" w:type="dxa"/>
            <w:vAlign w:val="bottom"/>
          </w:tcPr>
          <w:p>
            <w:pPr>
              <w:ind w:left="580"/>
              <w:spacing w:after="0"/>
              <w:rPr>
                <w:sz w:val="20"/>
                <w:szCs w:val="20"/>
                <w:color w:val="auto"/>
              </w:rPr>
            </w:pPr>
            <w:r>
              <w:rPr>
                <w:rFonts w:ascii="Arial" w:cs="Arial" w:eastAsia="Arial" w:hAnsi="Arial"/>
                <w:sz w:val="18"/>
                <w:szCs w:val="18"/>
                <w:color w:val="auto"/>
              </w:rPr>
              <w:t>Commitments</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2.03</w:t>
            </w:r>
          </w:p>
        </w:tc>
        <w:tc>
          <w:tcPr>
            <w:tcW w:w="9440" w:type="dxa"/>
            <w:vAlign w:val="bottom"/>
          </w:tcPr>
          <w:p>
            <w:pPr>
              <w:ind w:left="580"/>
              <w:spacing w:after="0"/>
              <w:rPr>
                <w:sz w:val="20"/>
                <w:szCs w:val="20"/>
                <w:color w:val="auto"/>
              </w:rPr>
            </w:pPr>
            <w:r>
              <w:rPr>
                <w:rFonts w:ascii="Arial" w:cs="Arial" w:eastAsia="Arial" w:hAnsi="Arial"/>
                <w:sz w:val="18"/>
                <w:szCs w:val="18"/>
                <w:color w:val="auto"/>
              </w:rPr>
              <w:t>Existing Letters of Credit</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5.09</w:t>
            </w:r>
          </w:p>
        </w:tc>
        <w:tc>
          <w:tcPr>
            <w:tcW w:w="9440" w:type="dxa"/>
            <w:vAlign w:val="bottom"/>
          </w:tcPr>
          <w:p>
            <w:pPr>
              <w:ind w:left="580"/>
              <w:spacing w:after="0"/>
              <w:rPr>
                <w:sz w:val="20"/>
                <w:szCs w:val="20"/>
                <w:color w:val="auto"/>
              </w:rPr>
            </w:pPr>
            <w:r>
              <w:rPr>
                <w:rFonts w:ascii="Arial" w:cs="Arial" w:eastAsia="Arial" w:hAnsi="Arial"/>
                <w:sz w:val="18"/>
                <w:szCs w:val="18"/>
                <w:color w:val="auto"/>
              </w:rPr>
              <w:t>Environmental Matters</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5.13(a)</w:t>
            </w:r>
          </w:p>
        </w:tc>
        <w:tc>
          <w:tcPr>
            <w:tcW w:w="9440" w:type="dxa"/>
            <w:vAlign w:val="bottom"/>
          </w:tcPr>
          <w:p>
            <w:pPr>
              <w:ind w:left="580"/>
              <w:spacing w:after="0"/>
              <w:rPr>
                <w:sz w:val="20"/>
                <w:szCs w:val="20"/>
                <w:color w:val="auto"/>
              </w:rPr>
            </w:pPr>
            <w:r>
              <w:rPr>
                <w:rFonts w:ascii="Arial" w:cs="Arial" w:eastAsia="Arial" w:hAnsi="Arial"/>
                <w:sz w:val="18"/>
                <w:szCs w:val="18"/>
                <w:color w:val="auto"/>
              </w:rPr>
              <w:t>Subsidiaries</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5.13(b)</w:t>
            </w:r>
          </w:p>
        </w:tc>
        <w:tc>
          <w:tcPr>
            <w:tcW w:w="9440" w:type="dxa"/>
            <w:vAlign w:val="bottom"/>
          </w:tcPr>
          <w:p>
            <w:pPr>
              <w:ind w:left="580"/>
              <w:spacing w:after="0"/>
              <w:rPr>
                <w:sz w:val="20"/>
                <w:szCs w:val="20"/>
                <w:color w:val="auto"/>
              </w:rPr>
            </w:pPr>
            <w:r>
              <w:rPr>
                <w:rFonts w:ascii="Arial" w:cs="Arial" w:eastAsia="Arial" w:hAnsi="Arial"/>
                <w:sz w:val="18"/>
                <w:szCs w:val="18"/>
                <w:color w:val="auto"/>
              </w:rPr>
              <w:t>Equity Interests</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5.18</w:t>
            </w:r>
          </w:p>
        </w:tc>
        <w:tc>
          <w:tcPr>
            <w:tcW w:w="9440" w:type="dxa"/>
            <w:vAlign w:val="bottom"/>
          </w:tcPr>
          <w:p>
            <w:pPr>
              <w:ind w:left="580"/>
              <w:spacing w:after="0"/>
              <w:rPr>
                <w:sz w:val="20"/>
                <w:szCs w:val="20"/>
                <w:color w:val="auto"/>
              </w:rPr>
            </w:pPr>
            <w:r>
              <w:rPr>
                <w:rFonts w:ascii="Arial" w:cs="Arial" w:eastAsia="Arial" w:hAnsi="Arial"/>
                <w:sz w:val="18"/>
                <w:szCs w:val="18"/>
                <w:color w:val="auto"/>
              </w:rPr>
              <w:t>Intellectual Property</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7.01</w:t>
            </w:r>
          </w:p>
        </w:tc>
        <w:tc>
          <w:tcPr>
            <w:tcW w:w="9440" w:type="dxa"/>
            <w:vAlign w:val="bottom"/>
          </w:tcPr>
          <w:p>
            <w:pPr>
              <w:ind w:left="580"/>
              <w:spacing w:after="0"/>
              <w:rPr>
                <w:sz w:val="20"/>
                <w:szCs w:val="20"/>
                <w:color w:val="auto"/>
              </w:rPr>
            </w:pPr>
            <w:r>
              <w:rPr>
                <w:rFonts w:ascii="Arial" w:cs="Arial" w:eastAsia="Arial" w:hAnsi="Arial"/>
                <w:sz w:val="18"/>
                <w:szCs w:val="18"/>
                <w:color w:val="auto"/>
              </w:rPr>
              <w:t>Existing Liens</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7.02</w:t>
            </w:r>
          </w:p>
        </w:tc>
        <w:tc>
          <w:tcPr>
            <w:tcW w:w="9440" w:type="dxa"/>
            <w:vAlign w:val="bottom"/>
          </w:tcPr>
          <w:p>
            <w:pPr>
              <w:ind w:left="580"/>
              <w:spacing w:after="0"/>
              <w:rPr>
                <w:sz w:val="20"/>
                <w:szCs w:val="20"/>
                <w:color w:val="auto"/>
              </w:rPr>
            </w:pPr>
            <w:r>
              <w:rPr>
                <w:rFonts w:ascii="Arial" w:cs="Arial" w:eastAsia="Arial" w:hAnsi="Arial"/>
                <w:sz w:val="18"/>
                <w:szCs w:val="18"/>
                <w:color w:val="auto"/>
              </w:rPr>
              <w:t>Existing Investments</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7.03</w:t>
            </w:r>
          </w:p>
        </w:tc>
        <w:tc>
          <w:tcPr>
            <w:tcW w:w="9440" w:type="dxa"/>
            <w:vAlign w:val="bottom"/>
          </w:tcPr>
          <w:p>
            <w:pPr>
              <w:ind w:left="580"/>
              <w:spacing w:after="0"/>
              <w:rPr>
                <w:sz w:val="20"/>
                <w:szCs w:val="20"/>
                <w:color w:val="auto"/>
              </w:rPr>
            </w:pPr>
            <w:r>
              <w:rPr>
                <w:rFonts w:ascii="Arial" w:cs="Arial" w:eastAsia="Arial" w:hAnsi="Arial"/>
                <w:sz w:val="18"/>
                <w:szCs w:val="18"/>
                <w:color w:val="auto"/>
              </w:rPr>
              <w:t>Existing Indebtedness</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7.08(e)</w:t>
            </w:r>
          </w:p>
        </w:tc>
        <w:tc>
          <w:tcPr>
            <w:tcW w:w="9440" w:type="dxa"/>
            <w:vAlign w:val="bottom"/>
          </w:tcPr>
          <w:p>
            <w:pPr>
              <w:ind w:left="580"/>
              <w:spacing w:after="0"/>
              <w:rPr>
                <w:sz w:val="20"/>
                <w:szCs w:val="20"/>
                <w:color w:val="auto"/>
              </w:rPr>
            </w:pPr>
            <w:r>
              <w:rPr>
                <w:rFonts w:ascii="Arial" w:cs="Arial" w:eastAsia="Arial" w:hAnsi="Arial"/>
                <w:sz w:val="18"/>
                <w:szCs w:val="18"/>
                <w:color w:val="auto"/>
              </w:rPr>
              <w:t>Affiliate Transactions</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10.02</w:t>
            </w:r>
          </w:p>
        </w:tc>
        <w:tc>
          <w:tcPr>
            <w:tcW w:w="9440" w:type="dxa"/>
            <w:vAlign w:val="bottom"/>
          </w:tcPr>
          <w:p>
            <w:pPr>
              <w:ind w:left="580"/>
              <w:spacing w:after="0"/>
              <w:rPr>
                <w:sz w:val="20"/>
                <w:szCs w:val="20"/>
                <w:color w:val="auto"/>
              </w:rPr>
            </w:pPr>
            <w:r>
              <w:rPr>
                <w:rFonts w:ascii="Arial" w:cs="Arial" w:eastAsia="Arial" w:hAnsi="Arial"/>
                <w:sz w:val="18"/>
                <w:szCs w:val="18"/>
                <w:color w:val="auto"/>
                <w:w w:val="99"/>
              </w:rPr>
              <w:t>Administrative Agent’s Office; Canadian Agent’s Office; European Agent’s Office, Certain Addresses for Notices</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10.06</w:t>
            </w:r>
          </w:p>
        </w:tc>
        <w:tc>
          <w:tcPr>
            <w:tcW w:w="9440" w:type="dxa"/>
            <w:vAlign w:val="bottom"/>
          </w:tcPr>
          <w:p>
            <w:pPr>
              <w:ind w:left="580"/>
              <w:spacing w:after="0"/>
              <w:rPr>
                <w:sz w:val="20"/>
                <w:szCs w:val="20"/>
                <w:color w:val="auto"/>
              </w:rPr>
            </w:pPr>
            <w:r>
              <w:rPr>
                <w:rFonts w:ascii="Arial" w:cs="Arial" w:eastAsia="Arial" w:hAnsi="Arial"/>
                <w:sz w:val="18"/>
                <w:szCs w:val="18"/>
                <w:color w:val="auto"/>
              </w:rPr>
              <w:t>Processing and Recordation Fees</w:t>
            </w:r>
          </w:p>
        </w:tc>
        <w:tc>
          <w:tcPr>
            <w:tcW w:w="27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27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160" w:type="dxa"/>
            <w:vAlign w:val="bottom"/>
            <w:gridSpan w:val="2"/>
          </w:tcPr>
          <w:p>
            <w:pPr>
              <w:spacing w:after="0"/>
              <w:rPr>
                <w:sz w:val="20"/>
                <w:szCs w:val="20"/>
                <w:color w:val="auto"/>
              </w:rPr>
            </w:pPr>
            <w:r>
              <w:rPr>
                <w:rFonts w:ascii="Arial" w:cs="Arial" w:eastAsia="Arial" w:hAnsi="Arial"/>
                <w:sz w:val="18"/>
                <w:szCs w:val="18"/>
                <w:color w:val="auto"/>
              </w:rPr>
              <w:t>Exhibit A-1  Form of Borrowing or Conversion Notice</w:t>
            </w:r>
          </w:p>
        </w:tc>
        <w:tc>
          <w:tcPr>
            <w:tcW w:w="27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Exhibit A-2  Form of Prepayment Notice</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Exhibit B-1  Form of U.S. Dollar Facility Swing Line Loan Notice</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Exhibit B-2  Form of Multicurrency Facility Swing Line Loan Notice</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Exhibit C-1  Form of U.S. Dollar Facility Revolving Loan Note</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Exhibit C-2  Form of Multicurrency Facility Revolving Loan Note</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Exhibit C-3  Form of U.S. Dollar Facility Swing Line Loan Note</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Exhibit C-4  Form of Multicurrency Facility Swing Line Loan Note</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Exhibit D  Form of Compliance Certificate</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Exhibit E  Form of Assignment and Assumption</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9"/>
              </w:rPr>
              <w:t>Exhibit F</w:t>
            </w:r>
          </w:p>
        </w:tc>
        <w:tc>
          <w:tcPr>
            <w:tcW w:w="94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5"/>
              </w:rPr>
              <w:t>Exhibit G</w:t>
            </w:r>
          </w:p>
        </w:tc>
        <w:tc>
          <w:tcPr>
            <w:tcW w:w="94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7"/>
              </w:rPr>
              <w:t>Exhibit H</w:t>
            </w:r>
          </w:p>
        </w:tc>
        <w:tc>
          <w:tcPr>
            <w:tcW w:w="94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Exhibit I</w:t>
            </w:r>
          </w:p>
        </w:tc>
        <w:tc>
          <w:tcPr>
            <w:tcW w:w="944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Exhibit J  Form of Appointment of Collateral Agent</w:t>
            </w:r>
          </w:p>
        </w:tc>
        <w:tc>
          <w:tcPr>
            <w:tcW w:w="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8"/>
              </w:rPr>
              <w:t>Exhibit K</w:t>
            </w:r>
          </w:p>
        </w:tc>
        <w:tc>
          <w:tcPr>
            <w:tcW w:w="94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27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320" w:top="702" w:right="559" w:bottom="1440" w:gutter="0" w:footer="0" w:header="0"/>
        </w:sectPr>
      </w:pPr>
    </w:p>
    <w:bookmarkStart w:id="68" w:name="page69"/>
    <w:bookmarkEnd w:id="68"/>
    <w:p>
      <w:pPr>
        <w:spacing w:after="0"/>
        <w:tabs>
          <w:tab w:leader="none" w:pos="840" w:val="left"/>
        </w:tabs>
        <w:rPr>
          <w:sz w:val="20"/>
          <w:szCs w:val="20"/>
          <w:color w:val="auto"/>
        </w:rPr>
      </w:pPr>
      <w:r>
        <w:rPr>
          <w:rFonts w:ascii="Arial" w:cs="Arial" w:eastAsia="Arial" w:hAnsi="Arial"/>
          <w:sz w:val="18"/>
          <w:szCs w:val="18"/>
          <w:color w:val="auto"/>
        </w:rPr>
        <w:t>Exhibit L</w:t>
      </w:r>
      <w:r>
        <w:rPr>
          <w:sz w:val="20"/>
          <w:szCs w:val="20"/>
          <w:color w:val="auto"/>
        </w:rPr>
        <w:tab/>
      </w:r>
      <w:r>
        <w:rPr>
          <w:rFonts w:ascii="Arial" w:cs="Arial" w:eastAsia="Arial" w:hAnsi="Arial"/>
          <w:sz w:val="16"/>
          <w:szCs w:val="16"/>
          <w:color w:val="auto"/>
        </w:rPr>
        <w:t>Form of Tax Status Certificates</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39"/>
          </w:cols>
          <w:pgMar w:left="320" w:top="341" w:right="1440" w:bottom="1440" w:gutter="0" w:footer="0" w:header="0"/>
        </w:sectPr>
      </w:pPr>
    </w:p>
    <w:bookmarkStart w:id="69" w:name="page70"/>
    <w:bookmarkEnd w:id="69"/>
    <w:p>
      <w:pPr>
        <w:ind w:left="3460"/>
        <w:spacing w:after="0"/>
        <w:rPr>
          <w:sz w:val="20"/>
          <w:szCs w:val="20"/>
          <w:color w:val="auto"/>
        </w:rPr>
      </w:pPr>
      <w:r>
        <w:rPr>
          <w:rFonts w:ascii="Arial" w:cs="Arial" w:eastAsia="Arial" w:hAnsi="Arial"/>
          <w:sz w:val="20"/>
          <w:szCs w:val="20"/>
          <w:b w:val="1"/>
          <w:bCs w:val="1"/>
          <w:color w:val="auto"/>
        </w:rPr>
        <w:t>FOURTH AMENDED AND RESTATED CREDIT AGREEMENT</w:t>
      </w:r>
    </w:p>
    <w:p>
      <w:pPr>
        <w:spacing w:after="0" w:line="22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FOURTH AMENDED AND RESTATED CREDIT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August 25, 2017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or the “</w:t>
      </w:r>
      <w:r>
        <w:rPr>
          <w:rFonts w:ascii="Arial" w:cs="Arial" w:eastAsia="Arial" w:hAnsi="Arial"/>
          <w:sz w:val="17"/>
          <w:szCs w:val="17"/>
          <w:u w:val="single" w:color="auto"/>
          <w:color w:val="auto"/>
        </w:rPr>
        <w:t>Fourth Restatement Date</w:t>
      </w:r>
      <w:r>
        <w:rPr>
          <w:rFonts w:ascii="Arial" w:cs="Arial" w:eastAsia="Arial" w:hAnsi="Arial"/>
          <w:sz w:val="17"/>
          <w:szCs w:val="17"/>
          <w:color w:val="auto"/>
        </w:rPr>
        <w:t>”), among THE WILLIAM CARTER COMPANY, a Massachusetts corporation (the “</w:t>
      </w:r>
      <w:r>
        <w:rPr>
          <w:rFonts w:ascii="Arial" w:cs="Arial" w:eastAsia="Arial" w:hAnsi="Arial"/>
          <w:sz w:val="17"/>
          <w:szCs w:val="17"/>
          <w:u w:val="single" w:color="auto"/>
          <w:color w:val="auto"/>
        </w:rPr>
        <w:t>U.S. Borrower</w:t>
      </w:r>
      <w:r>
        <w:rPr>
          <w:rFonts w:ascii="Arial" w:cs="Arial" w:eastAsia="Arial" w:hAnsi="Arial"/>
          <w:sz w:val="17"/>
          <w:szCs w:val="17"/>
          <w:color w:val="auto"/>
        </w:rPr>
        <w:t>”), the Canadian Borrower (as defined), CARTER’S HOLDINGS B.V., having its official seat (</w:t>
      </w:r>
      <w:r>
        <w:rPr>
          <w:rFonts w:ascii="Arial" w:cs="Arial" w:eastAsia="Arial" w:hAnsi="Arial"/>
          <w:sz w:val="17"/>
          <w:szCs w:val="17"/>
          <w:i w:val="1"/>
          <w:iCs w:val="1"/>
          <w:color w:val="auto"/>
        </w:rPr>
        <w:t>statutaire zetel</w:t>
      </w:r>
      <w:r>
        <w:rPr>
          <w:rFonts w:ascii="Arial" w:cs="Arial" w:eastAsia="Arial" w:hAnsi="Arial"/>
          <w:sz w:val="17"/>
          <w:szCs w:val="17"/>
          <w:color w:val="auto"/>
        </w:rPr>
        <w:t>) in Amsterdam, the Netherlands, registered with the Dutch trade register under number 63530201 (“</w:t>
      </w:r>
      <w:r>
        <w:rPr>
          <w:rFonts w:ascii="Arial" w:cs="Arial" w:eastAsia="Arial" w:hAnsi="Arial"/>
          <w:sz w:val="17"/>
          <w:szCs w:val="17"/>
          <w:u w:val="single" w:color="auto"/>
          <w:color w:val="auto"/>
        </w:rPr>
        <w:t>Dutch Borrower</w:t>
      </w:r>
      <w:r>
        <w:rPr>
          <w:rFonts w:ascii="Arial" w:cs="Arial" w:eastAsia="Arial" w:hAnsi="Arial"/>
          <w:sz w:val="17"/>
          <w:szCs w:val="17"/>
          <w:color w:val="auto"/>
        </w:rPr>
        <w:t>”),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JPMORGAN CHASE BANK, N.A., as Administrative Agent, U.S. Dollar Facility Swing Line Lender (in such capacity, the “</w:t>
      </w:r>
      <w:r>
        <w:rPr>
          <w:rFonts w:ascii="Arial" w:cs="Arial" w:eastAsia="Arial" w:hAnsi="Arial"/>
          <w:sz w:val="17"/>
          <w:szCs w:val="17"/>
          <w:u w:val="single" w:color="auto"/>
          <w:color w:val="auto"/>
        </w:rPr>
        <w:t>U.S. Dollar</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Facility Swing Line Lender</w:t>
      </w:r>
      <w:r>
        <w:rPr>
          <w:rFonts w:ascii="Arial" w:cs="Arial" w:eastAsia="Arial" w:hAnsi="Arial"/>
          <w:sz w:val="17"/>
          <w:szCs w:val="17"/>
          <w:color w:val="auto"/>
        </w:rPr>
        <w:t>”), U.S. Dollar Facility L/C Issuer (as defined) and Collateral Agent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JPMORGAN CHASE BANK, N.A., TORONTO BRANCH, as Canadian Agent, a Multicurrency Facility Swing Line Lender (as defined) and a Multicurrency Facility L/C Issuer (as defined), J.P. MORGAN EUROPE LIMITED, as European Agent, JPMORGAN CHASE BANK, N.A., LONDON BRANCH, as a Multicurrency Facility Swing Line Lender and a Multicurrency Facility L/C Issuer, BANK OF AMERICA, N.A., and BANK OF MONTREAL, as Co-Syndication Agents (in such capacity, the “</w:t>
      </w:r>
      <w:r>
        <w:rPr>
          <w:rFonts w:ascii="Arial" w:cs="Arial" w:eastAsia="Arial" w:hAnsi="Arial"/>
          <w:sz w:val="17"/>
          <w:szCs w:val="17"/>
          <w:u w:val="single" w:color="auto"/>
          <w:color w:val="auto"/>
        </w:rPr>
        <w:t>Syndication Agents</w:t>
      </w:r>
      <w:r>
        <w:rPr>
          <w:rFonts w:ascii="Arial" w:cs="Arial" w:eastAsia="Arial" w:hAnsi="Arial"/>
          <w:sz w:val="17"/>
          <w:szCs w:val="17"/>
          <w:color w:val="auto"/>
        </w:rPr>
        <w:t>”), BRANCH BANKING &amp; TRUST COMPANY, HSBC SECURITIES (USA) INC., ROYAL BANK OF CANADA, SUNTRUST BANK, U.S. BANK NATIONAL ASSOCIATION and WELLS FARGO BANK, NATIONAL ASSOCIATION, as Co-Documentation Agents (in such capacities, the “</w:t>
      </w:r>
      <w:r>
        <w:rPr>
          <w:rFonts w:ascii="Arial" w:cs="Arial" w:eastAsia="Arial" w:hAnsi="Arial"/>
          <w:sz w:val="17"/>
          <w:szCs w:val="17"/>
          <w:u w:val="single" w:color="auto"/>
          <w:color w:val="auto"/>
        </w:rPr>
        <w:t>Co-Documentation Agents</w:t>
      </w:r>
      <w:r>
        <w:rPr>
          <w:rFonts w:ascii="Arial" w:cs="Arial" w:eastAsia="Arial" w:hAnsi="Arial"/>
          <w:sz w:val="17"/>
          <w:szCs w:val="17"/>
          <w:color w:val="auto"/>
        </w:rPr>
        <w:t>”) and J.P. MORGAN CHASE BANK, N.A., MERRILL LYNCH, PIERCE, FENNER &amp; SMITH INCORPORATED (or any other registered broker-dealer, organized under the laws of the United States or a state thereof, wholly-owned by Bank of America Corporation to which all or substantially all of Bank of America Corporation’s or any of its subsidiaries’ investment banking, commercial lending services or related businesses may be transferred following the date of this Agreement) and BMO CAPITAL MARETS CORP. as Joint Lead Arrangers and Bookrunners (in such capacities, the “</w:t>
      </w:r>
      <w:r>
        <w:rPr>
          <w:rFonts w:ascii="Arial" w:cs="Arial" w:eastAsia="Arial" w:hAnsi="Arial"/>
          <w:sz w:val="17"/>
          <w:szCs w:val="17"/>
          <w:u w:val="single" w:color="auto"/>
          <w:color w:val="auto"/>
        </w:rPr>
        <w:t>Arrangers</w:t>
      </w:r>
      <w:r>
        <w:rPr>
          <w:rFonts w:ascii="Arial" w:cs="Arial" w:eastAsia="Arial" w:hAnsi="Arial"/>
          <w:sz w:val="17"/>
          <w:szCs w:val="17"/>
          <w:color w:val="auto"/>
        </w:rPr>
        <w:t>”).</w:t>
      </w:r>
    </w:p>
    <w:p>
      <w:pPr>
        <w:spacing w:after="0" w:line="176" w:lineRule="exact"/>
        <w:rPr>
          <w:sz w:val="20"/>
          <w:szCs w:val="20"/>
          <w:color w:val="auto"/>
        </w:rPr>
      </w:pPr>
    </w:p>
    <w:p>
      <w:pPr>
        <w:ind w:right="7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U.S. Borrower, the Lenders, Bank of America, N.A., as administrative agent, collateral agent, letter of credit issuer and</w:t>
      </w:r>
      <w:r>
        <w:rPr>
          <w:rFonts w:ascii="Arial" w:cs="Arial" w:eastAsia="Arial" w:hAnsi="Arial"/>
          <w:sz w:val="18"/>
          <w:szCs w:val="18"/>
          <w:b w:val="1"/>
          <w:bCs w:val="1"/>
          <w:color w:val="auto"/>
        </w:rPr>
        <w:t xml:space="preserve"> </w:t>
      </w:r>
      <w:r>
        <w:rPr>
          <w:rFonts w:ascii="Arial" w:cs="Arial" w:eastAsia="Arial" w:hAnsi="Arial"/>
          <w:sz w:val="18"/>
          <w:szCs w:val="18"/>
          <w:color w:val="auto"/>
        </w:rPr>
        <w:t>swingline lender, and the other parties previously entered into that certain credit agreement, dated as of October 15, 2010 (the “</w:t>
      </w:r>
      <w:r>
        <w:rPr>
          <w:rFonts w:ascii="Arial" w:cs="Arial" w:eastAsia="Arial" w:hAnsi="Arial"/>
          <w:sz w:val="18"/>
          <w:szCs w:val="18"/>
          <w:u w:val="single" w:color="auto"/>
          <w:color w:val="auto"/>
        </w:rPr>
        <w:t>Original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Original Credit Agreement was amended and restated (the “</w:t>
      </w:r>
      <w:r>
        <w:rPr>
          <w:rFonts w:ascii="Arial" w:cs="Arial" w:eastAsia="Arial" w:hAnsi="Arial"/>
          <w:sz w:val="18"/>
          <w:szCs w:val="18"/>
          <w:u w:val="single" w:color="auto"/>
          <w:color w:val="auto"/>
        </w:rPr>
        <w:t>First Amended and Restated Credit Agreement</w:t>
      </w:r>
      <w:r>
        <w:rPr>
          <w:rFonts w:ascii="Arial" w:cs="Arial" w:eastAsia="Arial" w:hAnsi="Arial"/>
          <w:sz w:val="18"/>
          <w:szCs w:val="18"/>
          <w:color w:val="auto"/>
        </w:rPr>
        <w:t>”) on December 22,</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w:t>
      </w:r>
      <w:r>
        <w:rPr>
          <w:rFonts w:ascii="Arial" w:cs="Arial" w:eastAsia="Arial" w:hAnsi="Arial"/>
          <w:sz w:val="18"/>
          <w:szCs w:val="18"/>
          <w:u w:val="single" w:color="auto"/>
          <w:color w:val="auto"/>
        </w:rPr>
        <w:t>First Restatement Date</w:t>
      </w:r>
      <w:r>
        <w:rPr>
          <w:rFonts w:ascii="Arial" w:cs="Arial" w:eastAsia="Arial" w:hAnsi="Arial"/>
          <w:sz w:val="18"/>
          <w:szCs w:val="18"/>
          <w:color w:val="auto"/>
        </w:rPr>
        <w:t>”) to add the Canadian Borrower and to provide for Multicurrency Facility Revolving Loans, Multicurrency Facility Letters of Credit and Multicurrency Facility Swing Line Loans;</w:t>
      </w:r>
    </w:p>
    <w:p>
      <w:pPr>
        <w:spacing w:after="0" w:line="176" w:lineRule="exact"/>
        <w:rPr>
          <w:sz w:val="20"/>
          <w:szCs w:val="20"/>
          <w:color w:val="auto"/>
        </w:rPr>
      </w:pPr>
    </w:p>
    <w:p>
      <w:pPr>
        <w:ind w:right="9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First Amended and Rested Credit Agreement was amended and restated (the “</w:t>
      </w:r>
      <w:r>
        <w:rPr>
          <w:rFonts w:ascii="Arial" w:cs="Arial" w:eastAsia="Arial" w:hAnsi="Arial"/>
          <w:sz w:val="18"/>
          <w:szCs w:val="18"/>
          <w:u w:val="single" w:color="auto"/>
          <w:color w:val="auto"/>
        </w:rPr>
        <w:t>Second Amended and Restated Credit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on August 31, 2012 (the “</w:t>
      </w:r>
      <w:r>
        <w:rPr>
          <w:rFonts w:ascii="Arial" w:cs="Arial" w:eastAsia="Arial" w:hAnsi="Arial"/>
          <w:sz w:val="18"/>
          <w:szCs w:val="18"/>
          <w:u w:val="single" w:color="auto"/>
          <w:color w:val="auto"/>
        </w:rPr>
        <w:t>Second Restatement Date</w:t>
      </w:r>
      <w:r>
        <w:rPr>
          <w:rFonts w:ascii="Arial" w:cs="Arial" w:eastAsia="Arial" w:hAnsi="Arial"/>
          <w:sz w:val="18"/>
          <w:szCs w:val="18"/>
          <w:color w:val="auto"/>
        </w:rPr>
        <w:t>”);</w:t>
      </w:r>
    </w:p>
    <w:p>
      <w:pPr>
        <w:spacing w:after="0" w:line="162"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Second Amended and Restated Credit Agreement was amended and restated (the “</w:t>
      </w:r>
      <w:r>
        <w:rPr>
          <w:rFonts w:ascii="Arial" w:cs="Arial" w:eastAsia="Arial" w:hAnsi="Arial"/>
          <w:sz w:val="18"/>
          <w:szCs w:val="18"/>
          <w:u w:val="single" w:color="auto"/>
          <w:color w:val="auto"/>
        </w:rPr>
        <w:t>Third Amended and Restated Credit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on September 16, 2015 (the “</w:t>
      </w:r>
      <w:r>
        <w:rPr>
          <w:rFonts w:ascii="Arial" w:cs="Arial" w:eastAsia="Arial" w:hAnsi="Arial"/>
          <w:sz w:val="18"/>
          <w:szCs w:val="18"/>
          <w:u w:val="single" w:color="auto"/>
          <w:color w:val="auto"/>
        </w:rPr>
        <w:t>Third Restatement Date</w:t>
      </w:r>
      <w:r>
        <w:rPr>
          <w:rFonts w:ascii="Arial" w:cs="Arial" w:eastAsia="Arial" w:hAnsi="Arial"/>
          <w:sz w:val="18"/>
          <w:szCs w:val="18"/>
          <w:color w:val="auto"/>
        </w:rPr>
        <w:t>”);</w:t>
      </w:r>
    </w:p>
    <w:p>
      <w:pPr>
        <w:spacing w:after="0" w:line="16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that certain Agency Resignation, Assignment and Acceptance Agreement, dated as of the Third Restatement Date,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terms of Section 9.06 of the Second Amended and Restated Credit Agreement, (i) Bank of America, N.A. and Bank of America, N.A., Canada Branch, resigned from their respective roles as Administrative Agent, U.S. Dollar Facility Swing Line Lender, Collateral Agent, Canadian Agent and Multicurrency Facility Swing Line Lender (in each case, under, and as defined in, the Second Amended and Restated Credit Agreement) and (ii) Required Lenders (under, and as defined in, the Second Amended and Rested Credit Agreement) appointed JPMorgan Chase Bank, N.A. as Administrative Agent, U.S. Dollar Facility Swing Line Lender and Collateral Agent and JPMorgan Chase Bank, N.A, Toronto Branch, as Canadian Agent and Multicurrency Facility Swing Line Lender (in each case, under, and as defined in, the Second Amended and Restated Credit Agreement) (the “</w:t>
      </w:r>
      <w:r>
        <w:rPr>
          <w:rFonts w:ascii="Arial" w:cs="Arial" w:eastAsia="Arial" w:hAnsi="Arial"/>
          <w:sz w:val="17"/>
          <w:szCs w:val="17"/>
          <w:u w:val="single" w:color="auto"/>
          <w:color w:val="auto"/>
        </w:rPr>
        <w:t>Agency</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Resignation and Appointment Agreement</w:t>
      </w:r>
      <w:r>
        <w:rPr>
          <w:rFonts w:ascii="Arial" w:cs="Arial" w:eastAsia="Arial" w:hAnsi="Arial"/>
          <w:sz w:val="17"/>
          <w:szCs w:val="17"/>
          <w:color w:val="auto"/>
        </w:rPr>
        <w:t>”);</w:t>
      </w:r>
    </w:p>
    <w:p>
      <w:pPr>
        <w:spacing w:after="0" w:line="172" w:lineRule="exact"/>
        <w:rPr>
          <w:sz w:val="20"/>
          <w:szCs w:val="20"/>
          <w:color w:val="auto"/>
        </w:rPr>
      </w:pPr>
    </w:p>
    <w:p>
      <w:pPr>
        <w:ind w:right="520"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Borrowers have requested that the Third Amended and Restated Credit Agreement be amended and restated on the Fourth</w:t>
      </w:r>
      <w:r>
        <w:rPr>
          <w:rFonts w:ascii="Arial" w:cs="Arial" w:eastAsia="Arial" w:hAnsi="Arial"/>
          <w:sz w:val="17"/>
          <w:szCs w:val="17"/>
          <w:b w:val="1"/>
          <w:bCs w:val="1"/>
          <w:color w:val="auto"/>
        </w:rPr>
        <w:t xml:space="preserve"> </w:t>
      </w:r>
      <w:r>
        <w:rPr>
          <w:rFonts w:ascii="Arial" w:cs="Arial" w:eastAsia="Arial" w:hAnsi="Arial"/>
          <w:sz w:val="17"/>
          <w:szCs w:val="17"/>
          <w:color w:val="auto"/>
        </w:rPr>
        <w:t>Restatement Date as set forth herein, which amendment and restatement shall become effective upon the Fourth Restatement Date;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49" w:right="339" w:bottom="1440" w:gutter="0" w:footer="0" w:header="0"/>
        </w:sectPr>
      </w:pPr>
    </w:p>
    <w:bookmarkStart w:id="70" w:name="page71"/>
    <w:bookmarkEnd w:id="70"/>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the intent of the parties hereto that this Agreement not constitute a novation of the obligations and liabilities of the parties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Amended and Restated Credit Agreement and that this Agreement amend and restate in its entirety the Third Amended and Restated Credit Agreement and re-evidence the “Obligations” (under, and as defined in, the Third Amended and Restated Credit Agreement) outstanding on the Fourth Restatement Date as contemplated hereby; and</w:t>
      </w:r>
    </w:p>
    <w:p>
      <w:pPr>
        <w:spacing w:after="0" w:line="18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except as otherwise provided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all Obligations are and shall continue to be secured by all Collateral on which a Lien is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Collateral Agent pursuant to any Loan Document.</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agreements, provisions and covenants herein contained, the parties hereto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amend and restate the Third Amended and Restated Credit Agreement, and the Third Amended and Restated Credit Agreement is hereby amended and restated in its entirety as follows:</w:t>
      </w:r>
    </w:p>
    <w:p>
      <w:pPr>
        <w:spacing w:after="0" w:line="17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ACCOUNTING TERMS</w:t>
      </w:r>
    </w:p>
    <w:p>
      <w:pPr>
        <w:spacing w:after="0" w:line="22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2016 Reorganization</w:t>
      </w:r>
      <w:r>
        <w:rPr>
          <w:rFonts w:ascii="Arial" w:cs="Arial" w:eastAsia="Arial" w:hAnsi="Arial"/>
          <w:sz w:val="16"/>
          <w:szCs w:val="16"/>
          <w:color w:val="auto"/>
        </w:rPr>
        <w:t xml:space="preserve">” means the intercompany transactions among the Borrowers and its Subsidiaries, consummated after the Third Restatement Date and on or before March 31, 2016, reasonably necessary to achieve the restructuring set forth on </w:t>
      </w:r>
      <w:r>
        <w:rPr>
          <w:rFonts w:ascii="Arial" w:cs="Arial" w:eastAsia="Arial" w:hAnsi="Arial"/>
          <w:sz w:val="16"/>
          <w:szCs w:val="16"/>
          <w:u w:val="single" w:color="auto"/>
          <w:color w:val="auto"/>
        </w:rPr>
        <w:t>Schedule 1.01(c)</w:t>
      </w:r>
      <w:r>
        <w:rPr>
          <w:rFonts w:ascii="Arial" w:cs="Arial" w:eastAsia="Arial" w:hAnsi="Arial"/>
          <w:sz w:val="16"/>
          <w:szCs w:val="16"/>
          <w:color w:val="auto"/>
        </w:rPr>
        <w:t xml:space="preserve"> attached hereto.</w:t>
      </w:r>
    </w:p>
    <w:p>
      <w:pPr>
        <w:spacing w:after="0" w:line="12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2016 Reorganization Documents</w:t>
      </w:r>
      <w:r>
        <w:rPr>
          <w:rFonts w:ascii="Arial" w:cs="Arial" w:eastAsia="Arial" w:hAnsi="Arial"/>
          <w:sz w:val="18"/>
          <w:szCs w:val="18"/>
          <w:color w:val="auto"/>
        </w:rPr>
        <w:t>” means, collectively, each document, instrument, certificate and agreement executed and delivered in connection with the 2016 Reorganization.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strike w:val="1"/>
        </w:rPr>
        <w:t>2021</w:t>
      </w:r>
      <w:r>
        <w:rPr>
          <w:rFonts w:ascii="Arial" w:cs="Arial" w:eastAsia="Arial" w:hAnsi="Arial"/>
          <w:sz w:val="18"/>
          <w:szCs w:val="18"/>
          <w:u w:val="single" w:color="auto"/>
          <w:color w:val="auto"/>
        </w:rPr>
        <w:t>*2027* Notes</w:t>
      </w:r>
      <w:r>
        <w:rPr>
          <w:rFonts w:ascii="Arial" w:cs="Arial" w:eastAsia="Arial" w:hAnsi="Arial"/>
          <w:sz w:val="18"/>
          <w:szCs w:val="18"/>
          <w:color w:val="auto"/>
        </w:rPr>
        <w:t>” means the $</w:t>
      </w:r>
      <w:r>
        <w:rPr>
          <w:rFonts w:ascii="Arial" w:cs="Arial" w:eastAsia="Arial" w:hAnsi="Arial"/>
          <w:sz w:val="18"/>
          <w:szCs w:val="18"/>
          <w:color w:val="auto"/>
          <w:strike w:val="1"/>
        </w:rPr>
        <w:t>400,000,000</w:t>
      </w:r>
      <w:r>
        <w:rPr>
          <w:rFonts w:ascii="Arial" w:cs="Arial" w:eastAsia="Arial" w:hAnsi="Arial"/>
          <w:sz w:val="18"/>
          <w:szCs w:val="18"/>
          <w:u w:val="single" w:color="auto"/>
          <w:color w:val="auto"/>
        </w:rPr>
        <w:t>*500,000,000*</w:t>
      </w:r>
      <w:r>
        <w:rPr>
          <w:rFonts w:ascii="Arial" w:cs="Arial" w:eastAsia="Arial" w:hAnsi="Arial"/>
          <w:sz w:val="18"/>
          <w:szCs w:val="18"/>
          <w:color w:val="auto"/>
        </w:rPr>
        <w:t xml:space="preserve"> in aggregate principal amount of the </w:t>
      </w:r>
      <w:r>
        <w:rPr>
          <w:rFonts w:ascii="Arial" w:cs="Arial" w:eastAsia="Arial" w:hAnsi="Arial"/>
          <w:sz w:val="18"/>
          <w:szCs w:val="18"/>
          <w:color w:val="auto"/>
          <w:strike w:val="1"/>
        </w:rPr>
        <w:t>5.250</w:t>
      </w:r>
      <w:r>
        <w:rPr>
          <w:rFonts w:ascii="Arial" w:cs="Arial" w:eastAsia="Arial" w:hAnsi="Arial"/>
          <w:sz w:val="18"/>
          <w:szCs w:val="18"/>
          <w:u w:val="single" w:color="auto"/>
          <w:color w:val="auto"/>
        </w:rPr>
        <w:t>*5.625%*</w:t>
      </w:r>
      <w:r>
        <w:rPr>
          <w:rFonts w:ascii="Arial" w:cs="Arial" w:eastAsia="Arial" w:hAnsi="Arial"/>
          <w:sz w:val="18"/>
          <w:szCs w:val="18"/>
          <w:color w:val="auto"/>
        </w:rPr>
        <w:t xml:space="preserve"> Senior Notes due </w:t>
      </w:r>
      <w:r>
        <w:rPr>
          <w:rFonts w:ascii="Arial" w:cs="Arial" w:eastAsia="Arial" w:hAnsi="Arial"/>
          <w:sz w:val="18"/>
          <w:szCs w:val="18"/>
          <w:color w:val="auto"/>
          <w:strike w:val="1"/>
        </w:rPr>
        <w:t>2021,</w:t>
      </w:r>
      <w:r>
        <w:rPr>
          <w:rFonts w:ascii="Arial" w:cs="Arial" w:eastAsia="Arial" w:hAnsi="Arial"/>
          <w:sz w:val="18"/>
          <w:szCs w:val="18"/>
          <w:u w:val="single" w:color="auto"/>
          <w:color w:val="auto"/>
        </w:rPr>
        <w:t>*2027*,</w:t>
      </w:r>
      <w:r>
        <w:rPr>
          <w:rFonts w:ascii="Arial" w:cs="Arial" w:eastAsia="Arial" w:hAnsi="Arial"/>
          <w:sz w:val="18"/>
          <w:szCs w:val="18"/>
          <w:color w:val="auto"/>
        </w:rPr>
        <w:t xml:space="preserve"> issued by the U.S. Borrower pursuant to the </w:t>
      </w:r>
      <w:r>
        <w:rPr>
          <w:rFonts w:ascii="Arial" w:cs="Arial" w:eastAsia="Arial" w:hAnsi="Arial"/>
          <w:sz w:val="18"/>
          <w:szCs w:val="18"/>
          <w:color w:val="auto"/>
          <w:strike w:val="1"/>
        </w:rPr>
        <w:t>2021</w:t>
      </w:r>
      <w:r>
        <w:rPr>
          <w:rFonts w:ascii="Arial" w:cs="Arial" w:eastAsia="Arial" w:hAnsi="Arial"/>
          <w:sz w:val="18"/>
          <w:szCs w:val="18"/>
          <w:u w:val="single" w:color="auto"/>
          <w:color w:val="auto"/>
        </w:rPr>
        <w:t>*2027*</w:t>
      </w:r>
      <w:r>
        <w:rPr>
          <w:rFonts w:ascii="Arial" w:cs="Arial" w:eastAsia="Arial" w:hAnsi="Arial"/>
          <w:sz w:val="18"/>
          <w:szCs w:val="18"/>
          <w:color w:val="auto"/>
        </w:rPr>
        <w:t xml:space="preserve"> Notes Indenture.</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auto"/>
          <w:strike w:val="1"/>
        </w:rPr>
        <w:t>2021</w:t>
      </w:r>
      <w:r>
        <w:rPr>
          <w:rFonts w:ascii="Arial" w:cs="Arial" w:eastAsia="Arial" w:hAnsi="Arial"/>
          <w:sz w:val="16"/>
          <w:szCs w:val="16"/>
          <w:color w:val="auto"/>
        </w:rPr>
        <w:t xml:space="preserve">*2027* Notes Indenture” means that certain indenture, dated as of </w:t>
      </w:r>
      <w:r>
        <w:rPr>
          <w:rFonts w:ascii="Arial" w:cs="Arial" w:eastAsia="Arial" w:hAnsi="Arial"/>
          <w:sz w:val="16"/>
          <w:szCs w:val="16"/>
          <w:color w:val="auto"/>
          <w:strike w:val="1"/>
        </w:rPr>
        <w:t>August 12, 2013,</w:t>
      </w:r>
      <w:r>
        <w:rPr>
          <w:rFonts w:ascii="Arial" w:cs="Arial" w:eastAsia="Arial" w:hAnsi="Arial"/>
          <w:sz w:val="16"/>
          <w:szCs w:val="16"/>
          <w:u w:val="single" w:color="auto"/>
          <w:color w:val="auto"/>
        </w:rPr>
        <w:t>*March 14, 2019*,</w:t>
      </w:r>
      <w:r>
        <w:rPr>
          <w:rFonts w:ascii="Arial" w:cs="Arial" w:eastAsia="Arial" w:hAnsi="Arial"/>
          <w:sz w:val="16"/>
          <w:szCs w:val="16"/>
          <w:color w:val="auto"/>
        </w:rPr>
        <w:t xml:space="preserve"> among the U.S. Borrower, as issuer, Holdings and the Subsidiary Guarantors, as guarantors, and Wells Fargo Bank, National Association, as trustee, as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-212090</wp:posOffset>
            </wp:positionV>
            <wp:extent cx="1332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0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Consideration</w:t>
      </w:r>
      <w:r>
        <w:rPr>
          <w:rFonts w:ascii="Arial" w:cs="Arial" w:eastAsia="Arial" w:hAnsi="Arial"/>
          <w:sz w:val="17"/>
          <w:szCs w:val="17"/>
          <w:color w:val="auto"/>
        </w:rPr>
        <w:t xml:space="preserve">” means the purchase consideration for any Permitted Acquisition (including, without limitation, Indebtedness assumed by the U.S. Borrower or any of its Restricted Subsidiaries), whether paid in cash or by exchange of Equity Interests or of properties or otherwise and whether payable at or prior to the consummation of such Permitted Acquisition or deferred for payment at any future time, whether or not any such future payment is subject to the occurrence of any contingency, and includes any and all payments representing the purchase price and any assumptions of Indebtedness, “earn-outs” and other similar agreements to make any payment the amount of which is, or the terms of payment of which are, in any respect subject to or contingent upon the revenues, income, cash flow or profits (or the like) of any Person or business acquired in such Permitted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future payment that is subject to a contingency shall not be considered Acquisition Consideration except for any such payment which has become due and payable, at which point such payment shall be deemed Acquisition Consideration.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 its capacity as administrative agent hereunder, and includes any successor administrative agent. It is understood that, without limiting the other provisions of this Agreement, the Administrative Agent may utilize the services of its Affiliates and branches in connection with administrative matters related to this Agreement.</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to the U.S. Borrower and the Lenders.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769" w:right="35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*“Affected Financial Institution” means (a) any EEA Financial Institution or (b) any UK Financial Institution.*</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another Person that directly, or indirectly through one or more intermediaries, Controls or is Controlled by or is under common Control with the Person specified;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7.08</w:t>
      </w:r>
      <w:r>
        <w:rPr>
          <w:rFonts w:ascii="Arial" w:cs="Arial" w:eastAsia="Arial" w:hAnsi="Arial"/>
          <w:sz w:val="18"/>
          <w:szCs w:val="18"/>
          <w:color w:val="auto"/>
        </w:rPr>
        <w:t>, the term “Affiliate” shall also include another Person that directly or indirectly owns more than 10% of the Voting Stock of such Person.</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Charitable Organization</w:t>
      </w:r>
      <w:r>
        <w:rPr>
          <w:rFonts w:ascii="Arial" w:cs="Arial" w:eastAsia="Arial" w:hAnsi="Arial"/>
          <w:sz w:val="18"/>
          <w:szCs w:val="18"/>
          <w:color w:val="auto"/>
        </w:rPr>
        <w:t>” means any charitable organization that is an Affiliate of the U.S. Borrower or any Restricted Subsidiary that meets the requirements of Section 501(c)(3) of the Code to the extent, and only for so long as, such organization is eligible to receive tax-deductible contributions in accordance with Section 170 of the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 Resignation and Appointment Agreement</w:t>
      </w:r>
      <w:r>
        <w:rPr>
          <w:rFonts w:ascii="Arial" w:cs="Arial" w:eastAsia="Arial" w:hAnsi="Arial"/>
          <w:sz w:val="18"/>
          <w:szCs w:val="18"/>
          <w:color w:val="auto"/>
        </w:rPr>
        <w:t>” has the meaning given to such term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10.02(c)</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the Collateral Agent, the Canadian Agent, the European Agent, any Facility Agent and the Arrangers; and “Agent” shall mean any of them.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of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Multicurrency Facility Commitments</w:t>
      </w:r>
      <w:r>
        <w:rPr>
          <w:rFonts w:ascii="Arial" w:cs="Arial" w:eastAsia="Arial" w:hAnsi="Arial"/>
          <w:sz w:val="17"/>
          <w:szCs w:val="17"/>
          <w:color w:val="auto"/>
        </w:rPr>
        <w:t>” means the Multicurrency Facility Commitments of all of the Multicurrency Facility Lenders.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U.S. Dollar Facility Commitments</w:t>
      </w:r>
      <w:r>
        <w:rPr>
          <w:rFonts w:ascii="Arial" w:cs="Arial" w:eastAsia="Arial" w:hAnsi="Arial"/>
          <w:sz w:val="18"/>
          <w:szCs w:val="18"/>
          <w:color w:val="auto"/>
        </w:rPr>
        <w:t>” means the U.S. Dollar Facility Commitments of all of the U.S. Dollar Facility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any currency that is approved in accordance with </w:t>
      </w:r>
      <w:r>
        <w:rPr>
          <w:rFonts w:ascii="Arial" w:cs="Arial" w:eastAsia="Arial" w:hAnsi="Arial"/>
          <w:sz w:val="18"/>
          <w:szCs w:val="18"/>
          <w:u w:val="single" w:color="auto"/>
          <w:color w:val="auto"/>
        </w:rPr>
        <w:t>Section 1.09(a)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Equivalent</w:t>
      </w:r>
      <w:r>
        <w:rPr>
          <w:rFonts w:ascii="Arial" w:cs="Arial" w:eastAsia="Arial" w:hAnsi="Arial"/>
          <w:sz w:val="17"/>
          <w:szCs w:val="17"/>
          <w:color w:val="auto"/>
        </w:rPr>
        <w:t>” means, at any time, with respect to any amount denominated in Dollars, the equivalent amount thereof in the applicable Alternative Currency as determined by the applicable Facility Agent or L/C Issuer, as the case may be, at such time on the basis of the Spot Rate (determined in respect of the most recent Revaluation Date) for the purchase of such Alternative Currency with Dollars.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 Sublimit</w:t>
      </w:r>
      <w:r>
        <w:rPr>
          <w:rFonts w:ascii="Arial" w:cs="Arial" w:eastAsia="Arial" w:hAnsi="Arial"/>
          <w:sz w:val="16"/>
          <w:szCs w:val="16"/>
          <w:color w:val="auto"/>
        </w:rPr>
        <w:t>” means an amount equal to the lesser of the Aggregate Multicurrency Facility Commitments and $100,000,000.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Alternative Currency Sublimit is part of, and not in addition to, the Aggregate Multicurrency Facility Commitments.</w:t>
      </w:r>
    </w:p>
    <w:p>
      <w:pPr>
        <w:spacing w:after="0" w:line="211" w:lineRule="exact"/>
        <w:rPr>
          <w:sz w:val="20"/>
          <w:szCs w:val="20"/>
          <w:color w:val="auto"/>
        </w:rPr>
      </w:pPr>
    </w:p>
    <w:p>
      <w:pPr>
        <w:ind w:right="9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 No. 1</w:t>
      </w:r>
      <w:r>
        <w:rPr>
          <w:rFonts w:ascii="Arial" w:cs="Arial" w:eastAsia="Arial" w:hAnsi="Arial"/>
          <w:sz w:val="17"/>
          <w:szCs w:val="17"/>
          <w:color w:val="auto"/>
        </w:rPr>
        <w:t>” means Amendment No. 1 to this Agreement, dated as of September 21, 2018, by and among the Borrowers, the Administrative Agent, the Collateral Agent, the Canadian Agent, the European Agent and the Lenders party thereto.</w:t>
      </w:r>
    </w:p>
    <w:p>
      <w:pPr>
        <w:spacing w:after="0" w:line="14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u w:val="single" w:color="auto"/>
          <w:color w:val="auto"/>
        </w:rPr>
        <w:t>*“Amendment No. 2” means Amendment No. 2 to this Agreement, dated as of May 4, 2020, by and among the Borrowers, the Administrative Agent, the Collateral Agent, the Canadian Agent, the European Agent and the Lenders party thereto.*</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773" w:right="37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has the meaning assigned to such term in Amendment No.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*“Amendment No. 2 Effective Date” has the meaning assigned to such term in Amendment No. 2.*</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any Borrower or any of its Subsidiaries from time to time concerning or relating to bribery or corruption.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Commitment Fee Rate</w:t>
      </w:r>
      <w:r>
        <w:rPr>
          <w:rFonts w:ascii="Arial" w:cs="Arial" w:eastAsia="Arial" w:hAnsi="Arial"/>
          <w:sz w:val="17"/>
          <w:szCs w:val="17"/>
          <w:color w:val="auto"/>
        </w:rPr>
        <w:t xml:space="preserve">” means a rate equal to (a) from and including the </w:t>
      </w:r>
      <w:r>
        <w:rPr>
          <w:rFonts w:ascii="Arial" w:cs="Arial" w:eastAsia="Arial" w:hAnsi="Arial"/>
          <w:sz w:val="17"/>
          <w:szCs w:val="17"/>
          <w:color w:val="auto"/>
          <w:strike w:val="1"/>
        </w:rPr>
        <w:t>Fourth Restatement</w:t>
      </w:r>
      <w:r>
        <w:rPr>
          <w:rFonts w:ascii="Arial" w:cs="Arial" w:eastAsia="Arial" w:hAnsi="Arial"/>
          <w:sz w:val="17"/>
          <w:szCs w:val="17"/>
          <w:u w:val="single" w:color="auto"/>
          <w:color w:val="auto"/>
        </w:rPr>
        <w:t>*Amendment No. 2 Effective*</w:t>
      </w:r>
      <w:r>
        <w:rPr>
          <w:rFonts w:ascii="Arial" w:cs="Arial" w:eastAsia="Arial" w:hAnsi="Arial"/>
          <w:sz w:val="17"/>
          <w:szCs w:val="17"/>
          <w:color w:val="auto"/>
        </w:rPr>
        <w:t xml:space="preserve"> Date until the delivery of financial statements for the </w:t>
      </w:r>
      <w:r>
        <w:rPr>
          <w:rFonts w:ascii="Arial" w:cs="Arial" w:eastAsia="Arial" w:hAnsi="Arial"/>
          <w:sz w:val="17"/>
          <w:szCs w:val="17"/>
          <w:color w:val="auto"/>
          <w:strike w:val="1"/>
        </w:rPr>
        <w:t>first fiscal quarter ending after the Fourth Restatement Date, 0.20%</w:t>
      </w:r>
      <w:r>
        <w:rPr>
          <w:rFonts w:ascii="Arial" w:cs="Arial" w:eastAsia="Arial" w:hAnsi="Arial"/>
          <w:sz w:val="17"/>
          <w:szCs w:val="17"/>
          <w:color w:val="auto"/>
        </w:rPr>
        <w:t xml:space="preserve"> </w:t>
      </w:r>
      <w:r>
        <w:rPr>
          <w:rFonts w:ascii="Arial" w:cs="Arial" w:eastAsia="Arial" w:hAnsi="Arial"/>
          <w:sz w:val="17"/>
          <w:szCs w:val="17"/>
          <w:u w:val="single" w:color="auto"/>
          <w:color w:val="auto"/>
          <w:strike w:val="1"/>
        </w:rPr>
        <w:t>per annum</w:t>
      </w:r>
      <w:r>
        <w:rPr>
          <w:rFonts w:ascii="Arial" w:cs="Arial" w:eastAsia="Arial" w:hAnsi="Arial"/>
          <w:sz w:val="17"/>
          <w:szCs w:val="17"/>
          <w:color w:val="auto"/>
        </w:rPr>
        <w:t xml:space="preserve"> </w:t>
      </w:r>
      <w:r>
        <w:rPr>
          <w:rFonts w:ascii="Arial" w:cs="Arial" w:eastAsia="Arial" w:hAnsi="Arial"/>
          <w:sz w:val="17"/>
          <w:szCs w:val="17"/>
          <w:color w:val="auto"/>
          <w:strike w:val="1"/>
        </w:rPr>
        <w:t>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*second fiscal quarter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2020 (and the related Compliance Certificate with respect to such quarter pursuant Section 6.02(b)), 0.35% per annum,*</w:t>
      </w:r>
      <w:r>
        <w:rPr>
          <w:rFonts w:ascii="Arial" w:cs="Arial" w:eastAsia="Arial" w:hAnsi="Arial"/>
          <w:sz w:val="17"/>
          <w:szCs w:val="17"/>
          <w:color w:val="auto"/>
        </w:rPr>
        <w:t xml:space="preserve"> (b) thereafter </w:t>
      </w:r>
      <w:r>
        <w:rPr>
          <w:rFonts w:ascii="Arial" w:cs="Arial" w:eastAsia="Arial" w:hAnsi="Arial"/>
          <w:sz w:val="17"/>
          <w:szCs w:val="17"/>
          <w:u w:val="single" w:color="auto"/>
          <w:color w:val="auto"/>
        </w:rPr>
        <w:t>*until the delivery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financial statements and related Compliance Certificate for the last fiscal quarter of the Restricted Period,*</w:t>
      </w:r>
      <w:r>
        <w:rPr>
          <w:rFonts w:ascii="Arial" w:cs="Arial" w:eastAsia="Arial" w:hAnsi="Arial"/>
          <w:sz w:val="17"/>
          <w:szCs w:val="17"/>
          <w:color w:val="auto"/>
        </w:rPr>
        <w:t xml:space="preserve"> a percentage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determined by reference to the Lease Adjusted Leverage Ratio in effect from time to time as set forth below: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8"/>
                <w:szCs w:val="18"/>
                <w:b w:val="1"/>
                <w:bCs w:val="1"/>
                <w:color w:val="auto"/>
                <w:w w:val="89"/>
              </w:rPr>
              <w:t>Lease Adjusted Leverage</w:t>
            </w:r>
          </w:p>
        </w:tc>
        <w:tc>
          <w:tcPr>
            <w:tcW w:w="1000" w:type="dxa"/>
            <w:vAlign w:val="bottom"/>
          </w:tcPr>
          <w:p>
            <w:pPr>
              <w:spacing w:after="0"/>
              <w:rPr>
                <w:sz w:val="17"/>
                <w:szCs w:val="17"/>
                <w:color w:val="auto"/>
              </w:rPr>
            </w:pPr>
          </w:p>
        </w:tc>
        <w:tc>
          <w:tcPr>
            <w:tcW w:w="19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2"/>
              </w:rPr>
              <w:t>Applicable Commitment</w:t>
            </w:r>
          </w:p>
        </w:tc>
        <w:tc>
          <w:tcPr>
            <w:tcW w:w="54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0"/>
              </w:rPr>
              <w:t>Pricing Level</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jc w:val="center"/>
              <w:ind w:right="800"/>
              <w:spacing w:after="0" w:line="196" w:lineRule="exact"/>
              <w:rPr>
                <w:sz w:val="20"/>
                <w:szCs w:val="20"/>
                <w:color w:val="auto"/>
              </w:rPr>
            </w:pPr>
            <w:r>
              <w:rPr>
                <w:rFonts w:ascii="Arial" w:cs="Arial" w:eastAsia="Arial" w:hAnsi="Arial"/>
                <w:sz w:val="18"/>
                <w:szCs w:val="18"/>
                <w:b w:val="1"/>
                <w:bCs w:val="1"/>
                <w:color w:val="auto"/>
                <w:w w:val="93"/>
              </w:rPr>
              <w:t>Ratio</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Fee Rate</w:t>
            </w:r>
          </w:p>
        </w:tc>
      </w:tr>
      <w:tr>
        <w:trPr>
          <w:trHeight w:val="48"/>
        </w:trPr>
        <w:tc>
          <w:tcPr>
            <w:tcW w:w="480" w:type="dxa"/>
            <w:vAlign w:val="bottom"/>
            <w:tcBorders>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gridSpan w:val="2"/>
          </w:tcPr>
          <w:p>
            <w:pPr>
              <w:jc w:val="center"/>
              <w:ind w:right="460"/>
              <w:spacing w:after="0" w:line="196" w:lineRule="exact"/>
              <w:rPr>
                <w:sz w:val="20"/>
                <w:szCs w:val="20"/>
                <w:color w:val="auto"/>
              </w:rPr>
            </w:pPr>
            <w:r>
              <w:rPr>
                <w:rFonts w:ascii="Arial" w:cs="Arial" w:eastAsia="Arial" w:hAnsi="Arial"/>
                <w:sz w:val="18"/>
                <w:szCs w:val="18"/>
                <w:u w:val="single" w:color="auto"/>
                <w:color w:val="auto"/>
              </w:rPr>
              <w:t>I</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jc w:val="center"/>
              <w:ind w:right="580"/>
              <w:spacing w:after="0" w:line="196" w:lineRule="exact"/>
              <w:rPr>
                <w:sz w:val="20"/>
                <w:szCs w:val="20"/>
                <w:color w:val="auto"/>
              </w:rPr>
            </w:pPr>
            <w:r>
              <w:rPr>
                <w:rFonts w:ascii="Arial" w:cs="Arial" w:eastAsia="Arial" w:hAnsi="Arial"/>
                <w:sz w:val="18"/>
                <w:szCs w:val="18"/>
                <w:color w:val="auto"/>
                <w:w w:val="93"/>
              </w:rPr>
              <w:t>≥ 5.00:1.00</w:t>
            </w:r>
          </w:p>
        </w:tc>
        <w:tc>
          <w:tcPr>
            <w:tcW w:w="2300" w:type="dxa"/>
            <w:vAlign w:val="bottom"/>
            <w:gridSpan w:val="5"/>
          </w:tcPr>
          <w:p>
            <w:pPr>
              <w:jc w:val="center"/>
              <w:ind w:left="1550"/>
              <w:spacing w:after="0" w:line="196" w:lineRule="exact"/>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40%</w:t>
            </w: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55"/>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rPr>
              <w:t>II</w:t>
            </w:r>
          </w:p>
        </w:tc>
        <w:tc>
          <w:tcPr>
            <w:tcW w:w="42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84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&lt; 5.00:1.00</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5"/>
          </w:tcPr>
          <w:p>
            <w:pPr>
              <w:jc w:val="center"/>
              <w:ind w:left="1550"/>
              <w:spacing w:after="0"/>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35%</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4"/>
          </w:tcPr>
          <w:p>
            <w:pPr>
              <w:jc w:val="center"/>
              <w:ind w:right="20"/>
              <w:spacing w:after="0" w:line="196" w:lineRule="exact"/>
              <w:rPr>
                <w:sz w:val="20"/>
                <w:szCs w:val="20"/>
                <w:color w:val="auto"/>
              </w:rPr>
            </w:pPr>
            <w:r>
              <w:rPr>
                <w:rFonts w:ascii="Arial" w:cs="Arial" w:eastAsia="Arial" w:hAnsi="Arial"/>
                <w:sz w:val="18"/>
                <w:szCs w:val="18"/>
                <w:color w:val="auto"/>
                <w:w w:val="93"/>
              </w:rPr>
              <w:t>≥ 4.00:1.00</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55"/>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III</w:t>
            </w:r>
          </w:p>
        </w:tc>
        <w:tc>
          <w:tcPr>
            <w:tcW w:w="2360" w:type="dxa"/>
            <w:vAlign w:val="bottom"/>
            <w:gridSpan w:val="6"/>
          </w:tcPr>
          <w:p>
            <w:pPr>
              <w:jc w:val="center"/>
              <w:ind w:left="1410"/>
              <w:spacing w:after="0"/>
              <w:rPr>
                <w:sz w:val="20"/>
                <w:szCs w:val="20"/>
                <w:color w:val="auto"/>
              </w:rPr>
            </w:pPr>
            <w:r>
              <w:rPr>
                <w:rFonts w:ascii="Arial" w:cs="Arial" w:eastAsia="Arial" w:hAnsi="Arial"/>
                <w:sz w:val="18"/>
                <w:szCs w:val="18"/>
                <w:color w:val="auto"/>
                <w:w w:val="90"/>
              </w:rPr>
              <w:t>&lt; 4.00:1.00</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5"/>
          </w:tcPr>
          <w:p>
            <w:pPr>
              <w:jc w:val="center"/>
              <w:ind w:left="1550"/>
              <w:spacing w:after="0"/>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30%</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4"/>
          </w:tcPr>
          <w:p>
            <w:pPr>
              <w:jc w:val="center"/>
              <w:ind w:right="20"/>
              <w:spacing w:after="0" w:line="196" w:lineRule="exact"/>
              <w:rPr>
                <w:sz w:val="20"/>
                <w:szCs w:val="20"/>
                <w:color w:val="auto"/>
              </w:rPr>
            </w:pPr>
            <w:r>
              <w:rPr>
                <w:rFonts w:ascii="Arial" w:cs="Arial" w:eastAsia="Arial" w:hAnsi="Arial"/>
                <w:sz w:val="18"/>
                <w:szCs w:val="18"/>
                <w:color w:val="auto"/>
                <w:w w:val="93"/>
              </w:rPr>
              <w:t>≥ 3.00:1.00</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55"/>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gridSpan w:val="2"/>
          </w:tcPr>
          <w:p>
            <w:pPr>
              <w:jc w:val="center"/>
              <w:ind w:right="420"/>
              <w:spacing w:after="0"/>
              <w:rPr>
                <w:sz w:val="20"/>
                <w:szCs w:val="20"/>
                <w:color w:val="auto"/>
              </w:rPr>
            </w:pPr>
            <w:r>
              <w:rPr>
                <w:rFonts w:ascii="Arial" w:cs="Arial" w:eastAsia="Arial" w:hAnsi="Arial"/>
                <w:sz w:val="18"/>
                <w:szCs w:val="18"/>
                <w:color w:val="auto"/>
                <w:w w:val="82"/>
              </w:rPr>
              <w:t>IV</w:t>
            </w:r>
          </w:p>
        </w:tc>
        <w:tc>
          <w:tcPr>
            <w:tcW w:w="2360" w:type="dxa"/>
            <w:vAlign w:val="bottom"/>
            <w:gridSpan w:val="6"/>
          </w:tcPr>
          <w:p>
            <w:pPr>
              <w:jc w:val="center"/>
              <w:ind w:left="1410"/>
              <w:spacing w:after="0"/>
              <w:rPr>
                <w:sz w:val="20"/>
                <w:szCs w:val="20"/>
                <w:color w:val="auto"/>
              </w:rPr>
            </w:pPr>
            <w:r>
              <w:rPr>
                <w:rFonts w:ascii="Arial" w:cs="Arial" w:eastAsia="Arial" w:hAnsi="Arial"/>
                <w:sz w:val="18"/>
                <w:szCs w:val="18"/>
                <w:color w:val="auto"/>
                <w:w w:val="90"/>
              </w:rPr>
              <w:t>&lt; 3.00:1.00</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5"/>
          </w:tcPr>
          <w:p>
            <w:pPr>
              <w:jc w:val="center"/>
              <w:ind w:left="1550"/>
              <w:spacing w:after="0"/>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25%</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4"/>
          </w:tcPr>
          <w:p>
            <w:pPr>
              <w:jc w:val="center"/>
              <w:ind w:right="20"/>
              <w:spacing w:after="0" w:line="196" w:lineRule="exact"/>
              <w:rPr>
                <w:sz w:val="20"/>
                <w:szCs w:val="20"/>
                <w:color w:val="auto"/>
              </w:rPr>
            </w:pPr>
            <w:r>
              <w:rPr>
                <w:rFonts w:ascii="Arial" w:cs="Arial" w:eastAsia="Arial" w:hAnsi="Arial"/>
                <w:sz w:val="18"/>
                <w:szCs w:val="18"/>
                <w:color w:val="auto"/>
                <w:w w:val="93"/>
              </w:rPr>
              <w:t>≥ 2.50:1.00</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55"/>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V</w:t>
            </w:r>
          </w:p>
        </w:tc>
        <w:tc>
          <w:tcPr>
            <w:tcW w:w="42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84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&lt; 2.50:1.00</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5"/>
          </w:tcPr>
          <w:p>
            <w:pPr>
              <w:jc w:val="center"/>
              <w:ind w:left="1550"/>
              <w:spacing w:after="0"/>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20%</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3"/>
              </w:rPr>
              <w:t>≥ 2.00:1.00</w:t>
            </w:r>
          </w:p>
        </w:tc>
        <w:tc>
          <w:tcPr>
            <w:tcW w:w="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655"/>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gridSpan w:val="2"/>
          </w:tcPr>
          <w:p>
            <w:pPr>
              <w:jc w:val="center"/>
              <w:ind w:right="420"/>
              <w:spacing w:after="0"/>
              <w:rPr>
                <w:sz w:val="20"/>
                <w:szCs w:val="20"/>
                <w:color w:val="auto"/>
              </w:rPr>
            </w:pPr>
            <w:r>
              <w:rPr>
                <w:rFonts w:ascii="Arial" w:cs="Arial" w:eastAsia="Arial" w:hAnsi="Arial"/>
                <w:sz w:val="18"/>
                <w:szCs w:val="18"/>
                <w:color w:val="auto"/>
                <w:w w:val="82"/>
              </w:rPr>
              <w:t>VI</w:t>
            </w:r>
          </w:p>
        </w:tc>
        <w:tc>
          <w:tcPr>
            <w:tcW w:w="2400" w:type="dxa"/>
            <w:vAlign w:val="bottom"/>
            <w:gridSpan w:val="7"/>
          </w:tcPr>
          <w:p>
            <w:pPr>
              <w:jc w:val="center"/>
              <w:ind w:left="1430"/>
              <w:spacing w:after="0"/>
              <w:rPr>
                <w:sz w:val="20"/>
                <w:szCs w:val="20"/>
                <w:color w:val="auto"/>
              </w:rPr>
            </w:pPr>
            <w:r>
              <w:rPr>
                <w:rFonts w:ascii="Arial" w:cs="Arial" w:eastAsia="Arial" w:hAnsi="Arial"/>
                <w:sz w:val="18"/>
                <w:szCs w:val="18"/>
                <w:color w:val="auto"/>
                <w:w w:val="92"/>
              </w:rPr>
              <w:t>&lt; 2.00:1.00</w:t>
            </w:r>
          </w:p>
        </w:tc>
        <w:tc>
          <w:tcPr>
            <w:tcW w:w="560" w:type="dxa"/>
            <w:vAlign w:val="bottom"/>
          </w:tcPr>
          <w:p>
            <w:pPr>
              <w:spacing w:after="0"/>
              <w:rPr>
                <w:sz w:val="24"/>
                <w:szCs w:val="24"/>
                <w:color w:val="auto"/>
              </w:rPr>
            </w:pPr>
          </w:p>
        </w:tc>
        <w:tc>
          <w:tcPr>
            <w:tcW w:w="2300" w:type="dxa"/>
            <w:vAlign w:val="bottom"/>
            <w:gridSpan w:val="5"/>
          </w:tcPr>
          <w:p>
            <w:pPr>
              <w:jc w:val="center"/>
              <w:ind w:left="1550"/>
              <w:spacing w:after="0"/>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15%</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*and (c) thereafter, a percentage per annum determined by reference to the Lease Adjusted Leverage Ratio in effect from time to time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below:*</w:t>
      </w:r>
    </w:p>
    <w:p>
      <w:pPr>
        <w:spacing w:after="0" w:line="369"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Lease Adjusted Leverage</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2"/>
              </w:rPr>
              <w:t>Applicable Commitment</w:t>
            </w:r>
          </w:p>
        </w:tc>
      </w:tr>
      <w:tr>
        <w:trPr>
          <w:trHeight w:val="234"/>
        </w:trPr>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3"/>
              </w:rPr>
              <w:t>Ratio</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87"/>
              </w:rPr>
              <w:t>Fee Rate</w:t>
            </w:r>
          </w:p>
        </w:tc>
      </w:tr>
      <w:tr>
        <w:trPr>
          <w:trHeight w:val="27"/>
        </w:trPr>
        <w:tc>
          <w:tcPr>
            <w:tcW w:w="19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6"/>
        </w:trPr>
        <w:tc>
          <w:tcPr>
            <w:tcW w:w="1980" w:type="dxa"/>
            <w:vAlign w:val="bottom"/>
          </w:tcPr>
          <w:p>
            <w:pPr>
              <w:jc w:val="center"/>
              <w:spacing w:after="0"/>
              <w:rPr>
                <w:sz w:val="20"/>
                <w:szCs w:val="20"/>
                <w:color w:val="auto"/>
              </w:rPr>
            </w:pPr>
            <w:r>
              <w:rPr>
                <w:rFonts w:ascii="Arial" w:cs="Arial" w:eastAsia="Arial" w:hAnsi="Arial"/>
                <w:sz w:val="18"/>
                <w:szCs w:val="18"/>
                <w:color w:val="auto"/>
              </w:rPr>
              <w:t>I</w:t>
            </w: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 3.00:1.00</w:t>
            </w: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0.30%</w:t>
            </w:r>
          </w:p>
        </w:tc>
      </w:tr>
      <w:tr>
        <w:trPr>
          <w:trHeight w:val="661"/>
        </w:trPr>
        <w:tc>
          <w:tcPr>
            <w:tcW w:w="1980" w:type="dxa"/>
            <w:vAlign w:val="bottom"/>
          </w:tcPr>
          <w:p>
            <w:pPr>
              <w:jc w:val="center"/>
              <w:spacing w:after="0"/>
              <w:rPr>
                <w:sz w:val="20"/>
                <w:szCs w:val="20"/>
                <w:color w:val="auto"/>
              </w:rPr>
            </w:pPr>
            <w:r>
              <w:rPr>
                <w:rFonts w:ascii="Arial" w:cs="Arial" w:eastAsia="Arial" w:hAnsi="Arial"/>
                <w:sz w:val="18"/>
                <w:szCs w:val="18"/>
                <w:color w:val="auto"/>
              </w:rPr>
              <w:t>II</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&lt; 3.00:1.00</w:t>
            </w: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30"/>
        </w:trPr>
        <w:tc>
          <w:tcPr>
            <w:tcW w:w="19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 2.50:1.00</w:t>
            </w:r>
          </w:p>
        </w:tc>
        <w:tc>
          <w:tcPr>
            <w:tcW w:w="3000" w:type="dxa"/>
            <w:vAlign w:val="bottom"/>
          </w:tcPr>
          <w:p>
            <w:pPr>
              <w:spacing w:after="0"/>
              <w:rPr>
                <w:sz w:val="20"/>
                <w:szCs w:val="20"/>
                <w:color w:val="auto"/>
              </w:rPr>
            </w:pPr>
          </w:p>
        </w:tc>
      </w:tr>
      <w:tr>
        <w:trPr>
          <w:trHeight w:val="661"/>
        </w:trPr>
        <w:tc>
          <w:tcPr>
            <w:tcW w:w="1980" w:type="dxa"/>
            <w:vAlign w:val="bottom"/>
          </w:tcPr>
          <w:p>
            <w:pPr>
              <w:jc w:val="center"/>
              <w:spacing w:after="0"/>
              <w:rPr>
                <w:sz w:val="20"/>
                <w:szCs w:val="20"/>
                <w:color w:val="auto"/>
              </w:rPr>
            </w:pPr>
            <w:r>
              <w:rPr>
                <w:rFonts w:ascii="Arial" w:cs="Arial" w:eastAsia="Arial" w:hAnsi="Arial"/>
                <w:sz w:val="18"/>
                <w:szCs w:val="18"/>
                <w:color w:val="auto"/>
              </w:rPr>
              <w:t>III</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&lt; 2.50:1.00</w:t>
            </w: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0.20%</w:t>
            </w:r>
          </w:p>
        </w:tc>
      </w:tr>
      <w:tr>
        <w:trPr>
          <w:trHeight w:val="230"/>
        </w:trPr>
        <w:tc>
          <w:tcPr>
            <w:tcW w:w="19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 2.00:1.00</w:t>
            </w:r>
          </w:p>
        </w:tc>
        <w:tc>
          <w:tcPr>
            <w:tcW w:w="3000" w:type="dxa"/>
            <w:vAlign w:val="bottom"/>
          </w:tcPr>
          <w:p>
            <w:pPr>
              <w:spacing w:after="0"/>
              <w:rPr>
                <w:sz w:val="20"/>
                <w:szCs w:val="20"/>
                <w:color w:val="auto"/>
              </w:rPr>
            </w:pPr>
          </w:p>
        </w:tc>
      </w:tr>
      <w:tr>
        <w:trPr>
          <w:trHeight w:val="675"/>
        </w:trPr>
        <w:tc>
          <w:tcPr>
            <w:tcW w:w="1980" w:type="dxa"/>
            <w:vAlign w:val="bottom"/>
          </w:tcPr>
          <w:p>
            <w:pPr>
              <w:jc w:val="center"/>
              <w:spacing w:after="0"/>
              <w:rPr>
                <w:sz w:val="20"/>
                <w:szCs w:val="20"/>
                <w:color w:val="auto"/>
              </w:rPr>
            </w:pPr>
            <w:r>
              <w:rPr>
                <w:rFonts w:ascii="Arial" w:cs="Arial" w:eastAsia="Arial" w:hAnsi="Arial"/>
                <w:sz w:val="18"/>
                <w:szCs w:val="18"/>
                <w:color w:val="auto"/>
              </w:rPr>
              <w:t>IV</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&lt; 2.00:1.00</w:t>
            </w: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0.15%</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Any increase or decrease in the Applicable Commitment Fee Rate resulting from a change in the Lease Adjusted Leverage Ratio shall become effective as of the first Business Day immediately following the date a Compliance Certificate is delivered with respect to the financial statements for the most recently ended fiscal quarter</w:t>
      </w:r>
    </w:p>
    <w:p>
      <w:pPr>
        <w:sectPr>
          <w:pgSz w:w="11900" w:h="16838" w:orient="portrait"/>
          <w:cols w:equalWidth="0" w:num="1">
            <w:col w:w="11240"/>
          </w:cols>
          <w:pgMar w:left="320" w:top="773" w:right="339" w:bottom="204"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773" w:right="339" w:bottom="204" w:gutter="0" w:footer="0" w:header="0"/>
          <w:type w:val="continuous"/>
        </w:sectPr>
      </w:pPr>
    </w:p>
    <w:bookmarkStart w:id="73" w:name="page74"/>
    <w:bookmarkEnd w:id="73"/>
    <w:p>
      <w:pPr>
        <w:ind w:right="80"/>
        <w:spacing w:after="0" w:line="311" w:lineRule="auto"/>
        <w:rPr>
          <w:sz w:val="20"/>
          <w:szCs w:val="20"/>
          <w:color w:val="auto"/>
        </w:rPr>
      </w:pPr>
      <w:r>
        <w:rPr>
          <w:rFonts w:ascii="Arial" w:cs="Arial" w:eastAsia="Arial" w:hAnsi="Arial"/>
          <w:sz w:val="16"/>
          <w:szCs w:val="16"/>
          <w:color w:val="auto"/>
        </w:rPr>
        <w:t xml:space="preserve">or fiscal year, as applicable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and be based on the Lease Adjusted Leverage Ratio set forth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Compliance Certificate is not delivered when due in accordance with such Section, then the Pricing Level I set forth in the table above shall apply as of the first Business Day after the date on which such Compliance Certificate was required to have been delivered until the Compliance Certificate is delivered.</w:t>
      </w:r>
    </w:p>
    <w:p>
      <w:pPr>
        <w:spacing w:after="0" w:line="14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If, at a time when this Agreement is in effect or any unpaid Obligations are outstanding (other than indemnities and other contingent obligations not yet due and payable), as a result of any restatement of or other adjustment to the financial statements of the U.S. Borrower or Holdings or for any other reason, the U.S. Borrower or the Required Lenders determine that (i) the Lease Adjusted Leverage Ratio as calculated by the U.S. Borrower or Holdings as of any applicable date was inaccurate and (ii) a proper calculation of the Lease Adjusted Leverage Ratio would have resulted in higher pricing for such period, each applicable Borrower shall immediately and retroactively be obligated to pay to the applicable Facility Agent, for the account of the applicable Lenders promptly on demand by each applicable Facility Agent (or, after the occurrence of an actual or deemed entry of an order for relief with respect to the U.S. Borrower under the Bankruptcy Code of the United States, automatically and without further action by such Facility Agent or any Lender), an amount equal to the excess of the amount of fees that should have been paid for such period over the amount of fees actually paid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inaccuracy shall not in any event be deemed retroactively to be a Default or Event of Default pursuant to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if such amount is paid promptly on demand as set forth above. This paragraph shall not limit the rights of the Administrative Agent, the applicable Facility Agent or any Lender, as the case may be, under </w:t>
      </w:r>
      <w:r>
        <w:rPr>
          <w:rFonts w:ascii="Arial" w:cs="Arial" w:eastAsia="Arial" w:hAnsi="Arial"/>
          <w:sz w:val="17"/>
          <w:szCs w:val="17"/>
          <w:u w:val="single" w:color="auto"/>
          <w:color w:val="auto"/>
        </w:rPr>
        <w:t>Section 2.08(b)</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8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u w:val="single" w:color="auto"/>
          <w:color w:val="auto"/>
        </w:rPr>
        <w:t>*For the avoidance of doubt, with respect to any determination of commitment fees pursuant to Section 2.09(a) accruing for the period commencing with the first day of the second fiscal quarter of 2020 and prior to the Amendment No. 2 Effective Date, the Applicable Commitment Fee Rate in effect immediately prior to the Amendment No. 2 Effective Date shall be applicable.*</w:t>
      </w:r>
    </w:p>
    <w:p>
      <w:pPr>
        <w:spacing w:after="0" w:line="184"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xml:space="preserve">” means (i) from and including the </w:t>
      </w:r>
      <w:r>
        <w:rPr>
          <w:rFonts w:ascii="Arial" w:cs="Arial" w:eastAsia="Arial" w:hAnsi="Arial"/>
          <w:sz w:val="17"/>
          <w:szCs w:val="17"/>
          <w:color w:val="auto"/>
          <w:strike w:val="1"/>
        </w:rPr>
        <w:t>Fourth Restatement</w:t>
      </w:r>
      <w:r>
        <w:rPr>
          <w:rFonts w:ascii="Arial" w:cs="Arial" w:eastAsia="Arial" w:hAnsi="Arial"/>
          <w:sz w:val="17"/>
          <w:szCs w:val="17"/>
          <w:u w:val="single" w:color="auto"/>
          <w:color w:val="auto"/>
        </w:rPr>
        <w:t>*Amendment No. 2 Effective*</w:t>
      </w:r>
      <w:r>
        <w:rPr>
          <w:rFonts w:ascii="Arial" w:cs="Arial" w:eastAsia="Arial" w:hAnsi="Arial"/>
          <w:sz w:val="17"/>
          <w:szCs w:val="17"/>
          <w:color w:val="auto"/>
        </w:rPr>
        <w:t xml:space="preserve"> Date until the delivery of financial statements for the </w:t>
      </w:r>
      <w:r>
        <w:rPr>
          <w:rFonts w:ascii="Arial" w:cs="Arial" w:eastAsia="Arial" w:hAnsi="Arial"/>
          <w:sz w:val="17"/>
          <w:szCs w:val="17"/>
          <w:color w:val="auto"/>
          <w:strike w:val="1"/>
        </w:rPr>
        <w:t>first fiscal quarter ending after the Fourth Restatement Date, (A) 0.375</w:t>
      </w:r>
      <w:r>
        <w:rPr>
          <w:rFonts w:ascii="Arial" w:cs="Arial" w:eastAsia="Arial" w:hAnsi="Arial"/>
          <w:sz w:val="17"/>
          <w:szCs w:val="17"/>
          <w:u w:val="single" w:color="auto"/>
          <w:color w:val="auto"/>
        </w:rPr>
        <w:t>*second fiscal quarter of 2020 (and the related Compliance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 with respect to such quarter pursuant Section 6.02(b)), (A) 1.125%*</w:t>
      </w:r>
      <w:r>
        <w:rPr>
          <w:rFonts w:ascii="Arial" w:cs="Arial" w:eastAsia="Arial" w:hAnsi="Arial"/>
          <w:sz w:val="17"/>
          <w:szCs w:val="17"/>
          <w:color w:val="auto"/>
        </w:rPr>
        <w:t xml:space="preserve"> with respect to Loans that are Base Rate Loans, Canadian U.S. Base Rate Loans or Canadian Prime Rate Loans and </w:t>
      </w:r>
      <w:r>
        <w:rPr>
          <w:rFonts w:ascii="Arial" w:cs="Arial" w:eastAsia="Arial" w:hAnsi="Arial"/>
          <w:sz w:val="17"/>
          <w:szCs w:val="17"/>
          <w:color w:val="auto"/>
          <w:strike w:val="1"/>
        </w:rPr>
        <w:t>0.6875</w:t>
      </w:r>
      <w:r>
        <w:rPr>
          <w:rFonts w:ascii="Arial" w:cs="Arial" w:eastAsia="Arial" w:hAnsi="Arial"/>
          <w:sz w:val="17"/>
          <w:szCs w:val="17"/>
          <w:u w:val="single" w:color="auto"/>
          <w:color w:val="auto"/>
        </w:rPr>
        <w:t>*1.0625%*</w:t>
      </w:r>
      <w:r>
        <w:rPr>
          <w:rFonts w:ascii="Arial" w:cs="Arial" w:eastAsia="Arial" w:hAnsi="Arial"/>
          <w:sz w:val="17"/>
          <w:szCs w:val="17"/>
          <w:color w:val="auto"/>
        </w:rPr>
        <w:t xml:space="preserve"> with respect to commercial Letters of Credit and (B) </w:t>
      </w:r>
      <w:r>
        <w:rPr>
          <w:rFonts w:ascii="Arial" w:cs="Arial" w:eastAsia="Arial" w:hAnsi="Arial"/>
          <w:sz w:val="17"/>
          <w:szCs w:val="17"/>
          <w:color w:val="auto"/>
          <w:strike w:val="1"/>
        </w:rPr>
        <w:t>1.375</w:t>
      </w:r>
      <w:r>
        <w:rPr>
          <w:rFonts w:ascii="Arial" w:cs="Arial" w:eastAsia="Arial" w:hAnsi="Arial"/>
          <w:sz w:val="17"/>
          <w:szCs w:val="17"/>
          <w:u w:val="single" w:color="auto"/>
          <w:color w:val="auto"/>
        </w:rPr>
        <w:t>*2.125%*</w:t>
      </w:r>
      <w:r>
        <w:rPr>
          <w:rFonts w:ascii="Arial" w:cs="Arial" w:eastAsia="Arial" w:hAnsi="Arial"/>
          <w:sz w:val="17"/>
          <w:szCs w:val="17"/>
          <w:color w:val="auto"/>
        </w:rPr>
        <w:t xml:space="preserve"> with respect to Loans that are Eurodollar Rate Loans or Overnight LIBO Rate Loans and standby Letters of Credit </w:t>
      </w:r>
      <w:r>
        <w:rPr>
          <w:rFonts w:ascii="Arial" w:cs="Arial" w:eastAsia="Arial" w:hAnsi="Arial"/>
          <w:sz w:val="17"/>
          <w:szCs w:val="17"/>
          <w:color w:val="auto"/>
          <w:strike w:val="1"/>
        </w:rPr>
        <w:t>and</w:t>
      </w:r>
      <w:r>
        <w:rPr>
          <w:rFonts w:ascii="Arial" w:cs="Arial" w:eastAsia="Arial" w:hAnsi="Arial"/>
          <w:sz w:val="17"/>
          <w:szCs w:val="17"/>
          <w:u w:val="single" w:color="auto"/>
          <w:color w:val="auto"/>
        </w:rPr>
        <w:t>,</w:t>
      </w:r>
      <w:r>
        <w:rPr>
          <w:rFonts w:ascii="Arial" w:cs="Arial" w:eastAsia="Arial" w:hAnsi="Arial"/>
          <w:sz w:val="17"/>
          <w:szCs w:val="17"/>
          <w:color w:val="auto"/>
        </w:rPr>
        <w:t xml:space="preserve"> (ii) thereafter </w:t>
      </w:r>
      <w:r>
        <w:rPr>
          <w:rFonts w:ascii="Arial" w:cs="Arial" w:eastAsia="Arial" w:hAnsi="Arial"/>
          <w:sz w:val="17"/>
          <w:szCs w:val="17"/>
          <w:u w:val="single" w:color="auto"/>
          <w:color w:val="auto"/>
        </w:rPr>
        <w:t>*until the delivery of financial statements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related Compliance Certificate for the last fiscal quarter of the Restricted Period,*</w:t>
      </w:r>
      <w:r>
        <w:rPr>
          <w:rFonts w:ascii="Arial" w:cs="Arial" w:eastAsia="Arial" w:hAnsi="Arial"/>
          <w:sz w:val="17"/>
          <w:szCs w:val="17"/>
          <w:color w:val="auto"/>
        </w:rPr>
        <w:t xml:space="preserve"> a percentage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determined by reference to the Lease Adjusted Leverage Ratio in effect from time to time as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5"/>
              </w:rPr>
              <w:t>Applicable Rate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Base Rate Loans, Canadian U.S.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Eurodollar Rate Loans,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80" w:type="dxa"/>
            <w:vAlign w:val="bottom"/>
            <w:gridSpan w:val="8"/>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Pricing Level</w:t>
            </w:r>
          </w:p>
        </w:tc>
        <w:tc>
          <w:tcPr>
            <w:tcW w:w="2100" w:type="dxa"/>
            <w:vAlign w:val="bottom"/>
            <w:gridSpan w:val="8"/>
            <w:vMerge w:val="restart"/>
          </w:tcPr>
          <w:p>
            <w:pPr>
              <w:jc w:val="center"/>
              <w:ind w:right="180"/>
              <w:spacing w:after="0"/>
              <w:rPr>
                <w:sz w:val="20"/>
                <w:szCs w:val="20"/>
                <w:color w:val="auto"/>
              </w:rPr>
            </w:pPr>
            <w:r>
              <w:rPr>
                <w:rFonts w:ascii="Arial" w:cs="Arial" w:eastAsia="Arial" w:hAnsi="Arial"/>
                <w:sz w:val="14"/>
                <w:szCs w:val="14"/>
                <w:b w:val="1"/>
                <w:bCs w:val="1"/>
                <w:color w:val="auto"/>
                <w:w w:val="92"/>
              </w:rPr>
              <w:t>Lease Adjusted Leverage Ratio</w:t>
            </w:r>
          </w:p>
        </w:tc>
        <w:tc>
          <w:tcPr>
            <w:tcW w:w="1960" w:type="dxa"/>
            <w:vAlign w:val="bottom"/>
            <w:gridSpan w:val="5"/>
          </w:tcPr>
          <w:p>
            <w:pPr>
              <w:jc w:val="center"/>
              <w:ind w:right="40"/>
              <w:spacing w:after="0" w:line="129" w:lineRule="exact"/>
              <w:rPr>
                <w:sz w:val="20"/>
                <w:szCs w:val="20"/>
                <w:color w:val="auto"/>
              </w:rPr>
            </w:pPr>
            <w:r>
              <w:rPr>
                <w:rFonts w:ascii="Arial" w:cs="Arial" w:eastAsia="Arial" w:hAnsi="Arial"/>
                <w:sz w:val="14"/>
                <w:szCs w:val="14"/>
                <w:b w:val="1"/>
                <w:bCs w:val="1"/>
                <w:color w:val="auto"/>
                <w:w w:val="92"/>
              </w:rPr>
              <w:t>Base Rate Loans and Canadian</w:t>
            </w:r>
          </w:p>
        </w:tc>
        <w:tc>
          <w:tcPr>
            <w:tcW w:w="80" w:type="dxa"/>
            <w:vAlign w:val="bottom"/>
            <w:vMerge w:val="continue"/>
          </w:tcPr>
          <w:p>
            <w:pPr>
              <w:spacing w:after="0"/>
              <w:rPr>
                <w:sz w:val="11"/>
                <w:szCs w:val="11"/>
                <w:color w:val="auto"/>
              </w:rPr>
            </w:pPr>
          </w:p>
        </w:tc>
        <w:tc>
          <w:tcPr>
            <w:tcW w:w="204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94"/>
              </w:rPr>
              <w:t>Commercial Letters of Credit</w:t>
            </w: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76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5"/>
              </w:rPr>
              <w:t>Overnight LIBO Rate Loans</w:t>
            </w:r>
          </w:p>
        </w:tc>
        <w:tc>
          <w:tcPr>
            <w:tcW w:w="0" w:type="dxa"/>
            <w:vAlign w:val="bottom"/>
          </w:tcPr>
          <w:p>
            <w:pPr>
              <w:spacing w:after="0"/>
              <w:rPr>
                <w:sz w:val="1"/>
                <w:szCs w:val="1"/>
                <w:color w:val="auto"/>
              </w:rPr>
            </w:pPr>
          </w:p>
        </w:tc>
      </w:tr>
      <w:tr>
        <w:trPr>
          <w:trHeight w:val="128"/>
        </w:trPr>
        <w:tc>
          <w:tcPr>
            <w:tcW w:w="2180" w:type="dxa"/>
            <w:vAlign w:val="bottom"/>
            <w:gridSpan w:val="8"/>
            <w:vMerge w:val="continue"/>
          </w:tcPr>
          <w:p>
            <w:pPr>
              <w:spacing w:after="0"/>
              <w:rPr>
                <w:sz w:val="11"/>
                <w:szCs w:val="11"/>
                <w:color w:val="auto"/>
              </w:rPr>
            </w:pPr>
          </w:p>
        </w:tc>
        <w:tc>
          <w:tcPr>
            <w:tcW w:w="2100" w:type="dxa"/>
            <w:vAlign w:val="bottom"/>
            <w:gridSpan w:val="8"/>
            <w:vMerge w:val="continue"/>
          </w:tcPr>
          <w:p>
            <w:pPr>
              <w:spacing w:after="0"/>
              <w:rPr>
                <w:sz w:val="11"/>
                <w:szCs w:val="11"/>
                <w:color w:val="auto"/>
              </w:rPr>
            </w:pPr>
          </w:p>
        </w:tc>
        <w:tc>
          <w:tcPr>
            <w:tcW w:w="1960" w:type="dxa"/>
            <w:vAlign w:val="bottom"/>
            <w:tcBorders>
              <w:top w:val="single" w:sz="8" w:color="auto"/>
            </w:tcBorders>
            <w:gridSpan w:val="5"/>
          </w:tcPr>
          <w:p>
            <w:pPr>
              <w:jc w:val="center"/>
              <w:ind w:right="40"/>
              <w:spacing w:after="0" w:line="129" w:lineRule="exact"/>
              <w:rPr>
                <w:sz w:val="20"/>
                <w:szCs w:val="20"/>
                <w:color w:val="auto"/>
              </w:rPr>
            </w:pPr>
            <w:r>
              <w:rPr>
                <w:rFonts w:ascii="Arial" w:cs="Arial" w:eastAsia="Arial" w:hAnsi="Arial"/>
                <w:sz w:val="14"/>
                <w:szCs w:val="14"/>
                <w:b w:val="1"/>
                <w:bCs w:val="1"/>
                <w:color w:val="auto"/>
                <w:w w:val="94"/>
              </w:rPr>
              <w:t>Prime Rate Loans</w:t>
            </w:r>
          </w:p>
        </w:tc>
        <w:tc>
          <w:tcPr>
            <w:tcW w:w="80" w:type="dxa"/>
            <w:vAlign w:val="bottom"/>
          </w:tcPr>
          <w:p>
            <w:pPr>
              <w:spacing w:after="0"/>
              <w:rPr>
                <w:sz w:val="11"/>
                <w:szCs w:val="11"/>
                <w:color w:val="auto"/>
              </w:rPr>
            </w:pPr>
          </w:p>
        </w:tc>
        <w:tc>
          <w:tcPr>
            <w:tcW w:w="204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6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90"/>
              </w:rPr>
              <w:t>and standby Letters of Credit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4"/>
            <w:vMerge w:val="restart"/>
          </w:tcPr>
          <w:p>
            <w:pPr>
              <w:jc w:val="center"/>
              <w:ind w:right="1080"/>
              <w:spacing w:after="0"/>
              <w:rPr>
                <w:sz w:val="20"/>
                <w:szCs w:val="20"/>
                <w:color w:val="auto"/>
              </w:rPr>
            </w:pPr>
            <w:r>
              <w:rPr>
                <w:rFonts w:ascii="Arial" w:cs="Arial" w:eastAsia="Arial" w:hAnsi="Arial"/>
                <w:sz w:val="18"/>
                <w:szCs w:val="18"/>
                <w:u w:val="single" w:color="auto"/>
                <w:color w:val="auto"/>
              </w:rPr>
              <w:t>I</w:t>
            </w:r>
          </w:p>
        </w:tc>
        <w:tc>
          <w:tcPr>
            <w:tcW w:w="1040" w:type="dxa"/>
            <w:vAlign w:val="bottom"/>
            <w:gridSpan w:val="4"/>
          </w:tcPr>
          <w:p>
            <w:pPr>
              <w:jc w:val="center"/>
              <w:ind w:left="773"/>
              <w:spacing w:after="0" w:line="196" w:lineRule="exact"/>
              <w:rPr>
                <w:sz w:val="20"/>
                <w:szCs w:val="20"/>
                <w:color w:val="auto"/>
              </w:rPr>
            </w:pPr>
            <w:r>
              <w:rPr>
                <w:rFonts w:ascii="Arial" w:cs="Arial" w:eastAsia="Arial" w:hAnsi="Arial"/>
                <w:sz w:val="18"/>
                <w:szCs w:val="18"/>
                <w:color w:val="auto"/>
                <w:w w:val="94"/>
              </w:rPr>
              <w:t>&gt;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4"/>
            <w:vMerge w:val="restart"/>
          </w:tcPr>
          <w:p>
            <w:pPr>
              <w:jc w:val="center"/>
              <w:ind w:left="316"/>
              <w:spacing w:after="0"/>
              <w:rPr>
                <w:sz w:val="20"/>
                <w:szCs w:val="20"/>
                <w:color w:val="auto"/>
              </w:rPr>
            </w:pPr>
            <w:r>
              <w:rPr>
                <w:rFonts w:ascii="Arial" w:cs="Arial" w:eastAsia="Arial" w:hAnsi="Arial"/>
                <w:sz w:val="18"/>
                <w:szCs w:val="18"/>
                <w:color w:val="auto"/>
                <w:w w:val="91"/>
              </w:rPr>
              <w:t>1.</w:t>
            </w:r>
            <w:r>
              <w:rPr>
                <w:rFonts w:ascii="Arial" w:cs="Arial" w:eastAsia="Arial" w:hAnsi="Arial"/>
                <w:sz w:val="18"/>
                <w:szCs w:val="18"/>
                <w:u w:val="single" w:color="auto"/>
                <w:color w:val="auto"/>
                <w:w w:val="91"/>
              </w:rPr>
              <w:t>375%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5"/>
            <w:vMerge w:val="restart"/>
          </w:tcPr>
          <w:p>
            <w:pPr>
              <w:jc w:val="center"/>
              <w:ind w:left="413"/>
              <w:spacing w:after="0"/>
              <w:rPr>
                <w:sz w:val="20"/>
                <w:szCs w:val="20"/>
                <w:color w:val="auto"/>
              </w:rPr>
            </w:pPr>
            <w:r>
              <w:rPr>
                <w:rFonts w:ascii="Arial" w:cs="Arial" w:eastAsia="Arial" w:hAnsi="Arial"/>
                <w:sz w:val="18"/>
                <w:szCs w:val="18"/>
                <w:color w:val="auto"/>
                <w:w w:val="90"/>
              </w:rPr>
              <w:t>1.</w:t>
            </w:r>
            <w:r>
              <w:rPr>
                <w:rFonts w:ascii="Arial" w:cs="Arial" w:eastAsia="Arial" w:hAnsi="Arial"/>
                <w:sz w:val="18"/>
                <w:szCs w:val="18"/>
                <w:u w:val="single" w:color="auto"/>
                <w:color w:val="auto"/>
                <w:w w:val="90"/>
              </w:rPr>
              <w:t>1875%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6"/>
            <w:vMerge w:val="restart"/>
          </w:tcPr>
          <w:p>
            <w:pPr>
              <w:jc w:val="center"/>
              <w:ind w:left="230"/>
              <w:spacing w:after="0"/>
              <w:rPr>
                <w:sz w:val="20"/>
                <w:szCs w:val="20"/>
                <w:color w:val="auto"/>
              </w:rPr>
            </w:pPr>
            <w:r>
              <w:rPr>
                <w:rFonts w:ascii="Arial" w:cs="Arial" w:eastAsia="Arial" w:hAnsi="Arial"/>
                <w:sz w:val="18"/>
                <w:szCs w:val="18"/>
                <w:color w:val="auto"/>
                <w:w w:val="91"/>
              </w:rPr>
              <w:t>2.</w:t>
            </w:r>
            <w:r>
              <w:rPr>
                <w:rFonts w:ascii="Arial" w:cs="Arial" w:eastAsia="Arial" w:hAnsi="Arial"/>
                <w:sz w:val="18"/>
                <w:szCs w:val="18"/>
                <w:u w:val="single" w:color="auto"/>
                <w:color w:val="auto"/>
                <w:w w:val="91"/>
              </w:rPr>
              <w:t>375%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620" w:type="dxa"/>
            <w:vAlign w:val="bottom"/>
            <w:gridSpan w:val="2"/>
            <w:vMerge w:val="restart"/>
          </w:tcPr>
          <w:p>
            <w:pPr>
              <w:spacing w:after="0"/>
              <w:rPr>
                <w:sz w:val="7"/>
                <w:szCs w:val="7"/>
                <w:color w:val="auto"/>
              </w:rPr>
            </w:pPr>
          </w:p>
        </w:tc>
        <w:tc>
          <w:tcPr>
            <w:tcW w:w="700" w:type="dxa"/>
            <w:vAlign w:val="bottom"/>
            <w:gridSpan w:val="4"/>
            <w:vMerge w:val="restart"/>
          </w:tcPr>
          <w:p>
            <w:pPr>
              <w:jc w:val="center"/>
              <w:ind w:right="20"/>
              <w:spacing w:after="0" w:line="196" w:lineRule="exact"/>
              <w:rPr>
                <w:sz w:val="20"/>
                <w:szCs w:val="20"/>
                <w:color w:val="auto"/>
              </w:rPr>
            </w:pPr>
            <w:r>
              <w:rPr>
                <w:rFonts w:ascii="Arial" w:cs="Arial" w:eastAsia="Arial" w:hAnsi="Arial"/>
                <w:sz w:val="18"/>
                <w:szCs w:val="18"/>
                <w:color w:val="auto"/>
                <w:w w:val="90"/>
              </w:rPr>
              <w:t>5.</w:t>
            </w:r>
            <w:r>
              <w:rPr>
                <w:rFonts w:ascii="Arial" w:cs="Arial" w:eastAsia="Arial" w:hAnsi="Arial"/>
                <w:sz w:val="18"/>
                <w:szCs w:val="18"/>
                <w:u w:val="single" w:color="auto"/>
                <w:color w:val="auto"/>
                <w:w w:val="90"/>
              </w:rPr>
              <w:t>00:1.00</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420" w:type="dxa"/>
            <w:vAlign w:val="bottom"/>
            <w:tcBorders>
              <w:top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4"/>
              </w:rPr>
              <w:t>&lt;</w:t>
            </w: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4"/>
            <w:vMerge w:val="restart"/>
          </w:tcPr>
          <w:p>
            <w:pPr>
              <w:jc w:val="center"/>
              <w:ind w:right="1060"/>
              <w:spacing w:after="0"/>
              <w:rPr>
                <w:sz w:val="20"/>
                <w:szCs w:val="20"/>
                <w:color w:val="auto"/>
              </w:rPr>
            </w:pPr>
            <w:r>
              <w:rPr>
                <w:rFonts w:ascii="Arial" w:cs="Arial" w:eastAsia="Arial" w:hAnsi="Arial"/>
                <w:sz w:val="18"/>
                <w:szCs w:val="18"/>
                <w:color w:val="auto"/>
              </w:rPr>
              <w:t>II</w:t>
            </w:r>
          </w:p>
        </w:tc>
        <w:tc>
          <w:tcPr>
            <w:tcW w:w="600" w:type="dxa"/>
            <w:vAlign w:val="bottom"/>
          </w:tcPr>
          <w:p>
            <w:pPr>
              <w:spacing w:after="0"/>
              <w:rPr>
                <w:sz w:val="17"/>
                <w:szCs w:val="17"/>
                <w:color w:val="auto"/>
              </w:rPr>
            </w:pPr>
          </w:p>
        </w:tc>
        <w:tc>
          <w:tcPr>
            <w:tcW w:w="700" w:type="dxa"/>
            <w:vAlign w:val="bottom"/>
            <w:tcBorders>
              <w:bottom w:val="single" w:sz="8" w:color="auto"/>
            </w:tcBorders>
            <w:gridSpan w:val="4"/>
          </w:tcPr>
          <w:p>
            <w:pPr>
              <w:jc w:val="center"/>
              <w:ind w:right="20"/>
              <w:spacing w:after="0" w:line="196" w:lineRule="exact"/>
              <w:rPr>
                <w:sz w:val="20"/>
                <w:szCs w:val="20"/>
                <w:color w:val="auto"/>
              </w:rPr>
            </w:pPr>
            <w:r>
              <w:rPr>
                <w:rFonts w:ascii="Arial" w:cs="Arial" w:eastAsia="Arial" w:hAnsi="Arial"/>
                <w:sz w:val="18"/>
                <w:szCs w:val="18"/>
                <w:color w:val="auto"/>
                <w:w w:val="90"/>
              </w:rPr>
              <w:t>5.</w:t>
            </w:r>
            <w:r>
              <w:rPr>
                <w:rFonts w:ascii="Arial" w:cs="Arial" w:eastAsia="Arial" w:hAnsi="Arial"/>
                <w:sz w:val="18"/>
                <w:szCs w:val="18"/>
                <w:u w:val="single" w:color="auto"/>
                <w:color w:val="auto"/>
                <w:w w:val="90"/>
              </w:rPr>
              <w:t>00:1.00</w:t>
            </w:r>
          </w:p>
        </w:tc>
        <w:tc>
          <w:tcPr>
            <w:tcW w:w="2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4"/>
            <w:vMerge w:val="restart"/>
          </w:tcPr>
          <w:p>
            <w:pPr>
              <w:jc w:val="center"/>
              <w:ind w:left="316"/>
              <w:spacing w:after="0"/>
              <w:rPr>
                <w:sz w:val="20"/>
                <w:szCs w:val="20"/>
                <w:color w:val="auto"/>
              </w:rPr>
            </w:pPr>
            <w:r>
              <w:rPr>
                <w:rFonts w:ascii="Arial" w:cs="Arial" w:eastAsia="Arial" w:hAnsi="Arial"/>
                <w:sz w:val="18"/>
                <w:szCs w:val="18"/>
                <w:color w:val="auto"/>
                <w:w w:val="91"/>
              </w:rPr>
              <w:t>1.</w:t>
            </w:r>
            <w:r>
              <w:rPr>
                <w:rFonts w:ascii="Arial" w:cs="Arial" w:eastAsia="Arial" w:hAnsi="Arial"/>
                <w:sz w:val="18"/>
                <w:szCs w:val="18"/>
                <w:u w:val="single" w:color="auto"/>
                <w:color w:val="auto"/>
                <w:w w:val="91"/>
              </w:rPr>
              <w:t>125%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5"/>
            <w:vMerge w:val="restart"/>
          </w:tcPr>
          <w:p>
            <w:pPr>
              <w:jc w:val="center"/>
              <w:ind w:left="413"/>
              <w:spacing w:after="0"/>
              <w:rPr>
                <w:sz w:val="20"/>
                <w:szCs w:val="20"/>
                <w:color w:val="auto"/>
              </w:rPr>
            </w:pPr>
            <w:r>
              <w:rPr>
                <w:rFonts w:ascii="Arial" w:cs="Arial" w:eastAsia="Arial" w:hAnsi="Arial"/>
                <w:sz w:val="18"/>
                <w:szCs w:val="18"/>
                <w:color w:val="auto"/>
                <w:w w:val="90"/>
              </w:rPr>
              <w:t>1.</w:t>
            </w:r>
            <w:r>
              <w:rPr>
                <w:rFonts w:ascii="Arial" w:cs="Arial" w:eastAsia="Arial" w:hAnsi="Arial"/>
                <w:sz w:val="18"/>
                <w:szCs w:val="18"/>
                <w:u w:val="single" w:color="auto"/>
                <w:color w:val="auto"/>
                <w:w w:val="90"/>
              </w:rPr>
              <w:t>0625%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6"/>
            <w:vMerge w:val="restart"/>
          </w:tcPr>
          <w:p>
            <w:pPr>
              <w:jc w:val="center"/>
              <w:ind w:left="230"/>
              <w:spacing w:after="0"/>
              <w:rPr>
                <w:sz w:val="20"/>
                <w:szCs w:val="20"/>
                <w:color w:val="auto"/>
              </w:rPr>
            </w:pPr>
            <w:r>
              <w:rPr>
                <w:rFonts w:ascii="Arial" w:cs="Arial" w:eastAsia="Arial" w:hAnsi="Arial"/>
                <w:sz w:val="18"/>
                <w:szCs w:val="18"/>
                <w:color w:val="auto"/>
                <w:w w:val="91"/>
              </w:rPr>
              <w:t>2.</w:t>
            </w:r>
            <w:r>
              <w:rPr>
                <w:rFonts w:ascii="Arial" w:cs="Arial" w:eastAsia="Arial" w:hAnsi="Arial"/>
                <w:sz w:val="18"/>
                <w:szCs w:val="18"/>
                <w:u w:val="single" w:color="auto"/>
                <w:color w:val="auto"/>
                <w:w w:val="91"/>
              </w:rPr>
              <w:t>125%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1040" w:type="dxa"/>
            <w:vAlign w:val="bottom"/>
            <w:gridSpan w:val="4"/>
            <w:vMerge w:val="restart"/>
          </w:tcPr>
          <w:p>
            <w:pPr>
              <w:jc w:val="center"/>
              <w:ind w:left="773"/>
              <w:spacing w:after="0" w:line="196" w:lineRule="exact"/>
              <w:rPr>
                <w:sz w:val="20"/>
                <w:szCs w:val="20"/>
                <w:color w:val="auto"/>
              </w:rPr>
            </w:pPr>
            <w:r>
              <w:rPr>
                <w:rFonts w:ascii="Arial" w:cs="Arial" w:eastAsia="Arial" w:hAnsi="Arial"/>
                <w:sz w:val="18"/>
                <w:szCs w:val="18"/>
                <w:color w:val="auto"/>
                <w:w w:val="94"/>
              </w:rPr>
              <w:t>&gt;</w:t>
            </w: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700" w:type="dxa"/>
            <w:vAlign w:val="bottom"/>
            <w:gridSpan w:val="4"/>
          </w:tcPr>
          <w:p>
            <w:pPr>
              <w:jc w:val="center"/>
              <w:ind w:right="20"/>
              <w:spacing w:after="0" w:line="196" w:lineRule="exact"/>
              <w:rPr>
                <w:sz w:val="20"/>
                <w:szCs w:val="20"/>
                <w:color w:val="auto"/>
              </w:rPr>
            </w:pPr>
            <w:r>
              <w:rPr>
                <w:rFonts w:ascii="Arial" w:cs="Arial" w:eastAsia="Arial" w:hAnsi="Arial"/>
                <w:sz w:val="18"/>
                <w:szCs w:val="18"/>
                <w:color w:val="auto"/>
                <w:w w:val="90"/>
              </w:rPr>
              <w:t>4.</w:t>
            </w:r>
            <w:r>
              <w:rPr>
                <w:rFonts w:ascii="Arial" w:cs="Arial" w:eastAsia="Arial" w:hAnsi="Arial"/>
                <w:sz w:val="18"/>
                <w:szCs w:val="18"/>
                <w:u w:val="single" w:color="auto"/>
                <w:color w:val="auto"/>
                <w:w w:val="90"/>
              </w:rPr>
              <w:t>00:1.00</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420" w:type="dxa"/>
            <w:vAlign w:val="bottom"/>
            <w:tcBorders>
              <w:top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4"/>
              </w:rPr>
              <w:t>&lt;</w:t>
            </w: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6"/>
            <w:vMerge w:val="restart"/>
          </w:tcPr>
          <w:p>
            <w:pPr>
              <w:jc w:val="center"/>
              <w:ind w:right="1040"/>
              <w:spacing w:after="0"/>
              <w:rPr>
                <w:sz w:val="20"/>
                <w:szCs w:val="20"/>
                <w:color w:val="auto"/>
              </w:rPr>
            </w:pPr>
            <w:r>
              <w:rPr>
                <w:rFonts w:ascii="Arial" w:cs="Arial" w:eastAsia="Arial" w:hAnsi="Arial"/>
                <w:sz w:val="18"/>
                <w:szCs w:val="18"/>
                <w:color w:val="auto"/>
              </w:rPr>
              <w:t>III</w:t>
            </w:r>
          </w:p>
        </w:tc>
        <w:tc>
          <w:tcPr>
            <w:tcW w:w="600" w:type="dxa"/>
            <w:vAlign w:val="bottom"/>
          </w:tcPr>
          <w:p>
            <w:pPr>
              <w:spacing w:after="0"/>
              <w:rPr>
                <w:sz w:val="17"/>
                <w:szCs w:val="17"/>
                <w:color w:val="auto"/>
              </w:rPr>
            </w:pPr>
          </w:p>
        </w:tc>
        <w:tc>
          <w:tcPr>
            <w:tcW w:w="700" w:type="dxa"/>
            <w:vAlign w:val="bottom"/>
            <w:tcBorders>
              <w:bottom w:val="single" w:sz="8" w:color="auto"/>
            </w:tcBorders>
            <w:gridSpan w:val="4"/>
          </w:tcPr>
          <w:p>
            <w:pPr>
              <w:jc w:val="center"/>
              <w:ind w:right="20"/>
              <w:spacing w:after="0" w:line="196" w:lineRule="exact"/>
              <w:rPr>
                <w:sz w:val="20"/>
                <w:szCs w:val="20"/>
                <w:color w:val="auto"/>
              </w:rPr>
            </w:pPr>
            <w:r>
              <w:rPr>
                <w:rFonts w:ascii="Arial" w:cs="Arial" w:eastAsia="Arial" w:hAnsi="Arial"/>
                <w:sz w:val="18"/>
                <w:szCs w:val="18"/>
                <w:color w:val="auto"/>
                <w:w w:val="90"/>
              </w:rPr>
              <w:t>4.</w:t>
            </w:r>
            <w:r>
              <w:rPr>
                <w:rFonts w:ascii="Arial" w:cs="Arial" w:eastAsia="Arial" w:hAnsi="Arial"/>
                <w:sz w:val="18"/>
                <w:szCs w:val="18"/>
                <w:u w:val="single" w:color="auto"/>
                <w:color w:val="auto"/>
                <w:w w:val="90"/>
              </w:rPr>
              <w:t>00:1.00</w:t>
            </w:r>
          </w:p>
        </w:tc>
        <w:tc>
          <w:tcPr>
            <w:tcW w:w="2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4"/>
            <w:vMerge w:val="restart"/>
          </w:tcPr>
          <w:p>
            <w:pPr>
              <w:jc w:val="center"/>
              <w:ind w:left="316"/>
              <w:spacing w:after="0"/>
              <w:rPr>
                <w:sz w:val="20"/>
                <w:szCs w:val="20"/>
                <w:color w:val="auto"/>
              </w:rPr>
            </w:pPr>
            <w:r>
              <w:rPr>
                <w:rFonts w:ascii="Arial" w:cs="Arial" w:eastAsia="Arial" w:hAnsi="Arial"/>
                <w:sz w:val="18"/>
                <w:szCs w:val="18"/>
                <w:color w:val="auto"/>
                <w:w w:val="91"/>
              </w:rPr>
              <w:t>0.</w:t>
            </w:r>
            <w:r>
              <w:rPr>
                <w:rFonts w:ascii="Arial" w:cs="Arial" w:eastAsia="Arial" w:hAnsi="Arial"/>
                <w:sz w:val="18"/>
                <w:szCs w:val="18"/>
                <w:u w:val="single" w:color="auto"/>
                <w:color w:val="auto"/>
                <w:w w:val="91"/>
              </w:rPr>
              <w:t>875%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5"/>
            <w:vMerge w:val="restart"/>
          </w:tcPr>
          <w:p>
            <w:pPr>
              <w:jc w:val="center"/>
              <w:ind w:left="413"/>
              <w:spacing w:after="0"/>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9375%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6"/>
            <w:vMerge w:val="restart"/>
          </w:tcPr>
          <w:p>
            <w:pPr>
              <w:jc w:val="center"/>
              <w:ind w:left="230"/>
              <w:spacing w:after="0"/>
              <w:rPr>
                <w:sz w:val="20"/>
                <w:szCs w:val="20"/>
                <w:color w:val="auto"/>
              </w:rPr>
            </w:pPr>
            <w:r>
              <w:rPr>
                <w:rFonts w:ascii="Arial" w:cs="Arial" w:eastAsia="Arial" w:hAnsi="Arial"/>
                <w:sz w:val="18"/>
                <w:szCs w:val="18"/>
                <w:color w:val="auto"/>
                <w:w w:val="91"/>
              </w:rPr>
              <w:t>1.</w:t>
            </w:r>
            <w:r>
              <w:rPr>
                <w:rFonts w:ascii="Arial" w:cs="Arial" w:eastAsia="Arial" w:hAnsi="Arial"/>
                <w:sz w:val="18"/>
                <w:szCs w:val="18"/>
                <w:u w:val="single" w:color="auto"/>
                <w:color w:val="auto"/>
                <w:w w:val="91"/>
              </w:rPr>
              <w:t>875%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6"/>
            <w:vMerge w:val="continue"/>
          </w:tcPr>
          <w:p>
            <w:pPr>
              <w:spacing w:after="0"/>
              <w:rPr>
                <w:sz w:val="7"/>
                <w:szCs w:val="7"/>
                <w:color w:val="auto"/>
              </w:rPr>
            </w:pPr>
          </w:p>
        </w:tc>
        <w:tc>
          <w:tcPr>
            <w:tcW w:w="1040" w:type="dxa"/>
            <w:vAlign w:val="bottom"/>
            <w:gridSpan w:val="4"/>
            <w:vMerge w:val="restart"/>
          </w:tcPr>
          <w:p>
            <w:pPr>
              <w:jc w:val="center"/>
              <w:ind w:left="773"/>
              <w:spacing w:after="0" w:line="196" w:lineRule="exact"/>
              <w:rPr>
                <w:sz w:val="20"/>
                <w:szCs w:val="20"/>
                <w:color w:val="auto"/>
              </w:rPr>
            </w:pPr>
            <w:r>
              <w:rPr>
                <w:rFonts w:ascii="Arial" w:cs="Arial" w:eastAsia="Arial" w:hAnsi="Arial"/>
                <w:sz w:val="18"/>
                <w:szCs w:val="18"/>
                <w:color w:val="auto"/>
                <w:w w:val="94"/>
              </w:rPr>
              <w:t>&gt;</w:t>
            </w: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700" w:type="dxa"/>
            <w:vAlign w:val="bottom"/>
            <w:gridSpan w:val="4"/>
          </w:tcPr>
          <w:p>
            <w:pPr>
              <w:jc w:val="center"/>
              <w:ind w:right="20"/>
              <w:spacing w:after="0" w:line="196" w:lineRule="exact"/>
              <w:rPr>
                <w:sz w:val="20"/>
                <w:szCs w:val="20"/>
                <w:color w:val="auto"/>
              </w:rPr>
            </w:pPr>
            <w:r>
              <w:rPr>
                <w:rFonts w:ascii="Arial" w:cs="Arial" w:eastAsia="Arial" w:hAnsi="Arial"/>
                <w:sz w:val="18"/>
                <w:szCs w:val="18"/>
                <w:color w:val="auto"/>
                <w:w w:val="90"/>
              </w:rPr>
              <w:t>3.</w:t>
            </w:r>
            <w:r>
              <w:rPr>
                <w:rFonts w:ascii="Arial" w:cs="Arial" w:eastAsia="Arial" w:hAnsi="Arial"/>
                <w:sz w:val="18"/>
                <w:szCs w:val="18"/>
                <w:u w:val="single" w:color="auto"/>
                <w:color w:val="auto"/>
                <w:w w:val="90"/>
              </w:rPr>
              <w:t>00:1.00</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420" w:type="dxa"/>
            <w:vAlign w:val="bottom"/>
            <w:tcBorders>
              <w:top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4"/>
              </w:rPr>
              <w:t>&lt;</w:t>
            </w: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6"/>
          </w:tcPr>
          <w:p>
            <w:pPr>
              <w:jc w:val="center"/>
              <w:ind w:right="1040"/>
              <w:spacing w:after="0"/>
              <w:rPr>
                <w:sz w:val="20"/>
                <w:szCs w:val="20"/>
                <w:color w:val="auto"/>
              </w:rPr>
            </w:pPr>
            <w:r>
              <w:rPr>
                <w:rFonts w:ascii="Arial" w:cs="Arial" w:eastAsia="Arial" w:hAnsi="Arial"/>
                <w:sz w:val="18"/>
                <w:szCs w:val="18"/>
                <w:color w:val="auto"/>
              </w:rPr>
              <w:t>IV</w:t>
            </w:r>
          </w:p>
        </w:tc>
        <w:tc>
          <w:tcPr>
            <w:tcW w:w="1300" w:type="dxa"/>
            <w:vAlign w:val="bottom"/>
            <w:gridSpan w:val="5"/>
          </w:tcPr>
          <w:p>
            <w:pPr>
              <w:jc w:val="center"/>
              <w:ind w:left="493"/>
              <w:spacing w:after="0"/>
              <w:rPr>
                <w:sz w:val="20"/>
                <w:szCs w:val="20"/>
                <w:color w:val="auto"/>
              </w:rPr>
            </w:pPr>
            <w:r>
              <w:rPr>
                <w:rFonts w:ascii="Arial" w:cs="Arial" w:eastAsia="Arial" w:hAnsi="Arial"/>
                <w:sz w:val="18"/>
                <w:szCs w:val="18"/>
                <w:color w:val="auto"/>
                <w:w w:val="90"/>
              </w:rPr>
              <w:t>3.</w:t>
            </w:r>
            <w:r>
              <w:rPr>
                <w:rFonts w:ascii="Arial" w:cs="Arial" w:eastAsia="Arial" w:hAnsi="Arial"/>
                <w:sz w:val="18"/>
                <w:szCs w:val="18"/>
                <w:u w:val="single" w:color="auto"/>
                <w:color w:val="auto"/>
                <w:w w:val="90"/>
              </w:rPr>
              <w:t>00:1.00</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4"/>
          </w:tcPr>
          <w:p>
            <w:pPr>
              <w:jc w:val="center"/>
              <w:ind w:left="316"/>
              <w:spacing w:after="0"/>
              <w:rPr>
                <w:sz w:val="20"/>
                <w:szCs w:val="20"/>
                <w:color w:val="auto"/>
              </w:rPr>
            </w:pPr>
            <w:r>
              <w:rPr>
                <w:rFonts w:ascii="Arial" w:cs="Arial" w:eastAsia="Arial" w:hAnsi="Arial"/>
                <w:sz w:val="18"/>
                <w:szCs w:val="18"/>
                <w:color w:val="auto"/>
                <w:w w:val="91"/>
              </w:rPr>
              <w:t>0.</w:t>
            </w:r>
            <w:r>
              <w:rPr>
                <w:rFonts w:ascii="Arial" w:cs="Arial" w:eastAsia="Arial" w:hAnsi="Arial"/>
                <w:sz w:val="18"/>
                <w:szCs w:val="18"/>
                <w:u w:val="single" w:color="auto"/>
                <w:color w:val="auto"/>
                <w:w w:val="91"/>
              </w:rPr>
              <w:t>625%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tcPr>
          <w:p>
            <w:pPr>
              <w:jc w:val="center"/>
              <w:ind w:left="413"/>
              <w:spacing w:after="0"/>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8125%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6"/>
          </w:tcPr>
          <w:p>
            <w:pPr>
              <w:jc w:val="center"/>
              <w:ind w:left="230"/>
              <w:spacing w:after="0"/>
              <w:rPr>
                <w:sz w:val="20"/>
                <w:szCs w:val="20"/>
                <w:color w:val="auto"/>
              </w:rPr>
            </w:pPr>
            <w:r>
              <w:rPr>
                <w:rFonts w:ascii="Arial" w:cs="Arial" w:eastAsia="Arial" w:hAnsi="Arial"/>
                <w:sz w:val="18"/>
                <w:szCs w:val="18"/>
                <w:color w:val="auto"/>
                <w:w w:val="91"/>
              </w:rPr>
              <w:t>1.</w:t>
            </w:r>
            <w:r>
              <w:rPr>
                <w:rFonts w:ascii="Arial" w:cs="Arial" w:eastAsia="Arial" w:hAnsi="Arial"/>
                <w:sz w:val="18"/>
                <w:szCs w:val="18"/>
                <w:u w:val="single" w:color="auto"/>
                <w:color w:val="auto"/>
                <w:w w:val="91"/>
              </w:rPr>
              <w:t>625%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Borders>
              <w:top w:val="single" w:sz="8" w:color="auto"/>
            </w:tcBorders>
            <w:gridSpan w:val="3"/>
          </w:tcPr>
          <w:p>
            <w:pPr>
              <w:jc w:val="center"/>
              <w:ind w:left="170"/>
              <w:spacing w:after="0" w:line="196" w:lineRule="exact"/>
              <w:rPr>
                <w:sz w:val="20"/>
                <w:szCs w:val="20"/>
                <w:color w:val="auto"/>
              </w:rPr>
            </w:pPr>
            <w:r>
              <w:rPr>
                <w:rFonts w:ascii="Arial" w:cs="Arial" w:eastAsia="Arial" w:hAnsi="Arial"/>
                <w:sz w:val="18"/>
                <w:szCs w:val="18"/>
                <w:color w:val="auto"/>
                <w:w w:val="94"/>
              </w:rPr>
              <w:t>&gt;</w:t>
            </w: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700" w:type="dxa"/>
            <w:vAlign w:val="bottom"/>
            <w:gridSpan w:val="4"/>
          </w:tcPr>
          <w:p>
            <w:pPr>
              <w:jc w:val="center"/>
              <w:ind w:right="20"/>
              <w:spacing w:after="0" w:line="196" w:lineRule="exact"/>
              <w:rPr>
                <w:sz w:val="20"/>
                <w:szCs w:val="20"/>
                <w:color w:val="auto"/>
              </w:rPr>
            </w:pPr>
            <w:r>
              <w:rPr>
                <w:rFonts w:ascii="Arial" w:cs="Arial" w:eastAsia="Arial" w:hAnsi="Arial"/>
                <w:sz w:val="18"/>
                <w:szCs w:val="18"/>
                <w:color w:val="auto"/>
                <w:w w:val="90"/>
              </w:rPr>
              <w:t>2.</w:t>
            </w:r>
            <w:r>
              <w:rPr>
                <w:rFonts w:ascii="Arial" w:cs="Arial" w:eastAsia="Arial" w:hAnsi="Arial"/>
                <w:sz w:val="18"/>
                <w:szCs w:val="18"/>
                <w:u w:val="single" w:color="auto"/>
                <w:color w:val="auto"/>
                <w:w w:val="90"/>
              </w:rPr>
              <w:t>50:1.00</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420" w:type="dxa"/>
            <w:vAlign w:val="bottom"/>
            <w:tcBorders>
              <w:top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4"/>
              </w:rPr>
              <w:t>&lt;</w:t>
            </w: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6"/>
            <w:vMerge w:val="restart"/>
          </w:tcPr>
          <w:p>
            <w:pPr>
              <w:jc w:val="center"/>
              <w:ind w:right="1040"/>
              <w:spacing w:after="0"/>
              <w:rPr>
                <w:sz w:val="20"/>
                <w:szCs w:val="20"/>
                <w:color w:val="auto"/>
              </w:rPr>
            </w:pPr>
            <w:r>
              <w:rPr>
                <w:rFonts w:ascii="Arial" w:cs="Arial" w:eastAsia="Arial" w:hAnsi="Arial"/>
                <w:sz w:val="18"/>
                <w:szCs w:val="18"/>
                <w:color w:val="auto"/>
              </w:rPr>
              <w:t>V</w:t>
            </w:r>
          </w:p>
        </w:tc>
        <w:tc>
          <w:tcPr>
            <w:tcW w:w="600" w:type="dxa"/>
            <w:vAlign w:val="bottom"/>
          </w:tcPr>
          <w:p>
            <w:pPr>
              <w:spacing w:after="0"/>
              <w:rPr>
                <w:sz w:val="17"/>
                <w:szCs w:val="17"/>
                <w:color w:val="auto"/>
              </w:rPr>
            </w:pPr>
          </w:p>
        </w:tc>
        <w:tc>
          <w:tcPr>
            <w:tcW w:w="700" w:type="dxa"/>
            <w:vAlign w:val="bottom"/>
            <w:tcBorders>
              <w:bottom w:val="single" w:sz="8" w:color="auto"/>
            </w:tcBorders>
            <w:gridSpan w:val="4"/>
          </w:tcPr>
          <w:p>
            <w:pPr>
              <w:jc w:val="center"/>
              <w:ind w:right="20"/>
              <w:spacing w:after="0" w:line="196" w:lineRule="exact"/>
              <w:rPr>
                <w:sz w:val="20"/>
                <w:szCs w:val="20"/>
                <w:color w:val="auto"/>
              </w:rPr>
            </w:pPr>
            <w:r>
              <w:rPr>
                <w:rFonts w:ascii="Arial" w:cs="Arial" w:eastAsia="Arial" w:hAnsi="Arial"/>
                <w:sz w:val="18"/>
                <w:szCs w:val="18"/>
                <w:color w:val="auto"/>
                <w:w w:val="90"/>
              </w:rPr>
              <w:t>2.</w:t>
            </w:r>
            <w:r>
              <w:rPr>
                <w:rFonts w:ascii="Arial" w:cs="Arial" w:eastAsia="Arial" w:hAnsi="Arial"/>
                <w:sz w:val="18"/>
                <w:szCs w:val="18"/>
                <w:u w:val="single" w:color="auto"/>
                <w:color w:val="auto"/>
                <w:w w:val="90"/>
              </w:rPr>
              <w:t>50:1.00</w:t>
            </w:r>
          </w:p>
        </w:tc>
        <w:tc>
          <w:tcPr>
            <w:tcW w:w="2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4"/>
            <w:vMerge w:val="restart"/>
          </w:tcPr>
          <w:p>
            <w:pPr>
              <w:jc w:val="center"/>
              <w:ind w:left="316"/>
              <w:spacing w:after="0"/>
              <w:rPr>
                <w:sz w:val="20"/>
                <w:szCs w:val="20"/>
                <w:color w:val="auto"/>
              </w:rPr>
            </w:pPr>
            <w:r>
              <w:rPr>
                <w:rFonts w:ascii="Arial" w:cs="Arial" w:eastAsia="Arial" w:hAnsi="Arial"/>
                <w:sz w:val="18"/>
                <w:szCs w:val="18"/>
                <w:color w:val="auto"/>
                <w:w w:val="91"/>
              </w:rPr>
              <w:t>0.</w:t>
            </w:r>
            <w:r>
              <w:rPr>
                <w:rFonts w:ascii="Arial" w:cs="Arial" w:eastAsia="Arial" w:hAnsi="Arial"/>
                <w:sz w:val="18"/>
                <w:szCs w:val="18"/>
                <w:u w:val="single" w:color="auto"/>
                <w:color w:val="auto"/>
                <w:w w:val="91"/>
              </w:rPr>
              <w:t>375%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5"/>
            <w:vMerge w:val="restart"/>
          </w:tcPr>
          <w:p>
            <w:pPr>
              <w:jc w:val="center"/>
              <w:ind w:left="413"/>
              <w:spacing w:after="0"/>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6875%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6"/>
            <w:vMerge w:val="restart"/>
          </w:tcPr>
          <w:p>
            <w:pPr>
              <w:jc w:val="center"/>
              <w:ind w:left="230"/>
              <w:spacing w:after="0"/>
              <w:rPr>
                <w:sz w:val="20"/>
                <w:szCs w:val="20"/>
                <w:color w:val="auto"/>
              </w:rPr>
            </w:pPr>
            <w:r>
              <w:rPr>
                <w:rFonts w:ascii="Arial" w:cs="Arial" w:eastAsia="Arial" w:hAnsi="Arial"/>
                <w:sz w:val="18"/>
                <w:szCs w:val="18"/>
                <w:color w:val="auto"/>
                <w:w w:val="91"/>
              </w:rPr>
              <w:t>1.</w:t>
            </w:r>
            <w:r>
              <w:rPr>
                <w:rFonts w:ascii="Arial" w:cs="Arial" w:eastAsia="Arial" w:hAnsi="Arial"/>
                <w:sz w:val="18"/>
                <w:szCs w:val="18"/>
                <w:u w:val="single" w:color="auto"/>
                <w:color w:val="auto"/>
                <w:w w:val="91"/>
              </w:rPr>
              <w:t>375%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6"/>
            <w:vMerge w:val="continue"/>
          </w:tcPr>
          <w:p>
            <w:pPr>
              <w:spacing w:after="0"/>
              <w:rPr>
                <w:sz w:val="7"/>
                <w:szCs w:val="7"/>
                <w:color w:val="auto"/>
              </w:rPr>
            </w:pPr>
          </w:p>
        </w:tc>
        <w:tc>
          <w:tcPr>
            <w:tcW w:w="1040" w:type="dxa"/>
            <w:vAlign w:val="bottom"/>
            <w:gridSpan w:val="4"/>
            <w:vMerge w:val="restart"/>
          </w:tcPr>
          <w:p>
            <w:pPr>
              <w:jc w:val="center"/>
              <w:ind w:left="773"/>
              <w:spacing w:after="0" w:line="196" w:lineRule="exact"/>
              <w:rPr>
                <w:sz w:val="20"/>
                <w:szCs w:val="20"/>
                <w:color w:val="auto"/>
              </w:rPr>
            </w:pPr>
            <w:r>
              <w:rPr>
                <w:rFonts w:ascii="Arial" w:cs="Arial" w:eastAsia="Arial" w:hAnsi="Arial"/>
                <w:sz w:val="18"/>
                <w:szCs w:val="18"/>
                <w:color w:val="auto"/>
                <w:w w:val="94"/>
              </w:rPr>
              <w:t>&gt;</w:t>
            </w: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700" w:type="dxa"/>
            <w:vAlign w:val="bottom"/>
            <w:gridSpan w:val="4"/>
          </w:tcPr>
          <w:p>
            <w:pPr>
              <w:jc w:val="center"/>
              <w:ind w:right="20"/>
              <w:spacing w:after="0" w:line="196" w:lineRule="exact"/>
              <w:rPr>
                <w:sz w:val="20"/>
                <w:szCs w:val="20"/>
                <w:color w:val="auto"/>
              </w:rPr>
            </w:pPr>
            <w:r>
              <w:rPr>
                <w:rFonts w:ascii="Arial" w:cs="Arial" w:eastAsia="Arial" w:hAnsi="Arial"/>
                <w:sz w:val="18"/>
                <w:szCs w:val="18"/>
                <w:color w:val="auto"/>
                <w:w w:val="90"/>
              </w:rPr>
              <w:t>2.</w:t>
            </w:r>
            <w:r>
              <w:rPr>
                <w:rFonts w:ascii="Arial" w:cs="Arial" w:eastAsia="Arial" w:hAnsi="Arial"/>
                <w:sz w:val="18"/>
                <w:szCs w:val="18"/>
                <w:u w:val="single" w:color="auto"/>
                <w:color w:val="auto"/>
                <w:w w:val="90"/>
              </w:rPr>
              <w:t>00:1.00</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6"/>
            <w:vMerge w:val="restart"/>
          </w:tcPr>
          <w:p>
            <w:pPr>
              <w:jc w:val="center"/>
              <w:ind w:right="1040"/>
              <w:spacing w:after="0"/>
              <w:rPr>
                <w:sz w:val="20"/>
                <w:szCs w:val="20"/>
                <w:color w:val="auto"/>
              </w:rPr>
            </w:pPr>
            <w:r>
              <w:rPr>
                <w:rFonts w:ascii="Arial" w:cs="Arial" w:eastAsia="Arial" w:hAnsi="Arial"/>
                <w:sz w:val="18"/>
                <w:szCs w:val="18"/>
                <w:color w:val="auto"/>
              </w:rPr>
              <w:t>VI</w:t>
            </w:r>
          </w:p>
        </w:tc>
        <w:tc>
          <w:tcPr>
            <w:tcW w:w="620" w:type="dxa"/>
            <w:vAlign w:val="bottom"/>
            <w:gridSpan w:val="2"/>
          </w:tcPr>
          <w:p>
            <w:pPr>
              <w:spacing w:after="0"/>
              <w:rPr>
                <w:sz w:val="24"/>
                <w:szCs w:val="24"/>
                <w:color w:val="auto"/>
              </w:rPr>
            </w:pPr>
          </w:p>
        </w:tc>
        <w:tc>
          <w:tcPr>
            <w:tcW w:w="420" w:type="dxa"/>
            <w:vAlign w:val="bottom"/>
            <w:tcBorders>
              <w:top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4"/>
              </w:rPr>
              <w:t>&lt;</w:t>
            </w: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4"/>
            <w:vMerge w:val="restart"/>
          </w:tcPr>
          <w:p>
            <w:pPr>
              <w:jc w:val="center"/>
              <w:ind w:left="316"/>
              <w:spacing w:after="0"/>
              <w:rPr>
                <w:sz w:val="20"/>
                <w:szCs w:val="20"/>
                <w:color w:val="auto"/>
              </w:rPr>
            </w:pPr>
            <w:r>
              <w:rPr>
                <w:rFonts w:ascii="Arial" w:cs="Arial" w:eastAsia="Arial" w:hAnsi="Arial"/>
                <w:sz w:val="18"/>
                <w:szCs w:val="18"/>
                <w:color w:val="auto"/>
                <w:w w:val="91"/>
              </w:rPr>
              <w:t>0.</w:t>
            </w:r>
            <w:r>
              <w:rPr>
                <w:rFonts w:ascii="Arial" w:cs="Arial" w:eastAsia="Arial" w:hAnsi="Arial"/>
                <w:sz w:val="18"/>
                <w:szCs w:val="18"/>
                <w:u w:val="single" w:color="auto"/>
                <w:color w:val="auto"/>
                <w:w w:val="91"/>
              </w:rPr>
              <w:t>125%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vMerge w:val="restart"/>
          </w:tcPr>
          <w:p>
            <w:pPr>
              <w:jc w:val="center"/>
              <w:ind w:left="413"/>
              <w:spacing w:after="0"/>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5625%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6"/>
            <w:vMerge w:val="restart"/>
          </w:tcPr>
          <w:p>
            <w:pPr>
              <w:jc w:val="center"/>
              <w:ind w:left="230"/>
              <w:spacing w:after="0"/>
              <w:rPr>
                <w:sz w:val="20"/>
                <w:szCs w:val="20"/>
                <w:color w:val="auto"/>
              </w:rPr>
            </w:pPr>
            <w:r>
              <w:rPr>
                <w:rFonts w:ascii="Arial" w:cs="Arial" w:eastAsia="Arial" w:hAnsi="Arial"/>
                <w:sz w:val="18"/>
                <w:szCs w:val="18"/>
                <w:color w:val="auto"/>
                <w:w w:val="91"/>
              </w:rPr>
              <w:t>1.</w:t>
            </w:r>
            <w:r>
              <w:rPr>
                <w:rFonts w:ascii="Arial" w:cs="Arial" w:eastAsia="Arial" w:hAnsi="Arial"/>
                <w:sz w:val="18"/>
                <w:szCs w:val="18"/>
                <w:u w:val="single" w:color="auto"/>
                <w:color w:val="auto"/>
                <w:w w:val="91"/>
              </w:rPr>
              <w:t>125%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6"/>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6"/>
            <w:vMerge w:val="continue"/>
          </w:tcPr>
          <w:p>
            <w:pPr>
              <w:spacing w:after="0"/>
              <w:rPr>
                <w:sz w:val="7"/>
                <w:szCs w:val="7"/>
                <w:color w:val="auto"/>
              </w:rPr>
            </w:pPr>
          </w:p>
        </w:tc>
        <w:tc>
          <w:tcPr>
            <w:tcW w:w="620" w:type="dxa"/>
            <w:vAlign w:val="bottom"/>
            <w:gridSpan w:val="2"/>
            <w:vMerge w:val="restart"/>
          </w:tcPr>
          <w:p>
            <w:pPr>
              <w:spacing w:after="0"/>
              <w:rPr>
                <w:sz w:val="7"/>
                <w:szCs w:val="7"/>
                <w:color w:val="auto"/>
              </w:rPr>
            </w:pPr>
          </w:p>
        </w:tc>
        <w:tc>
          <w:tcPr>
            <w:tcW w:w="700" w:type="dxa"/>
            <w:vAlign w:val="bottom"/>
            <w:gridSpan w:val="4"/>
            <w:vMerge w:val="restart"/>
          </w:tcPr>
          <w:p>
            <w:pPr>
              <w:jc w:val="center"/>
              <w:ind w:right="20"/>
              <w:spacing w:after="0" w:line="196" w:lineRule="exact"/>
              <w:rPr>
                <w:sz w:val="20"/>
                <w:szCs w:val="20"/>
                <w:color w:val="auto"/>
              </w:rPr>
            </w:pPr>
            <w:r>
              <w:rPr>
                <w:rFonts w:ascii="Arial" w:cs="Arial" w:eastAsia="Arial" w:hAnsi="Arial"/>
                <w:sz w:val="18"/>
                <w:szCs w:val="18"/>
                <w:color w:val="auto"/>
                <w:w w:val="90"/>
              </w:rPr>
              <w:t>2.</w:t>
            </w:r>
            <w:r>
              <w:rPr>
                <w:rFonts w:ascii="Arial" w:cs="Arial" w:eastAsia="Arial" w:hAnsi="Arial"/>
                <w:sz w:val="18"/>
                <w:szCs w:val="18"/>
                <w:u w:val="single" w:color="auto"/>
                <w:color w:val="auto"/>
                <w:w w:val="90"/>
              </w:rPr>
              <w:t>00:1.00</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341"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u w:val="single" w:color="auto"/>
          <w:color w:val="auto"/>
        </w:rPr>
        <w:t>*and (iii) thereafter, a percentage per annum determined by reference to the Lease Adjusted Leverage Ratio in effect from time to time as set forth below:*</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840" w:type="dxa"/>
            <w:vAlign w:val="bottom"/>
          </w:tcPr>
          <w:p>
            <w:pPr>
              <w:jc w:val="right"/>
              <w:ind w:right="1609"/>
              <w:spacing w:after="0"/>
              <w:rPr>
                <w:sz w:val="20"/>
                <w:szCs w:val="20"/>
                <w:color w:val="auto"/>
              </w:rPr>
            </w:pPr>
            <w:r>
              <w:rPr>
                <w:rFonts w:ascii="Arial" w:cs="Arial" w:eastAsia="Arial" w:hAnsi="Arial"/>
                <w:sz w:val="20"/>
                <w:szCs w:val="20"/>
                <w:color w:val="auto"/>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Applicable Rate</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7"/>
              </w:rPr>
              <w:t>Base Rate Loans,</w:t>
            </w:r>
          </w:p>
        </w:tc>
        <w:tc>
          <w:tcPr>
            <w:tcW w:w="19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Eurodollar Rate Loans,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Canadian U.S. Base Rate</w:t>
            </w:r>
          </w:p>
        </w:tc>
        <w:tc>
          <w:tcPr>
            <w:tcW w:w="19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4"/>
              </w:rPr>
              <w:t>Overnight LIBO Rate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28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9"/>
              </w:rPr>
              <w:t>Lease Adjusted Leverage</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Loans and Canadian</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Commercial Letters of</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Loans and standby</w:t>
            </w:r>
          </w:p>
        </w:tc>
        <w:tc>
          <w:tcPr>
            <w:tcW w:w="0" w:type="dxa"/>
            <w:vAlign w:val="bottom"/>
          </w:tcPr>
          <w:p>
            <w:pPr>
              <w:spacing w:after="0"/>
              <w:rPr>
                <w:sz w:val="1"/>
                <w:szCs w:val="1"/>
                <w:color w:val="auto"/>
              </w:rPr>
            </w:pPr>
          </w:p>
        </w:tc>
      </w:tr>
      <w:tr>
        <w:trPr>
          <w:trHeight w:val="234"/>
        </w:trPr>
        <w:tc>
          <w:tcPr>
            <w:tcW w:w="1840" w:type="dxa"/>
            <w:vAlign w:val="bottom"/>
          </w:tcPr>
          <w:p>
            <w:pPr>
              <w:jc w:val="center"/>
              <w:ind w:left="129"/>
              <w:spacing w:after="0"/>
              <w:rPr>
                <w:sz w:val="20"/>
                <w:szCs w:val="20"/>
                <w:color w:val="auto"/>
              </w:rPr>
            </w:pPr>
            <w:r>
              <w:rPr>
                <w:rFonts w:ascii="Arial" w:cs="Arial" w:eastAsia="Arial" w:hAnsi="Arial"/>
                <w:sz w:val="18"/>
                <w:szCs w:val="18"/>
                <w:b w:val="1"/>
                <w:bCs w:val="1"/>
                <w:color w:val="auto"/>
                <w:w w:val="90"/>
              </w:rPr>
              <w:t>Pricing Level</w:t>
            </w:r>
          </w:p>
        </w:tc>
        <w:tc>
          <w:tcPr>
            <w:tcW w:w="228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3"/>
              </w:rPr>
              <w:t>Ratio</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2"/>
              </w:rPr>
              <w:t>Prime Rate Loans</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6"/>
              </w:rPr>
              <w:t>Credit</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Letters of Credit</w:t>
            </w: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vMerge w:val="restart"/>
          </w:tcPr>
          <w:p>
            <w:pPr>
              <w:jc w:val="center"/>
              <w:ind w:left="129"/>
              <w:spacing w:after="0"/>
              <w:rPr>
                <w:sz w:val="20"/>
                <w:szCs w:val="20"/>
                <w:color w:val="auto"/>
              </w:rPr>
            </w:pPr>
            <w:r>
              <w:rPr>
                <w:rFonts w:ascii="Arial" w:cs="Arial" w:eastAsia="Arial" w:hAnsi="Arial"/>
                <w:sz w:val="18"/>
                <w:szCs w:val="18"/>
                <w:color w:val="auto"/>
              </w:rPr>
              <w:t>I</w:t>
            </w:r>
          </w:p>
        </w:tc>
        <w:tc>
          <w:tcPr>
            <w:tcW w:w="1280" w:type="dxa"/>
            <w:vAlign w:val="bottom"/>
            <w:gridSpan w:val="2"/>
          </w:tcPr>
          <w:p>
            <w:pPr>
              <w:jc w:val="center"/>
              <w:ind w:left="1090"/>
              <w:spacing w:after="0" w:line="196" w:lineRule="exact"/>
              <w:rPr>
                <w:sz w:val="20"/>
                <w:szCs w:val="20"/>
                <w:color w:val="auto"/>
              </w:rPr>
            </w:pPr>
            <w:r>
              <w:rPr>
                <w:rFonts w:ascii="Arial" w:cs="Arial" w:eastAsia="Arial" w:hAnsi="Arial"/>
                <w:sz w:val="18"/>
                <w:szCs w:val="18"/>
                <w:color w:val="auto"/>
                <w:w w:val="94"/>
              </w:rPr>
              <w:t>&gt;</w:t>
            </w:r>
          </w:p>
        </w:tc>
        <w:tc>
          <w:tcPr>
            <w:tcW w:w="1000" w:type="dxa"/>
            <w:vAlign w:val="bottom"/>
          </w:tcPr>
          <w:p>
            <w:pPr>
              <w:spacing w:after="0"/>
              <w:rPr>
                <w:sz w:val="17"/>
                <w:szCs w:val="17"/>
                <w:color w:val="auto"/>
              </w:rPr>
            </w:pPr>
          </w:p>
        </w:tc>
        <w:tc>
          <w:tcPr>
            <w:tcW w:w="2100" w:type="dxa"/>
            <w:vAlign w:val="bottom"/>
            <w:vMerge w:val="restart"/>
          </w:tcPr>
          <w:p>
            <w:pPr>
              <w:jc w:val="center"/>
              <w:spacing w:after="0"/>
              <w:rPr>
                <w:sz w:val="20"/>
                <w:szCs w:val="20"/>
                <w:color w:val="auto"/>
              </w:rPr>
            </w:pPr>
            <w:r>
              <w:rPr>
                <w:rFonts w:ascii="Arial" w:cs="Arial" w:eastAsia="Arial" w:hAnsi="Arial"/>
                <w:sz w:val="18"/>
                <w:szCs w:val="18"/>
                <w:color w:val="auto"/>
                <w:w w:val="91"/>
              </w:rPr>
              <w:t>0.875%</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2"/>
              </w:rPr>
              <w:t>0.9375%</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1"/>
              </w:rPr>
              <w:t>1.875%</w:t>
            </w:r>
          </w:p>
        </w:tc>
        <w:tc>
          <w:tcPr>
            <w:tcW w:w="0" w:type="dxa"/>
            <w:vAlign w:val="bottom"/>
          </w:tcPr>
          <w:p>
            <w:pPr>
              <w:spacing w:after="0"/>
              <w:rPr>
                <w:sz w:val="1"/>
                <w:szCs w:val="1"/>
                <w:color w:val="auto"/>
              </w:rPr>
            </w:pPr>
          </w:p>
        </w:tc>
      </w:tr>
      <w:tr>
        <w:trPr>
          <w:trHeight w:val="20"/>
        </w:trPr>
        <w:tc>
          <w:tcPr>
            <w:tcW w:w="1840" w:type="dxa"/>
            <w:vAlign w:val="bottom"/>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40" w:type="dxa"/>
            <w:vAlign w:val="bottom"/>
            <w:vMerge w:val="continue"/>
          </w:tcPr>
          <w:p>
            <w:pPr>
              <w:spacing w:after="0"/>
              <w:rPr>
                <w:sz w:val="7"/>
                <w:szCs w:val="7"/>
                <w:color w:val="auto"/>
              </w:rPr>
            </w:pPr>
          </w:p>
        </w:tc>
        <w:tc>
          <w:tcPr>
            <w:tcW w:w="2280" w:type="dxa"/>
            <w:vAlign w:val="bottom"/>
            <w:gridSpan w:val="3"/>
            <w:vMerge w:val="restart"/>
          </w:tcPr>
          <w:p>
            <w:pPr>
              <w:jc w:val="center"/>
              <w:ind w:left="110"/>
              <w:spacing w:after="0"/>
              <w:rPr>
                <w:sz w:val="20"/>
                <w:szCs w:val="20"/>
                <w:color w:val="auto"/>
              </w:rPr>
            </w:pPr>
            <w:r>
              <w:rPr>
                <w:rFonts w:ascii="Arial" w:cs="Arial" w:eastAsia="Arial" w:hAnsi="Arial"/>
                <w:sz w:val="18"/>
                <w:szCs w:val="18"/>
                <w:color w:val="auto"/>
                <w:w w:val="90"/>
              </w:rPr>
              <w:t>3.00:1.00</w:t>
            </w:r>
          </w:p>
        </w:tc>
        <w:tc>
          <w:tcPr>
            <w:tcW w:w="210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2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4"/>
        </w:trPr>
        <w:tc>
          <w:tcPr>
            <w:tcW w:w="1840" w:type="dxa"/>
            <w:vAlign w:val="bottom"/>
          </w:tcPr>
          <w:p>
            <w:pPr>
              <w:spacing w:after="0"/>
              <w:rPr>
                <w:sz w:val="24"/>
                <w:szCs w:val="24"/>
                <w:color w:val="auto"/>
              </w:rPr>
            </w:pPr>
          </w:p>
        </w:tc>
        <w:tc>
          <w:tcPr>
            <w:tcW w:w="1280" w:type="dxa"/>
            <w:vAlign w:val="bottom"/>
            <w:gridSpan w:val="2"/>
          </w:tcPr>
          <w:p>
            <w:pPr>
              <w:jc w:val="center"/>
              <w:ind w:left="1090"/>
              <w:spacing w:after="0"/>
              <w:rPr>
                <w:sz w:val="20"/>
                <w:szCs w:val="20"/>
                <w:color w:val="auto"/>
              </w:rPr>
            </w:pPr>
            <w:r>
              <w:rPr>
                <w:rFonts w:ascii="Arial" w:cs="Arial" w:eastAsia="Arial" w:hAnsi="Arial"/>
                <w:sz w:val="18"/>
                <w:szCs w:val="18"/>
                <w:color w:val="auto"/>
                <w:w w:val="94"/>
              </w:rPr>
              <w:t>&lt;</w:t>
            </w: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vMerge w:val="restart"/>
          </w:tcPr>
          <w:p>
            <w:pPr>
              <w:jc w:val="center"/>
              <w:ind w:left="149"/>
              <w:spacing w:after="0"/>
              <w:rPr>
                <w:sz w:val="20"/>
                <w:szCs w:val="20"/>
                <w:color w:val="auto"/>
              </w:rPr>
            </w:pPr>
            <w:r>
              <w:rPr>
                <w:rFonts w:ascii="Arial" w:cs="Arial" w:eastAsia="Arial" w:hAnsi="Arial"/>
                <w:sz w:val="18"/>
                <w:szCs w:val="18"/>
                <w:color w:val="auto"/>
              </w:rPr>
              <w:t>II</w:t>
            </w:r>
          </w:p>
        </w:tc>
        <w:tc>
          <w:tcPr>
            <w:tcW w:w="228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3.00:1.00</w:t>
            </w:r>
          </w:p>
        </w:tc>
        <w:tc>
          <w:tcPr>
            <w:tcW w:w="2100" w:type="dxa"/>
            <w:vAlign w:val="bottom"/>
            <w:vMerge w:val="restart"/>
          </w:tcPr>
          <w:p>
            <w:pPr>
              <w:jc w:val="center"/>
              <w:spacing w:after="0"/>
              <w:rPr>
                <w:sz w:val="20"/>
                <w:szCs w:val="20"/>
                <w:color w:val="auto"/>
              </w:rPr>
            </w:pPr>
            <w:r>
              <w:rPr>
                <w:rFonts w:ascii="Arial" w:cs="Arial" w:eastAsia="Arial" w:hAnsi="Arial"/>
                <w:sz w:val="18"/>
                <w:szCs w:val="18"/>
                <w:color w:val="auto"/>
                <w:w w:val="91"/>
              </w:rPr>
              <w:t>0.625%</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2"/>
              </w:rPr>
              <w:t>0.8125%</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1"/>
              </w:rPr>
              <w:t>1.625%</w:t>
            </w:r>
          </w:p>
        </w:tc>
        <w:tc>
          <w:tcPr>
            <w:tcW w:w="0" w:type="dxa"/>
            <w:vAlign w:val="bottom"/>
          </w:tcPr>
          <w:p>
            <w:pPr>
              <w:spacing w:after="0"/>
              <w:rPr>
                <w:sz w:val="1"/>
                <w:szCs w:val="1"/>
                <w:color w:val="auto"/>
              </w:rPr>
            </w:pPr>
          </w:p>
        </w:tc>
      </w:tr>
      <w:tr>
        <w:trPr>
          <w:trHeight w:val="82"/>
        </w:trPr>
        <w:tc>
          <w:tcPr>
            <w:tcW w:w="1840" w:type="dxa"/>
            <w:vAlign w:val="bottom"/>
            <w:vMerge w:val="continue"/>
          </w:tcPr>
          <w:p>
            <w:pPr>
              <w:spacing w:after="0"/>
              <w:rPr>
                <w:sz w:val="7"/>
                <w:szCs w:val="7"/>
                <w:color w:val="auto"/>
              </w:rPr>
            </w:pPr>
          </w:p>
        </w:tc>
        <w:tc>
          <w:tcPr>
            <w:tcW w:w="1280" w:type="dxa"/>
            <w:vAlign w:val="bottom"/>
            <w:gridSpan w:val="2"/>
            <w:vMerge w:val="restart"/>
          </w:tcPr>
          <w:p>
            <w:pPr>
              <w:jc w:val="center"/>
              <w:ind w:left="1090"/>
              <w:spacing w:after="0" w:line="190" w:lineRule="exact"/>
              <w:rPr>
                <w:sz w:val="20"/>
                <w:szCs w:val="20"/>
                <w:color w:val="auto"/>
              </w:rPr>
            </w:pPr>
            <w:r>
              <w:rPr>
                <w:rFonts w:ascii="Arial" w:cs="Arial" w:eastAsia="Arial" w:hAnsi="Arial"/>
                <w:sz w:val="18"/>
                <w:szCs w:val="18"/>
                <w:color w:val="auto"/>
                <w:w w:val="94"/>
              </w:rPr>
              <w:t>&gt;</w:t>
            </w:r>
          </w:p>
        </w:tc>
        <w:tc>
          <w:tcPr>
            <w:tcW w:w="100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40" w:type="dxa"/>
            <w:vAlign w:val="bottom"/>
          </w:tcPr>
          <w:p>
            <w:pPr>
              <w:spacing w:after="0"/>
              <w:rPr>
                <w:sz w:val="20"/>
                <w:szCs w:val="20"/>
                <w:color w:val="auto"/>
              </w:rPr>
            </w:pPr>
          </w:p>
        </w:tc>
        <w:tc>
          <w:tcPr>
            <w:tcW w:w="228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2.50:1.00</w:t>
            </w:r>
          </w:p>
        </w:tc>
        <w:tc>
          <w:tcPr>
            <w:tcW w:w="2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840" w:type="dxa"/>
            <w:vAlign w:val="bottom"/>
          </w:tcPr>
          <w:p>
            <w:pPr>
              <w:spacing w:after="0"/>
              <w:rPr>
                <w:sz w:val="24"/>
                <w:szCs w:val="24"/>
                <w:color w:val="auto"/>
              </w:rPr>
            </w:pPr>
          </w:p>
        </w:tc>
        <w:tc>
          <w:tcPr>
            <w:tcW w:w="228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&lt;</w:t>
            </w: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40" w:type="dxa"/>
            <w:vAlign w:val="bottom"/>
          </w:tcPr>
          <w:p>
            <w:pPr>
              <w:jc w:val="center"/>
              <w:ind w:left="129"/>
              <w:spacing w:after="0"/>
              <w:rPr>
                <w:sz w:val="20"/>
                <w:szCs w:val="20"/>
                <w:color w:val="auto"/>
              </w:rPr>
            </w:pPr>
            <w:r>
              <w:rPr>
                <w:rFonts w:ascii="Arial" w:cs="Arial" w:eastAsia="Arial" w:hAnsi="Arial"/>
                <w:sz w:val="18"/>
                <w:szCs w:val="18"/>
                <w:color w:val="auto"/>
              </w:rPr>
              <w:t>III</w:t>
            </w:r>
          </w:p>
        </w:tc>
        <w:tc>
          <w:tcPr>
            <w:tcW w:w="228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2.50:1.00</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0.375%</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0.6875%</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1.375%</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1280" w:type="dxa"/>
            <w:vAlign w:val="bottom"/>
            <w:gridSpan w:val="2"/>
          </w:tcPr>
          <w:p>
            <w:pPr>
              <w:jc w:val="center"/>
              <w:ind w:left="1090"/>
              <w:spacing w:after="0" w:line="190" w:lineRule="exact"/>
              <w:rPr>
                <w:sz w:val="20"/>
                <w:szCs w:val="20"/>
                <w:color w:val="auto"/>
              </w:rPr>
            </w:pPr>
            <w:r>
              <w:rPr>
                <w:rFonts w:ascii="Arial" w:cs="Arial" w:eastAsia="Arial" w:hAnsi="Arial"/>
                <w:sz w:val="18"/>
                <w:szCs w:val="18"/>
                <w:color w:val="auto"/>
                <w:w w:val="94"/>
              </w:rPr>
              <w:t>&gt;</w:t>
            </w:r>
          </w:p>
        </w:tc>
        <w:tc>
          <w:tcPr>
            <w:tcW w:w="1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40" w:type="dxa"/>
            <w:vAlign w:val="bottom"/>
          </w:tcPr>
          <w:p>
            <w:pPr>
              <w:spacing w:after="0"/>
              <w:rPr>
                <w:sz w:val="20"/>
                <w:szCs w:val="20"/>
                <w:color w:val="auto"/>
              </w:rPr>
            </w:pPr>
          </w:p>
        </w:tc>
        <w:tc>
          <w:tcPr>
            <w:tcW w:w="228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2.00:1.00</w:t>
            </w:r>
          </w:p>
        </w:tc>
        <w:tc>
          <w:tcPr>
            <w:tcW w:w="2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840" w:type="dxa"/>
            <w:vAlign w:val="bottom"/>
            <w:vMerge w:val="restart"/>
          </w:tcPr>
          <w:p>
            <w:pPr>
              <w:jc w:val="center"/>
              <w:ind w:left="129"/>
              <w:spacing w:after="0"/>
              <w:rPr>
                <w:sz w:val="20"/>
                <w:szCs w:val="20"/>
                <w:color w:val="auto"/>
              </w:rPr>
            </w:pPr>
            <w:r>
              <w:rPr>
                <w:rFonts w:ascii="Arial" w:cs="Arial" w:eastAsia="Arial" w:hAnsi="Arial"/>
                <w:sz w:val="18"/>
                <w:szCs w:val="18"/>
                <w:color w:val="auto"/>
              </w:rPr>
              <w:t>IV</w:t>
            </w:r>
          </w:p>
        </w:tc>
        <w:tc>
          <w:tcPr>
            <w:tcW w:w="1280" w:type="dxa"/>
            <w:vAlign w:val="bottom"/>
            <w:gridSpan w:val="2"/>
          </w:tcPr>
          <w:p>
            <w:pPr>
              <w:jc w:val="center"/>
              <w:ind w:left="1090"/>
              <w:spacing w:after="0"/>
              <w:rPr>
                <w:sz w:val="20"/>
                <w:szCs w:val="20"/>
                <w:color w:val="auto"/>
              </w:rPr>
            </w:pPr>
            <w:r>
              <w:rPr>
                <w:rFonts w:ascii="Arial" w:cs="Arial" w:eastAsia="Arial" w:hAnsi="Arial"/>
                <w:sz w:val="18"/>
                <w:szCs w:val="18"/>
                <w:color w:val="auto"/>
                <w:w w:val="94"/>
              </w:rPr>
              <w:t>&lt;</w:t>
            </w:r>
          </w:p>
        </w:tc>
        <w:tc>
          <w:tcPr>
            <w:tcW w:w="1000" w:type="dxa"/>
            <w:vAlign w:val="bottom"/>
          </w:tcPr>
          <w:p>
            <w:pPr>
              <w:spacing w:after="0"/>
              <w:rPr>
                <w:sz w:val="24"/>
                <w:szCs w:val="24"/>
                <w:color w:val="auto"/>
              </w:rPr>
            </w:pPr>
          </w:p>
        </w:tc>
        <w:tc>
          <w:tcPr>
            <w:tcW w:w="2100" w:type="dxa"/>
            <w:vAlign w:val="bottom"/>
            <w:vMerge w:val="restart"/>
          </w:tcPr>
          <w:p>
            <w:pPr>
              <w:jc w:val="center"/>
              <w:spacing w:after="0"/>
              <w:rPr>
                <w:sz w:val="20"/>
                <w:szCs w:val="20"/>
                <w:color w:val="auto"/>
              </w:rPr>
            </w:pPr>
            <w:r>
              <w:rPr>
                <w:rFonts w:ascii="Arial" w:cs="Arial" w:eastAsia="Arial" w:hAnsi="Arial"/>
                <w:sz w:val="18"/>
                <w:szCs w:val="18"/>
                <w:color w:val="auto"/>
                <w:w w:val="91"/>
              </w:rPr>
              <w:t>0.125%</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2"/>
              </w:rPr>
              <w:t>0.5625%</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1"/>
              </w:rPr>
              <w:t>1.125%</w:t>
            </w:r>
          </w:p>
        </w:tc>
        <w:tc>
          <w:tcPr>
            <w:tcW w:w="0" w:type="dxa"/>
            <w:vAlign w:val="bottom"/>
          </w:tcPr>
          <w:p>
            <w:pPr>
              <w:spacing w:after="0"/>
              <w:rPr>
                <w:sz w:val="1"/>
                <w:szCs w:val="1"/>
                <w:color w:val="auto"/>
              </w:rPr>
            </w:pPr>
          </w:p>
        </w:tc>
      </w:tr>
      <w:tr>
        <w:trPr>
          <w:trHeight w:val="122"/>
        </w:trPr>
        <w:tc>
          <w:tcPr>
            <w:tcW w:w="1840" w:type="dxa"/>
            <w:vAlign w:val="bottom"/>
            <w:vMerge w:val="continue"/>
          </w:tcPr>
          <w:p>
            <w:pPr>
              <w:spacing w:after="0"/>
              <w:rPr>
                <w:sz w:val="10"/>
                <w:szCs w:val="10"/>
                <w:color w:val="auto"/>
              </w:rPr>
            </w:pPr>
          </w:p>
        </w:tc>
        <w:tc>
          <w:tcPr>
            <w:tcW w:w="2280" w:type="dxa"/>
            <w:vAlign w:val="bottom"/>
            <w:gridSpan w:val="3"/>
            <w:vMerge w:val="restart"/>
          </w:tcPr>
          <w:p>
            <w:pPr>
              <w:jc w:val="center"/>
              <w:ind w:left="110"/>
              <w:spacing w:after="0"/>
              <w:rPr>
                <w:sz w:val="20"/>
                <w:szCs w:val="20"/>
                <w:color w:val="auto"/>
              </w:rPr>
            </w:pPr>
            <w:r>
              <w:rPr>
                <w:rFonts w:ascii="Arial" w:cs="Arial" w:eastAsia="Arial" w:hAnsi="Arial"/>
                <w:sz w:val="18"/>
                <w:szCs w:val="18"/>
                <w:color w:val="auto"/>
                <w:w w:val="90"/>
              </w:rPr>
              <w:t>2.00:1.00</w:t>
            </w:r>
          </w:p>
        </w:tc>
        <w:tc>
          <w:tcPr>
            <w:tcW w:w="210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Any increase or decrease in the Applicable Rate resulting from a change in the Lease Adjusted Leverage Ratio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with respect to the financial statements for the most recently ended fiscal quarter or fiscal year, as applicable, and be based on the Lease Adjusted Leverage Ratio set forth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Compliance Certificate is not delivered when due in accordance with such Section, then the Pricing Level I set forth in the table above shall apply as of the first Business Day after the date on which such Compliance Certificate was required to have been delivered until the Compliance Certificate is delivered.</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at a time when this Agreement is in effect or any unpaid Obligations are outstanding (other than indemnities and other contingent obligations not yet due and payable), as a result of any restatement of or other adjustment to the financial statements of the U.S. Borrower or Holdings or for any other reason, the U.S. Borrower or the Required Lenders determine that (i) the Lease Adjusted Leverage Ratio as calculated by the U.S. Borrower or Holdings as of any applicable date was inaccurate and (ii) a proper calculation of the Lease Adjusted Leverage Ratio would have resulted in higher pricing for such period, the applicable Borrower shall immediately and retroactively be obligated to pay to the applicable Facility Agent for the account of the applicable Lenders or the applicable L/C Issuer, as the case may be, promptly on demand by the applicable Facility Agent (or, after the occurrence of an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341" w:right="379" w:bottom="1440" w:gutter="0" w:footer="0" w:header="0"/>
        </w:sectPr>
      </w:pPr>
    </w:p>
    <w:bookmarkStart w:id="75" w:name="page76"/>
    <w:bookmarkEnd w:id="75"/>
    <w:p>
      <w:pPr>
        <w:ind w:right="140"/>
        <w:spacing w:after="0" w:line="273" w:lineRule="auto"/>
        <w:rPr>
          <w:sz w:val="20"/>
          <w:szCs w:val="20"/>
          <w:color w:val="auto"/>
        </w:rPr>
      </w:pPr>
      <w:r>
        <w:rPr>
          <w:rFonts w:ascii="Arial" w:cs="Arial" w:eastAsia="Arial" w:hAnsi="Arial"/>
          <w:sz w:val="17"/>
          <w:szCs w:val="17"/>
          <w:color w:val="auto"/>
        </w:rPr>
        <w:t xml:space="preserve">actual or deemed entry of an order for relief with respect to the U.S. Borrower under the Bankruptcy Code of the United States, automatically and without further action by the Administrative Agent, the applicable Facility Agent, any Lender or any L/C Issuer), an amount equal to the excess of the amount of interest and fees that should have been paid for such period over the amount of interest and fees actually paid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inaccuracy shall not in any event be deemed retroactively to be a Default or Event of Default pursuant to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if such amount is paid promptly on demand as set forth above. This paragraph shall not limit the rights of the Administrative Agent, the applicable Facility Agent, any Lender or any L/C Issuer, as the case may be, under </w:t>
      </w:r>
      <w:r>
        <w:rPr>
          <w:rFonts w:ascii="Arial" w:cs="Arial" w:eastAsia="Arial" w:hAnsi="Arial"/>
          <w:sz w:val="17"/>
          <w:szCs w:val="17"/>
          <w:u w:val="single" w:color="auto"/>
          <w:color w:val="auto"/>
        </w:rPr>
        <w:t>Section 2.03(c)(iii)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2.08(b)</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7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u w:val="single" w:color="auto"/>
          <w:color w:val="auto"/>
        </w:rPr>
        <w:t>*For the avoidance of doubt, with respect to any determination of Letter of Credit Fees or interest accruing for the period commencing with the first day of the second fiscal quarter of 2020 and prior to the Amendment No. 2 Effective Date, the Applicable Rate in effect immediately prior to the Amendment No. 2 Effective Date shall be applicable.*</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borrowings and payments in any Alternative Currency, the local time in the place of settlement for such Alternative Currency as may be determined by the Administrative Agent or the applicable Multicurrency Facility L/C Issuer, as the case may be, to be necessary for timely settlement on the relevant date in accordance with normal banking procedures in the place of payment.</w:t>
      </w:r>
    </w:p>
    <w:p>
      <w:pPr>
        <w:spacing w:after="0" w:line="16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advised or managed by (a) a Lender, (b) an Affiliate of a Lender or (c) an entity or an Affiliate of an entity that advises or manages a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the introductory paragraph hereto.</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Sale</w:t>
      </w:r>
      <w:r>
        <w:rPr>
          <w:rFonts w:ascii="Arial" w:cs="Arial" w:eastAsia="Arial" w:hAnsi="Arial"/>
          <w:sz w:val="16"/>
          <w:szCs w:val="16"/>
          <w:color w:val="auto"/>
        </w:rPr>
        <w:t>” means a sale, lease or sublease (as lessor or sublessor), sale and leaseback, assignment, conveyance, transfer or other disposition to (other than (i) a U.S. Borrower or any Subsidiary Guarantor to another U.S. Borrower or Subsidiary Guarantor, (ii) Foreign Subsidiaries that do not constitute Loan Parties to other Foreign Subsidiaries that do not constitute Loan Parties, and (iii) Foreign Subsidiaries that constitute Loan Parties to other Foreign Subsidiaries that constitute Loan Parties)), or any exchange of property with, any Person (other than an exchange where the U.S. Borrower or a Subsidiary Guarantor is the only Person to which any property is provided in such exchange), in one transaction or a series of transactions, of all or any part of the U.S. Borrower’s or any of its Restricted Subsidiaries’ businesses, assets or properties of any kind, whether real, personal, or mixed and whether tangible or intangible, whether now owned or hereafter acquired, including, without limitation, the Equity Interests of any of the U.S. Borrower’s Restricted Subsidiaries, other than (i) inventory (or other assets, including Cash Equivalents and intellectual property) sold, leased or licensed in the ordinary course of business, (ii) obsolete, worn out or surplus property sold in the ordinary course of business (or in the case of leased or subleased properties, properties which are no longer useful or necessary in the U.S. Borrower’s or any of its Restricted Subsidiaries’ businesses and disposed of in the ordinary course of business), (iii) intellectual property licensed in the ordinary course of business, (iv) casualty and condemnation events, (v) the discount, settlement or write off of accounts receivable or overdue accounts receivable for collection in the ordinary course of business, (vi) the sale or other disposition of cash and Cash Equivalents, and (vii) to the extent not resulting in aggregate proceeds in any fiscal year in excess of $60,000,000, sales of other assets in such fiscal year for aggregate consideration of less than $30,000,000 with respect to any transaction or series of related transactions.</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7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10.06(b)</w:t>
      </w:r>
      <w:r>
        <w:rPr>
          <w:rFonts w:ascii="Arial" w:cs="Arial" w:eastAsia="Arial" w:hAnsi="Arial"/>
          <w:sz w:val="17"/>
          <w:szCs w:val="17"/>
          <w:color w:val="auto"/>
        </w:rPr>
        <w:t>), and accepted by the applicable Facility Agent, in substantially the form of Exhibit E or any other form (including electronic records generated by the use of an electronic platform) approved by the Administrative Agent.</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in respect of any Capital Lease Obligation, the capitalized amount thereof that would appear on a balance sheet of such Person prepared as of such date in accordance with GAAP.</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41" w:right="339" w:bottom="1440" w:gutter="0" w:footer="0" w:header="0"/>
        </w:sectPr>
      </w:pPr>
    </w:p>
    <w:bookmarkStart w:id="76" w:name="page77"/>
    <w:bookmarkEnd w:id="76"/>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Holdings and its Subsidiaries as of January 2, 2016, December 31, 2016 and December 30, 2017 and the related consolidated statements of operations, shareholders’ equity and cash flows for the fiscal years then ended, including the notes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xml:space="preserve">” means the exercise of any Write-Down and Conversion Powers by the applicable </w:t>
      </w:r>
      <w:r>
        <w:rPr>
          <w:rFonts w:ascii="Arial" w:cs="Arial" w:eastAsia="Arial" w:hAnsi="Arial"/>
          <w:sz w:val="18"/>
          <w:szCs w:val="18"/>
          <w:color w:val="auto"/>
          <w:strike w:val="1"/>
        </w:rPr>
        <w:t>EEA</w:t>
      </w:r>
      <w:r>
        <w:rPr>
          <w:rFonts w:ascii="Arial" w:cs="Arial" w:eastAsia="Arial" w:hAnsi="Arial"/>
          <w:sz w:val="18"/>
          <w:szCs w:val="18"/>
          <w:color w:val="auto"/>
        </w:rPr>
        <w:t xml:space="preserve"> Resolution Authority in respect of any liability of an </w:t>
      </w:r>
      <w:r>
        <w:rPr>
          <w:rFonts w:ascii="Arial" w:cs="Arial" w:eastAsia="Arial" w:hAnsi="Arial"/>
          <w:sz w:val="18"/>
          <w:szCs w:val="18"/>
          <w:color w:val="auto"/>
          <w:strike w:val="1"/>
        </w:rPr>
        <w:t>EEA</w:t>
      </w:r>
      <w:r>
        <w:rPr>
          <w:rFonts w:ascii="Arial" w:cs="Arial" w:eastAsia="Arial" w:hAnsi="Arial"/>
          <w:sz w:val="18"/>
          <w:szCs w:val="18"/>
          <w:u w:val="single" w:color="auto"/>
          <w:color w:val="auto"/>
        </w:rPr>
        <w:t>*Affected*</w:t>
      </w:r>
      <w:r>
        <w:rPr>
          <w:rFonts w:ascii="Arial" w:cs="Arial" w:eastAsia="Arial" w:hAnsi="Arial"/>
          <w:sz w:val="18"/>
          <w:szCs w:val="18"/>
          <w:color w:val="auto"/>
        </w:rPr>
        <w:t xml:space="preserve"> Financial Institution.</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with respect to any EEA Member Country implementing Article 55 of Directive 2014/59/EU of the European Parliament and of the Council of the European Union, the implementing law, </w:t>
      </w:r>
      <w:r>
        <w:rPr>
          <w:rFonts w:ascii="Arial" w:cs="Arial" w:eastAsia="Arial" w:hAnsi="Arial"/>
          <w:sz w:val="16"/>
          <w:szCs w:val="16"/>
          <w:u w:val="single" w:color="auto"/>
          <w:color w:val="auto"/>
        </w:rPr>
        <w:t>*rule, regulation or requirement*</w:t>
      </w:r>
      <w:r>
        <w:rPr>
          <w:rFonts w:ascii="Arial" w:cs="Arial" w:eastAsia="Arial" w:hAnsi="Arial"/>
          <w:sz w:val="16"/>
          <w:szCs w:val="16"/>
          <w:color w:val="auto"/>
        </w:rPr>
        <w:t xml:space="preserve"> for such EEA Member Country from time to time which is described in the EU Bail-In Legislation Schedule </w:t>
      </w:r>
      <w:r>
        <w:rPr>
          <w:rFonts w:ascii="Arial" w:cs="Arial" w:eastAsia="Arial" w:hAnsi="Arial"/>
          <w:sz w:val="16"/>
          <w:szCs w:val="16"/>
          <w:u w:val="single" w:color="auto"/>
          <w:color w:val="auto"/>
        </w:rPr>
        <w:t>*and (b) with respect to the United Kingdom, Part I of the United Kingdom Banking Act</w:t>
      </w:r>
      <w:r>
        <w:rPr>
          <w:rFonts w:ascii="Arial" w:cs="Arial" w:eastAsia="Arial" w:hAnsi="Arial"/>
          <w:sz w:val="16"/>
          <w:szCs w:val="16"/>
          <w:color w:val="auto"/>
        </w:rPr>
        <w:t xml:space="preserve"> </w:t>
      </w:r>
      <w:r>
        <w:rPr>
          <w:rFonts w:ascii="Arial" w:cs="Arial" w:eastAsia="Arial" w:hAnsi="Arial"/>
          <w:sz w:val="16"/>
          <w:szCs w:val="16"/>
          <w:u w:val="single" w:color="auto"/>
          <w:color w:val="auto"/>
        </w:rPr>
        <w:t>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to the highest of (a) the FRBNY Rate in effect on such day plus 1/2 of 1%, (b) the rate of interest in effect for such day as publicly announced from time to time by the Administrative Agent as its “prime rate,” and (c) the Eurodollar Rate plus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the above rates shall be less than zero, such rate shall be deemed to be zero.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rate announced by the Administrative Agent shall take effect at the opening of business on the day specified in the public announcement of such change.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Revolving Loan</w:t>
      </w:r>
      <w:r>
        <w:rPr>
          <w:rFonts w:ascii="Arial" w:cs="Arial" w:eastAsia="Arial" w:hAnsi="Arial"/>
          <w:sz w:val="18"/>
          <w:szCs w:val="18"/>
          <w:color w:val="auto"/>
        </w:rPr>
        <w:t>” means a Revolving Loan that is a Base Rate Loan.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BIA</w:t>
      </w:r>
      <w:r>
        <w:rPr>
          <w:rFonts w:ascii="Arial" w:cs="Arial" w:eastAsia="Arial" w:hAnsi="Arial"/>
          <w:sz w:val="18"/>
          <w:szCs w:val="18"/>
          <w:color w:val="auto"/>
        </w:rPr>
        <w:t xml:space="preserve">” means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xml:space="preserve"> (Canada), as amended, and any successor thereto, and any regulations promulgated thereunder,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as required by the Beneficial Ownership Regulation.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3260" w:firstLine="648"/>
        <w:spacing w:after="0" w:line="277" w:lineRule="auto"/>
        <w:rPr>
          <w:sz w:val="20"/>
          <w:szCs w:val="20"/>
          <w:color w:val="auto"/>
        </w:rPr>
      </w:pPr>
      <w:r>
        <w:rPr>
          <w:rFonts w:ascii="Arial" w:cs="Arial" w:eastAsia="Arial" w:hAnsi="Arial"/>
          <w:sz w:val="18"/>
          <w:szCs w:val="18"/>
          <w:u w:val="single" w:color="auto"/>
          <w:color w:val="auto"/>
        </w:rPr>
        <w:t>*“BHC Act Affiliate” of a party means an “affiliate’ (as such term is defined under, and interpreted in accordance with, 12 U.S.C. 1841(k)) of such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the U.S. Borrower, the Canadian Borrower and the Dutch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a Revolving Loan Borrowing, a Swing Line Borrowing or a borrowing of Incremental Term Loans, as the context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or Conversion Notice</w:t>
      </w:r>
      <w:r>
        <w:rPr>
          <w:rFonts w:ascii="Arial" w:cs="Arial" w:eastAsia="Arial" w:hAnsi="Arial"/>
          <w:sz w:val="18"/>
          <w:szCs w:val="18"/>
          <w:color w:val="auto"/>
        </w:rPr>
        <w:t xml:space="preserve">” means a notice of (a) a Revolving Loan Borrowing, (b) a borrowing of an Incremental Term Loan, (c) a conversion of Loans from one Type to the other, or (d)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executed by the applicable Borrower, and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73" w:right="339" w:bottom="1440" w:gutter="0" w:footer="0" w:header="0"/>
        </w:sectPr>
      </w:pPr>
    </w:p>
    <w:bookmarkStart w:id="77" w:name="page78"/>
    <w:bookmarkEnd w:id="77"/>
    <w:p>
      <w:pPr>
        <w:ind w:right="20"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commercial banks are authorized to close under the Laws of, or are in fact closed in, New York or the jurisdiction where the Administrative Agent’s Office with respect to Obligations under the U.S. Dollar Facility Revolving Loans, U.S. Dollar Facility Commitments, U.S. Dollar Facility L/C Obligations, or U.S. Dollar Facility Swing Line Loans is located and, if such day relates to any Eurodollar Rate Loan or Overnight LIBO Rate Loan, means any such day on which dealings in Dollar deposits are conducted by and between banks in the London interbank eurodollar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any Multicurrency Facility Revolving Loan, Multicurrency Facility Commitment, Multicurrency Facility L/C Obligations, or Multicurrency Facility Swing Line Loan, the term “Business Day” shall also exclude (i) with respect to the Canadian Agent, any day on which commercial banks in Ontario or in the jurisdiction where the Canadian Agent’s principal Canadian lending branch is located are authorized or required by law to remain closed, (ii) with respect to the European Agent, any day on which commercial banks in London,</w:t>
      </w:r>
    </w:p>
    <w:p>
      <w:pPr>
        <w:spacing w:after="0" w:line="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England or in the jurisdiction where the European Agent’s principal European lending branch is located are authorized or required by law to remain closed and (iii) with respect to any other applicable Facility Agent, any day on which commercial banks in the jurisdiction where such applicable Facility Agent’s principal lending branch is located are authorized or required by law to remain closed.</w:t>
      </w:r>
    </w:p>
    <w:p>
      <w:pPr>
        <w:spacing w:after="0" w:line="19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Agent</w:t>
      </w:r>
      <w:r>
        <w:rPr>
          <w:rFonts w:ascii="Arial" w:cs="Arial" w:eastAsia="Arial" w:hAnsi="Arial"/>
          <w:sz w:val="18"/>
          <w:szCs w:val="18"/>
          <w:color w:val="auto"/>
        </w:rPr>
        <w:t>” means JPMorgan Chase Bank, N.A., Toronto Branch, in its capacity as Canadian agent hereunder, and includes any successor Canadian agent.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Agent’s Office</w:t>
      </w:r>
      <w:r>
        <w:rPr>
          <w:rFonts w:ascii="Arial" w:cs="Arial" w:eastAsia="Arial" w:hAnsi="Arial"/>
          <w:sz w:val="18"/>
          <w:szCs w:val="18"/>
          <w:color w:val="auto"/>
        </w:rPr>
        <w:t xml:space="preserve">” means the Canadian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Canadian Agent may from time to time notify to the Canadian Borrower and the Lenders.</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Anti-Terrorism Laws</w:t>
      </w:r>
      <w:r>
        <w:rPr>
          <w:rFonts w:ascii="Arial" w:cs="Arial" w:eastAsia="Arial" w:hAnsi="Arial"/>
          <w:sz w:val="18"/>
          <w:szCs w:val="18"/>
          <w:color w:val="auto"/>
        </w:rPr>
        <w:t xml:space="preserve">” means the anti-terrorist provisions of the </w:t>
      </w:r>
      <w:r>
        <w:rPr>
          <w:rFonts w:ascii="Arial" w:cs="Arial" w:eastAsia="Arial" w:hAnsi="Arial"/>
          <w:sz w:val="18"/>
          <w:szCs w:val="18"/>
          <w:i w:val="1"/>
          <w:iCs w:val="1"/>
          <w:color w:val="auto"/>
        </w:rPr>
        <w:t>Criminal Code</w:t>
      </w:r>
      <w:r>
        <w:rPr>
          <w:rFonts w:ascii="Arial" w:cs="Arial" w:eastAsia="Arial" w:hAnsi="Arial"/>
          <w:sz w:val="18"/>
          <w:szCs w:val="18"/>
          <w:color w:val="auto"/>
        </w:rPr>
        <w:t xml:space="preserve"> (Canada), the </w:t>
      </w:r>
      <w:r>
        <w:rPr>
          <w:rFonts w:ascii="Arial" w:cs="Arial" w:eastAsia="Arial" w:hAnsi="Arial"/>
          <w:sz w:val="18"/>
          <w:szCs w:val="18"/>
          <w:i w:val="1"/>
          <w:iCs w:val="1"/>
          <w:color w:val="auto"/>
        </w:rPr>
        <w:t>Proceeds of Crime (Money Laundering)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Terrorist Financing Act </w:t>
      </w:r>
      <w:r>
        <w:rPr>
          <w:rFonts w:ascii="Arial" w:cs="Arial" w:eastAsia="Arial" w:hAnsi="Arial"/>
          <w:sz w:val="18"/>
          <w:szCs w:val="18"/>
          <w:color w:val="auto"/>
        </w:rPr>
        <w:t>(Canada), the</w:t>
      </w:r>
      <w:r>
        <w:rPr>
          <w:rFonts w:ascii="Arial" w:cs="Arial" w:eastAsia="Arial" w:hAnsi="Arial"/>
          <w:sz w:val="18"/>
          <w:szCs w:val="18"/>
          <w:i w:val="1"/>
          <w:iCs w:val="1"/>
          <w:color w:val="auto"/>
        </w:rPr>
        <w:t xml:space="preserve"> United Nations Suppression of Terrorism Regulations and the Anti-terrorism Act </w:t>
      </w:r>
      <w:r>
        <w:rPr>
          <w:rFonts w:ascii="Arial" w:cs="Arial" w:eastAsia="Arial" w:hAnsi="Arial"/>
          <w:sz w:val="18"/>
          <w:szCs w:val="18"/>
          <w:color w:val="auto"/>
        </w:rPr>
        <w:t>(Canada) and all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orders made thereunder.</w:t>
      </w:r>
    </w:p>
    <w:p>
      <w:pPr>
        <w:spacing w:after="0" w:line="1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Benefit Plans</w:t>
      </w:r>
      <w:r>
        <w:rPr>
          <w:rFonts w:ascii="Arial" w:cs="Arial" w:eastAsia="Arial" w:hAnsi="Arial"/>
          <w:sz w:val="18"/>
          <w:szCs w:val="18"/>
          <w:color w:val="auto"/>
        </w:rPr>
        <w:t>” means all material employee benefit plans or arrangements maintained or contributed to by the Canadian Borrower that are not Canadian Pension Plans, including all profit sharing, savings, supplemental retirement, retiring allowance, severance, pension, deferred compensation, welfare, bonus, incentive compensation, phantom stock, legal services, supplementary unemployment benefit plans or arrangements and all life, health, dental and disability plan and arrangements in which the employees or former employees of the Canadian Borrower participate or are eligible to participate but excluding all stock option or stock purchase plans.</w:t>
      </w:r>
    </w:p>
    <w:p>
      <w:pPr>
        <w:spacing w:after="0" w:line="18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w:t>
      </w:r>
      <w:r>
        <w:rPr>
          <w:rFonts w:ascii="Arial" w:cs="Arial" w:eastAsia="Arial" w:hAnsi="Arial"/>
          <w:sz w:val="18"/>
          <w:szCs w:val="18"/>
          <w:color w:val="auto"/>
        </w:rPr>
        <w:t>” means The Genuine Canadian Corp., an Ontario corporation (as successor by amalgamation to Northstar Canadian Operations Corp.).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w:t>
      </w:r>
      <w:r>
        <w:rPr>
          <w:rFonts w:ascii="Arial" w:cs="Arial" w:eastAsia="Arial" w:hAnsi="Arial"/>
          <w:sz w:val="18"/>
          <w:szCs w:val="18"/>
          <w:color w:val="auto"/>
        </w:rPr>
        <w:t>” or “</w:t>
      </w:r>
      <w:r>
        <w:rPr>
          <w:rFonts w:ascii="Arial" w:cs="Arial" w:eastAsia="Arial" w:hAnsi="Arial"/>
          <w:sz w:val="18"/>
          <w:szCs w:val="18"/>
          <w:u w:val="single" w:color="auto"/>
          <w:color w:val="auto"/>
        </w:rPr>
        <w:t>C$</w:t>
      </w:r>
      <w:r>
        <w:rPr>
          <w:rFonts w:ascii="Arial" w:cs="Arial" w:eastAsia="Arial" w:hAnsi="Arial"/>
          <w:sz w:val="18"/>
          <w:szCs w:val="18"/>
          <w:color w:val="auto"/>
        </w:rPr>
        <w:t>” mean lawful money of Canada.</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 Equivalent</w:t>
      </w:r>
      <w:r>
        <w:rPr>
          <w:rFonts w:ascii="Arial" w:cs="Arial" w:eastAsia="Arial" w:hAnsi="Arial"/>
          <w:sz w:val="17"/>
          <w:szCs w:val="17"/>
          <w:color w:val="auto"/>
        </w:rPr>
        <w:t>” means, at any time, with respect to any amount denominated in Dollars, the equivalent amount thereof in Canadian Dollars as determined by the Administrative Agent or the applicable Multicurrency Facility L/C Issuer, as the case may be, at such time on the basis of the Spot Rate (determined in respect of the most recent Revaluation Date) for the purchase of Canadian Dollars with Dollars.</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Obligations</w:t>
      </w:r>
      <w:r>
        <w:rPr>
          <w:rFonts w:ascii="Arial" w:cs="Arial" w:eastAsia="Arial" w:hAnsi="Arial"/>
          <w:sz w:val="17"/>
          <w:szCs w:val="17"/>
          <w:color w:val="auto"/>
        </w:rPr>
        <w:t xml:space="preserve">” means all obligations, liabilities and indebtedness of every nature of the Canadian Borrower from time to time owed to the Secured Parties under the Loan Documents including, without limitation, (i) the principal amount of all debts, claims and indebtedness, accrued and unpaid interest and all fees, costs and expenses, whether primary, secondary, direct, contingent, fixed or otherwise, heretofore, now and/or from time to time hereafter owing, due or payable including, without limitation, all interest, fees, cost and expenses accrued or incurred after the filing of any petition under any bankruptcy or insolvency law (regardless of whether allowed or allowable in whole or in part as a claim therein), (ii) the due and punctual payment and performance of all obligations of the Canadian Borrower under each Swap Contract permitted to be incurred pursuant to </w:t>
      </w:r>
      <w:r>
        <w:rPr>
          <w:rFonts w:ascii="Arial" w:cs="Arial" w:eastAsia="Arial" w:hAnsi="Arial"/>
          <w:sz w:val="17"/>
          <w:szCs w:val="17"/>
          <w:u w:val="single" w:color="auto"/>
          <w:color w:val="auto"/>
        </w:rPr>
        <w:t>Section 7.03(n)</w:t>
      </w:r>
      <w:r>
        <w:rPr>
          <w:rFonts w:ascii="Arial" w:cs="Arial" w:eastAsia="Arial" w:hAnsi="Arial"/>
          <w:sz w:val="17"/>
          <w:szCs w:val="17"/>
          <w:color w:val="auto"/>
        </w:rPr>
        <w:t xml:space="preserve"> entered into with any counterparty that is a Secured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Canadian Obligations shall exclude any Excluded Swap Obligations and (iii) the due and punctual payment and performance of all obligations in respect of any Treasury Management Agreement between the Canadian Borrower and any Person that is a Secured Party.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73" w:right="339" w:bottom="1440" w:gutter="0" w:footer="0" w:header="0"/>
        </w:sectPr>
      </w:pPr>
    </w:p>
    <w:bookmarkStart w:id="78" w:name="page79"/>
    <w:bookmarkEnd w:id="78"/>
    <w:p>
      <w:pPr>
        <w:ind w:right="7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Plans</w:t>
      </w:r>
      <w:r>
        <w:rPr>
          <w:rFonts w:ascii="Arial" w:cs="Arial" w:eastAsia="Arial" w:hAnsi="Arial"/>
          <w:sz w:val="18"/>
          <w:szCs w:val="18"/>
          <w:color w:val="auto"/>
        </w:rPr>
        <w:t>” means all plans and arrangements which are or which are intended to be registered under or subject to pension minimum standards legislation in Canada that is established, maintained or contributed to by the Canadian Borrower for its employees or former employees.</w:t>
      </w:r>
    </w:p>
    <w:p>
      <w:pPr>
        <w:spacing w:after="0" w:line="18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w:t>
      </w:r>
      <w:r>
        <w:rPr>
          <w:rFonts w:ascii="Arial" w:cs="Arial" w:eastAsia="Arial" w:hAnsi="Arial"/>
          <w:sz w:val="16"/>
          <w:szCs w:val="16"/>
          <w:color w:val="auto"/>
        </w:rPr>
        <w:t>” means, on any day, the rate determined by the Canadian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Canadian Agent in its reasonable discretion) and</w:t>
      </w:r>
    </w:p>
    <w:p>
      <w:pPr>
        <w:spacing w:after="0" w:line="2" w:lineRule="exact"/>
        <w:rPr>
          <w:sz w:val="20"/>
          <w:szCs w:val="20"/>
          <w:color w:val="auto"/>
        </w:rPr>
      </w:pPr>
    </w:p>
    <w:p>
      <w:pPr>
        <w:ind w:right="80" w:firstLine="8"/>
        <w:spacing w:after="0" w:line="250"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average rate for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Canadian Agent in its reasonable discretion) at 10:15 a.m. Toronto time on such day, plus 1.00%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any the above rates shall be less than zero, such rate shall be deemed to be zero and (b) any change in the Canadian Prime Rate due to a change in the PRIMCAN Index or the CDOR Rate shall be effective from and including the effective date of such change in the PRIMCAN Index or CDOR Rate,</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Loans</w:t>
      </w:r>
      <w:r>
        <w:rPr>
          <w:rFonts w:ascii="Arial" w:cs="Arial" w:eastAsia="Arial" w:hAnsi="Arial"/>
          <w:sz w:val="18"/>
          <w:szCs w:val="18"/>
          <w:color w:val="auto"/>
        </w:rPr>
        <w:t>” means Multicurrency Facility Revolving Loans and Multicurrency Facility Swing Line Loans for which the applicable rate of interest is based upon the Canadian Prime Rate.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U.S. Base Rate</w:t>
      </w:r>
      <w:r>
        <w:rPr>
          <w:rFonts w:ascii="Arial" w:cs="Arial" w:eastAsia="Arial" w:hAnsi="Arial"/>
          <w:sz w:val="18"/>
          <w:szCs w:val="18"/>
          <w:color w:val="auto"/>
        </w:rPr>
        <w:t xml:space="preserve">” means, at any time, the rate of interest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greatest of (i) the rate which the principal office of the Canadian Agent in Toronto, Ontario announces from time to time as the reference rate of interest for loans in Dollars to its Canadian borrowers; (ii) the FRBNY Rate plus 0.50% and (iii) the Eurodollar Rate plus 1.00%, in each case adjusted automatically with each change in such rates all without the necessity of any notice to the Canadian Borrower or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the above rates shall be less than zero, such rate shall be deemed to be zero.</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U.S. Base Rate Loans</w:t>
      </w:r>
      <w:r>
        <w:rPr>
          <w:rFonts w:ascii="Arial" w:cs="Arial" w:eastAsia="Arial" w:hAnsi="Arial"/>
          <w:sz w:val="18"/>
          <w:szCs w:val="18"/>
          <w:color w:val="auto"/>
        </w:rPr>
        <w:t>” means Multicurrency Facility Revolving Loans and Multicurrency Facility Swing Line Loans for which the applicable rate of interest is based on the Canadian U.S. Base Rate.</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the Administrative Agent, the applicable L/C Issuer or the applicable Swing Line Lender (as applicable) and, if applicable, the Lenders, as collateral for L/C Obligations, Obligations in respect of Swing Line Loans, or obligations of Lenders to fund participations in respect of either thereof (as the context may require), cash or deposit account balances or, if the applicable L/C Issuer or Swing Line Lender benefiting from such collateral shall agree in its sole discretion, other credit support, in each case pursuant to documentation in form and substance satisfactory to (a) the Administrative Agent and (b) the applicable L/C Issuer or the applicable Swing Line Lender (as applicable). “Cash Collateral” shall have a meaning correlative to the foregoing and shall include the proceeds of such cash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collateral and other credit support.</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xml:space="preserve">” means, as to any Person, (a) securities issued, or directly, unconditionally and fully guaranteed or insured, by the United States or any agency or instrumentality thereof having maturities of not more than one year from the date of acquisition by such Person; provided the full faith and credit of the United States is pledged in support thereof; (b) time deposits, certificates of deposit and bankers’ acceptances of any Lender or any commercial bank, or which is the principal banking subsidiary of a bank holding company, in each case, organized under the laws of the United States, any state thereof or the District of Columbia having, capital and surplus aggregating in excess of $500,000,000 with maturities of not more than one year from the date of acquisition by such Person; (c) repurchase obligations with a term of not more than 30 days for underlying securities of the types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entered into with any bank meeting the qualifications specified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773" w:right="359" w:bottom="1440" w:gutter="0" w:footer="0" w:header="0"/>
        </w:sectPr>
      </w:pPr>
    </w:p>
    <w:bookmarkStart w:id="79" w:name="page80"/>
    <w:bookmarkEnd w:id="79"/>
    <w:p>
      <w:pPr>
        <w:ind w:right="40"/>
        <w:spacing w:after="0" w:line="270" w:lineRule="auto"/>
        <w:rPr>
          <w:sz w:val="20"/>
          <w:szCs w:val="20"/>
          <w:color w:val="auto"/>
        </w:rPr>
      </w:pPr>
      <w:r>
        <w:rPr>
          <w:rFonts w:ascii="Arial" w:cs="Arial" w:eastAsia="Arial" w:hAnsi="Arial"/>
          <w:sz w:val="17"/>
          <w:szCs w:val="17"/>
          <w:color w:val="auto"/>
        </w:rPr>
        <w:t xml:space="preserve">which repurchase obligations are secured by a valid perfected security interest in the underlying securities; (d) commercial paper issued by any Person incorporated in the United States rated at least A-2 or the equivalent thereof by S&amp;P or at least P-2 or the equivalent thereof by Moody’s and in each case maturing not more than one year after the date of acquisition by such Person; (e) direct obligations issued by any state of the United States or any political subdivision thereof having one of the two highest rating categories obtainable from either S&amp;P or Moody’s with maturities of not more than one year from the date of acquisition thereof; (f) demand deposit accounts maintained in the ordinary course of business with any Lender or any commercial bank, or which is the principal banking subsidiary of a bank holding company, in each case, organized under the laws of the United States, any state thereof or the District of Columbia having capital and surplus aggregating in excess of $500,000,000; (g) investments in money market funds substantially all of whose assets comprise securities of the types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above; and (h) in the case of Foreign Subsidiaries, Investments made locally of a type comparable to those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this definition.</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 Rate</w:t>
      </w:r>
      <w:r>
        <w:rPr>
          <w:rFonts w:ascii="Arial" w:cs="Arial" w:eastAsia="Arial" w:hAnsi="Arial"/>
          <w:sz w:val="16"/>
          <w:szCs w:val="16"/>
          <w:color w:val="auto"/>
        </w:rPr>
        <w:t>” means, the rate per annum, equal to the average of the annual yield rates applicable to Canadian Dollar banker’s acceptances at or about 10:00 a.m. (Toronto, Ontario time) on the Rate Determination Date of such Interest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(in each case, the “</w:t>
      </w:r>
      <w:r>
        <w:rPr>
          <w:rFonts w:ascii="Arial" w:cs="Arial" w:eastAsia="Arial" w:hAnsi="Arial"/>
          <w:sz w:val="16"/>
          <w:szCs w:val="16"/>
          <w:u w:val="single" w:color="auto"/>
          <w:color w:val="auto"/>
        </w:rPr>
        <w:t>Published CDOR Rate</w:t>
      </w:r>
      <w:r>
        <w:rPr>
          <w:rFonts w:ascii="Arial" w:cs="Arial" w:eastAsia="Arial" w:hAnsi="Arial"/>
          <w:sz w:val="16"/>
          <w:szCs w:val="16"/>
          <w:color w:val="auto"/>
        </w:rPr>
        <w:t>”) for a term equivalent to such Interest Period (or if such Interest Period is not equal to a number of months, for a term equivalent to the number of months closest to such Interest Period).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CERCLA</w:t>
      </w:r>
      <w:r>
        <w:rPr>
          <w:rFonts w:ascii="Arial" w:cs="Arial" w:eastAsia="Arial" w:hAnsi="Arial"/>
          <w:sz w:val="16"/>
          <w:szCs w:val="16"/>
          <w:color w:val="auto"/>
        </w:rPr>
        <w:t xml:space="preserve">” means the Comprehensive Environmental Response, Compensation, and Liability Act of 1980, as amended, 42 U.S.C. § 9601 </w:t>
      </w:r>
      <w:r>
        <w:rPr>
          <w:rFonts w:ascii="Arial" w:cs="Arial" w:eastAsia="Arial" w:hAnsi="Arial"/>
          <w:sz w:val="16"/>
          <w:szCs w:val="16"/>
          <w:u w:val="single" w:color="auto"/>
          <w:color w:val="auto"/>
        </w:rPr>
        <w:t>et seq</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Closing Date, of any of the following: (a) the adoption or taking effect of any law, order, policy, rule, regulation or treaty, (b) any change in any law, order, policy,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at any time,</w:t>
      </w:r>
    </w:p>
    <w:p>
      <w:pPr>
        <w:spacing w:after="0" w:line="225" w:lineRule="exact"/>
        <w:rPr>
          <w:sz w:val="20"/>
          <w:szCs w:val="20"/>
          <w:color w:val="auto"/>
        </w:rPr>
      </w:pPr>
    </w:p>
    <w:p>
      <w:pPr>
        <w:ind w:left="660" w:firstLine="644"/>
        <w:spacing w:after="0" w:line="263" w:lineRule="auto"/>
        <w:tabs>
          <w:tab w:leader="none" w:pos="215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amalgamation or consolidation), in one or a series of related transactions, of all or substantially all of the properties or assets of the U.S. Borrower and its Restricted Subsidiaries, taken as a whole, to any “person” (as that term is used in Section 13(d)(3) of the Exchange Act);</w:t>
      </w:r>
    </w:p>
    <w:p>
      <w:pPr>
        <w:spacing w:after="0" w:line="197" w:lineRule="exact"/>
        <w:rPr>
          <w:rFonts w:ascii="Arial" w:cs="Arial" w:eastAsia="Arial" w:hAnsi="Arial"/>
          <w:sz w:val="18"/>
          <w:szCs w:val="18"/>
          <w:color w:val="auto"/>
        </w:rPr>
      </w:pPr>
    </w:p>
    <w:p>
      <w:pPr>
        <w:ind w:left="660" w:right="20" w:firstLine="644"/>
        <w:spacing w:after="0" w:line="292" w:lineRule="auto"/>
        <w:tabs>
          <w:tab w:leader="none" w:pos="1718" w:val="left"/>
        </w:tabs>
        <w:numPr>
          <w:ilvl w:val="1"/>
          <w:numId w:val="25"/>
        </w:numPr>
        <w:rPr>
          <w:rFonts w:ascii="Arial" w:cs="Arial" w:eastAsia="Arial" w:hAnsi="Arial"/>
          <w:sz w:val="18"/>
          <w:szCs w:val="18"/>
          <w:color w:val="auto"/>
        </w:rPr>
      </w:pPr>
      <w:r>
        <w:rPr>
          <w:rFonts w:ascii="Arial" w:cs="Arial" w:eastAsia="Arial" w:hAnsi="Arial"/>
          <w:sz w:val="16"/>
          <w:szCs w:val="16"/>
          <w:color w:val="auto"/>
        </w:rPr>
        <w:t xml:space="preserve">Holdings shall cease to own, directly or indirectly, 100% of the Equity Interests of any Borrower, except, in the case of any Foreign Borrower, pursuant to a transaction permitted under </w:t>
      </w:r>
      <w:r>
        <w:rPr>
          <w:rFonts w:ascii="Arial" w:cs="Arial" w:eastAsia="Arial" w:hAnsi="Arial"/>
          <w:sz w:val="16"/>
          <w:szCs w:val="16"/>
          <w:u w:val="single" w:color="auto"/>
          <w:color w:val="auto"/>
        </w:rPr>
        <w:t>Sections 7.04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7.05</w:t>
      </w:r>
      <w:r>
        <w:rPr>
          <w:rFonts w:ascii="Arial" w:cs="Arial" w:eastAsia="Arial" w:hAnsi="Arial"/>
          <w:sz w:val="16"/>
          <w:szCs w:val="16"/>
          <w:color w:val="auto"/>
        </w:rPr>
        <w:t xml:space="preserve"> so long as (i) such Foreign Borrower shall cease to be a Borrower under this Agreement, (ii) all commitments to make Loans to, and to issue Letters of Credit on behalf of, such Foreign Borrower shall have been terminated, (iii) all Obligations (other than (A) contingent indemnification obligations and (B) obligations and liabilities under Swap Contracts and Treasury Management Agreements not then due and payable) of such Foreign Borrower shall have been paid or otherwise satisfied in full and</w:t>
      </w:r>
    </w:p>
    <w:p>
      <w:pPr>
        <w:spacing w:after="0" w:line="1" w:lineRule="exact"/>
        <w:rPr>
          <w:rFonts w:ascii="Arial" w:cs="Arial" w:eastAsia="Arial" w:hAnsi="Arial"/>
          <w:sz w:val="18"/>
          <w:szCs w:val="18"/>
          <w:color w:val="auto"/>
        </w:rPr>
      </w:pPr>
    </w:p>
    <w:p>
      <w:pPr>
        <w:ind w:left="660" w:right="60" w:hanging="4"/>
        <w:spacing w:after="0" w:line="292" w:lineRule="auto"/>
        <w:tabs>
          <w:tab w:leader="none" w:pos="9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Letters of Credit issued on behalf of such Foreign Borrower shall have expired or shall have been terminated or Cash Collateralized (other than Letters of Credit as to which other arrangements reasonably satisfactory to the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557" w:right="379" w:bottom="1440" w:gutter="0" w:footer="0" w:header="0"/>
        </w:sectPr>
      </w:pPr>
    </w:p>
    <w:bookmarkStart w:id="80" w:name="page81"/>
    <w:bookmarkEnd w:id="80"/>
    <w:p>
      <w:pPr>
        <w:ind w:left="660" w:right="920"/>
        <w:spacing w:after="0" w:line="277" w:lineRule="auto"/>
        <w:rPr>
          <w:sz w:val="20"/>
          <w:szCs w:val="20"/>
          <w:color w:val="auto"/>
        </w:rPr>
      </w:pPr>
      <w:r>
        <w:rPr>
          <w:rFonts w:ascii="Arial" w:cs="Arial" w:eastAsia="Arial" w:hAnsi="Arial"/>
          <w:sz w:val="18"/>
          <w:szCs w:val="18"/>
          <w:color w:val="auto"/>
        </w:rPr>
        <w:t>Administrative Agent and the L/C Issuers shall have been made), in the case of each of the foregoing clauses (i) through (iv), pursuant documentation reasonably acceptable to the Agents;</w:t>
      </w:r>
    </w:p>
    <w:p>
      <w:pPr>
        <w:spacing w:after="0" w:line="184" w:lineRule="exact"/>
        <w:rPr>
          <w:sz w:val="20"/>
          <w:szCs w:val="20"/>
          <w:color w:val="auto"/>
        </w:rPr>
      </w:pPr>
    </w:p>
    <w:p>
      <w:pPr>
        <w:ind w:left="1700" w:hanging="396"/>
        <w:spacing w:after="0"/>
        <w:tabs>
          <w:tab w:leader="none" w:pos="1700" w:val="left"/>
        </w:tabs>
        <w:numPr>
          <w:ilvl w:val="0"/>
          <w:numId w:val="27"/>
        </w:numPr>
        <w:rPr>
          <w:rFonts w:ascii="Arial" w:cs="Arial" w:eastAsia="Arial" w:hAnsi="Arial"/>
          <w:sz w:val="20"/>
          <w:szCs w:val="20"/>
          <w:color w:val="auto"/>
        </w:rPr>
      </w:pPr>
      <w:r>
        <w:rPr>
          <w:rFonts w:ascii="Arial" w:cs="Arial" w:eastAsia="Arial" w:hAnsi="Arial"/>
          <w:sz w:val="18"/>
          <w:szCs w:val="18"/>
          <w:color w:val="auto"/>
        </w:rPr>
        <w:t>the adoption of a plan relating to the liquidation or dissolution of Holdings or the U.S. Borrower;</w:t>
      </w:r>
    </w:p>
    <w:p>
      <w:pPr>
        <w:spacing w:after="0" w:line="215" w:lineRule="exact"/>
        <w:rPr>
          <w:rFonts w:ascii="Arial" w:cs="Arial" w:eastAsia="Arial" w:hAnsi="Arial"/>
          <w:sz w:val="20"/>
          <w:szCs w:val="20"/>
          <w:color w:val="auto"/>
        </w:rPr>
      </w:pPr>
    </w:p>
    <w:p>
      <w:pPr>
        <w:jc w:val="both"/>
        <w:ind w:left="660" w:right="60" w:firstLine="644"/>
        <w:spacing w:after="0" w:line="306" w:lineRule="auto"/>
        <w:tabs>
          <w:tab w:leader="none" w:pos="1718" w:val="left"/>
        </w:tabs>
        <w:numPr>
          <w:ilvl w:val="0"/>
          <w:numId w:val="27"/>
        </w:numPr>
        <w:rPr>
          <w:rFonts w:ascii="Arial" w:cs="Arial" w:eastAsia="Arial" w:hAnsi="Arial"/>
          <w:sz w:val="18"/>
          <w:szCs w:val="18"/>
          <w:color w:val="auto"/>
        </w:rPr>
      </w:pPr>
      <w:r>
        <w:rPr>
          <w:rFonts w:ascii="Arial" w:cs="Arial" w:eastAsia="Arial" w:hAnsi="Arial"/>
          <w:sz w:val="16"/>
          <w:szCs w:val="16"/>
          <w:color w:val="auto"/>
        </w:rPr>
        <w:t>any “person” or “group” (as such terms are used in Sections 13(d) and 14(d) of the Exchange Act)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directly or indirectly, 35% or more of the Voting Stock of Holdings, measured by voting power rather than number of shares; or</w:t>
      </w:r>
    </w:p>
    <w:p>
      <w:pPr>
        <w:spacing w:after="0" w:line="166" w:lineRule="exact"/>
        <w:rPr>
          <w:rFonts w:ascii="Arial" w:cs="Arial" w:eastAsia="Arial" w:hAnsi="Arial"/>
          <w:sz w:val="18"/>
          <w:szCs w:val="18"/>
          <w:color w:val="auto"/>
        </w:rPr>
      </w:pPr>
    </w:p>
    <w:p>
      <w:pPr>
        <w:ind w:left="1700" w:hanging="396"/>
        <w:spacing w:after="0"/>
        <w:tabs>
          <w:tab w:leader="none" w:pos="1700" w:val="left"/>
        </w:tabs>
        <w:numPr>
          <w:ilvl w:val="0"/>
          <w:numId w:val="27"/>
        </w:numPr>
        <w:rPr>
          <w:rFonts w:ascii="Arial" w:cs="Arial" w:eastAsia="Arial" w:hAnsi="Arial"/>
          <w:sz w:val="20"/>
          <w:szCs w:val="20"/>
          <w:color w:val="auto"/>
        </w:rPr>
      </w:pPr>
      <w:r>
        <w:rPr>
          <w:rFonts w:ascii="Arial" w:cs="Arial" w:eastAsia="Arial" w:hAnsi="Arial"/>
          <w:sz w:val="18"/>
          <w:szCs w:val="18"/>
          <w:color w:val="auto"/>
        </w:rPr>
        <w:t>the first day on which a majority of the members of the board of directors of Holdings are not Continuing Directors.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assigned to such term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Agents</w:t>
      </w:r>
      <w:r>
        <w:rPr>
          <w:rFonts w:ascii="Arial" w:cs="Arial" w:eastAsia="Arial" w:hAnsi="Arial"/>
          <w:sz w:val="18"/>
          <w:szCs w:val="18"/>
          <w:color w:val="auto"/>
        </w:rPr>
        <w:t>” has the meaning assigned to such term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collectively, all of the Security Agreement Collateral, the Mortgaged Property and all other property of whatever kind and nature subject or purported to be subject from time to time to a Lien under any Security Document. For purposes of clarification, the foregoing shall no longer constitute “Collateral” during a Collateral and Covenant Release Period and during a Collateral and Covenant Release Period there shall be no “Collateral”.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has the meaning assigned to such term in the introductory paragraph hereto, and includes any successor collateral agent.</w:t>
      </w:r>
    </w:p>
    <w:p>
      <w:pPr>
        <w:spacing w:after="0" w:line="23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Covenant Release Period</w:t>
      </w:r>
      <w:r>
        <w:rPr>
          <w:rFonts w:ascii="Arial" w:cs="Arial" w:eastAsia="Arial" w:hAnsi="Arial"/>
          <w:sz w:val="18"/>
          <w:szCs w:val="18"/>
          <w:color w:val="auto"/>
        </w:rPr>
        <w:t xml:space="preserve">” means any period </w:t>
      </w:r>
      <w:r>
        <w:rPr>
          <w:rFonts w:ascii="Arial" w:cs="Arial" w:eastAsia="Arial" w:hAnsi="Arial"/>
          <w:sz w:val="18"/>
          <w:szCs w:val="18"/>
          <w:u w:val="single" w:color="auto"/>
          <w:color w:val="auto"/>
        </w:rPr>
        <w:t>*(unless any part of such period occurs during the Restricted Period)*</w:t>
      </w:r>
      <w:r>
        <w:rPr>
          <w:rFonts w:ascii="Arial" w:cs="Arial" w:eastAsia="Arial" w:hAnsi="Arial"/>
          <w:sz w:val="18"/>
          <w:szCs w:val="18"/>
          <w:color w:val="auto"/>
        </w:rPr>
        <w:t xml:space="preserve"> after the Fourth Restatement Date commencing on the occurrence of a Collateral and Covenant Release Date and ending on the Collateral and Covenant Trigger Date, if any, subsequent to such Collateral and Covenant Release Date.</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Covenant Release Date</w:t>
      </w:r>
      <w:r>
        <w:rPr>
          <w:rFonts w:ascii="Arial" w:cs="Arial" w:eastAsia="Arial" w:hAnsi="Arial"/>
          <w:sz w:val="18"/>
          <w:szCs w:val="18"/>
          <w:color w:val="auto"/>
        </w:rPr>
        <w:t xml:space="preserve">” means any date after the Fourth Restatement Date </w:t>
      </w:r>
      <w:r>
        <w:rPr>
          <w:rFonts w:ascii="Arial" w:cs="Arial" w:eastAsia="Arial" w:hAnsi="Arial"/>
          <w:sz w:val="18"/>
          <w:szCs w:val="18"/>
          <w:u w:val="single" w:color="auto"/>
          <w:color w:val="auto"/>
        </w:rPr>
        <w:t>*(other than any date that falls during the 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xml:space="preserve"> on which no Default or Event of Default is continuing and all of the following events shall have occurred: (a) Moody’s has in effect a corporate family rating (that has not been placed on negative watch) of Baa3 or higher (with a stable or better outlook), (b) S&amp;P has in effect a corporate credit rating (that has not been placed on negative watch) of BBB- or higher (with a stable or better outlook) and (c) the Administrative Agent shall have received a certificate signed by the chief executive officer or the chief financial officer of the U.S. Borrower certifying that the foregoing conditions have all been satisfied.</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and Covenant Trigger Date</w:t>
      </w:r>
      <w:r>
        <w:rPr>
          <w:rFonts w:ascii="Arial" w:cs="Arial" w:eastAsia="Arial" w:hAnsi="Arial"/>
          <w:sz w:val="16"/>
          <w:szCs w:val="16"/>
          <w:color w:val="auto"/>
        </w:rPr>
        <w:t>” means any date after the Fourth Restatement Date, after the occurrence and during the Collateral and Covenant Release Period, on which one of the following events occurs: (w) both (a) Moody’s issues a corporate family rating of Ba1 or lower (with a stable or better outlook) and (b) S&amp;P issues a corporate credit rating of BB+ or lower (with a stable or better outlook), (x) either (a) Moody’s issues a corporate family rating of Ba2 or lower (with a stable or better outlook) or (b) S&amp;P issues a corporate credit rating of BB or lower (with a stable or better outlook),</w:t>
      </w:r>
    </w:p>
    <w:p>
      <w:pPr>
        <w:spacing w:after="0" w:line="1" w:lineRule="exact"/>
        <w:rPr>
          <w:sz w:val="20"/>
          <w:szCs w:val="20"/>
          <w:color w:val="auto"/>
        </w:rPr>
      </w:pPr>
    </w:p>
    <w:p>
      <w:pPr>
        <w:ind w:right="400" w:firstLine="8"/>
        <w:spacing w:after="0" w:line="323"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Moody’s or S&amp;P ceases to issue a corporate family rating or corporate credit rating, as the case may be, or (z) any Event of Default shall occur and continue and have not been waived or cured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8.01(b)</w:t>
      </w:r>
      <w:r>
        <w:rPr>
          <w:rFonts w:ascii="Arial" w:cs="Arial" w:eastAsia="Arial" w:hAnsi="Arial"/>
          <w:sz w:val="16"/>
          <w:szCs w:val="16"/>
          <w:color w:val="auto"/>
        </w:rPr>
        <w:t xml:space="preserve"> (as a result of any failure to comply with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w:t>
      </w:r>
      <w:r>
        <w:rPr>
          <w:rFonts w:ascii="Arial" w:cs="Arial" w:eastAsia="Arial" w:hAnsi="Arial"/>
          <w:sz w:val="16"/>
          <w:szCs w:val="16"/>
          <w:u w:val="single" w:color="auto"/>
          <w:color w:val="auto"/>
        </w:rPr>
        <w:t>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8.01(g)</w:t>
      </w:r>
      <w:r>
        <w:rPr>
          <w:rFonts w:ascii="Arial" w:cs="Arial" w:eastAsia="Arial" w:hAnsi="Arial"/>
          <w:sz w:val="16"/>
          <w:szCs w:val="16"/>
          <w:color w:val="auto"/>
        </w:rPr>
        <w:t>.</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57" w:right="3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U.S. Dollar Facility Commitment or a Multicurrency Facility Commitment,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Increase</w:t>
      </w:r>
      <w:r>
        <w:rPr>
          <w:rFonts w:ascii="Arial" w:cs="Arial" w:eastAsia="Arial" w:hAnsi="Arial"/>
          <w:sz w:val="17"/>
          <w:szCs w:val="17"/>
          <w:color w:val="auto"/>
        </w:rPr>
        <w:t>” means a U.S. Dollar Facility Commitment Increase or a Multicurrency Facility Commitment Increase, as applicable.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(a) Consolidated EBITDAR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to the extent added back to such Consolidated EBITDAR, Rent Expense.</w:t>
      </w:r>
    </w:p>
    <w:p>
      <w:pPr>
        <w:spacing w:after="0" w:line="170"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EBITDAR</w:t>
      </w:r>
      <w:r>
        <w:rPr>
          <w:rFonts w:ascii="Arial" w:cs="Arial" w:eastAsia="Arial" w:hAnsi="Arial"/>
          <w:sz w:val="16"/>
          <w:szCs w:val="16"/>
          <w:color w:val="auto"/>
        </w:rPr>
        <w:t>” means, for any period, (a) Consolidated Net Income for such Measurement Period plus (b) the following (without duplication) to the extent deducted (other than clause (vii)) in calculating such Consolidated Net Income (and not added back in the definition thereof):</w:t>
      </w:r>
    </w:p>
    <w:p>
      <w:pPr>
        <w:spacing w:after="0" w:line="124" w:lineRule="exact"/>
        <w:rPr>
          <w:sz w:val="20"/>
          <w:szCs w:val="20"/>
          <w:color w:val="auto"/>
        </w:rPr>
      </w:pPr>
    </w:p>
    <w:p>
      <w:pPr>
        <w:ind w:left="2120" w:hanging="816"/>
        <w:spacing w:after="0"/>
        <w:tabs>
          <w:tab w:leader="none" w:pos="2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interest expense,</w:t>
      </w:r>
    </w:p>
    <w:p>
      <w:pPr>
        <w:spacing w:after="0" w:line="238" w:lineRule="exact"/>
        <w:rPr>
          <w:rFonts w:ascii="Arial" w:cs="Arial" w:eastAsia="Arial" w:hAnsi="Arial"/>
          <w:sz w:val="18"/>
          <w:szCs w:val="18"/>
          <w:color w:val="auto"/>
        </w:rPr>
      </w:pPr>
    </w:p>
    <w:p>
      <w:pPr>
        <w:ind w:left="660" w:right="200" w:firstLine="644"/>
        <w:spacing w:after="0" w:line="310" w:lineRule="auto"/>
        <w:tabs>
          <w:tab w:leader="none" w:pos="1729" w:val="left"/>
        </w:tabs>
        <w:numPr>
          <w:ilvl w:val="0"/>
          <w:numId w:val="29"/>
        </w:numPr>
        <w:rPr>
          <w:rFonts w:ascii="Arial" w:cs="Arial" w:eastAsia="Arial" w:hAnsi="Arial"/>
          <w:sz w:val="18"/>
          <w:szCs w:val="18"/>
          <w:color w:val="auto"/>
        </w:rPr>
      </w:pPr>
      <w:r>
        <w:rPr>
          <w:rFonts w:ascii="Arial" w:cs="Arial" w:eastAsia="Arial" w:hAnsi="Arial"/>
          <w:sz w:val="16"/>
          <w:szCs w:val="16"/>
          <w:color w:val="auto"/>
        </w:rPr>
        <w:t xml:space="preserve">provisions for taxes (including any taxes actually paid and franchise taxes) of the U.S. Borrower and its Restricted Subsidiaries based upon income as reflected in the provision for income taxes in the U.S. Borrower’s (or, if so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Holdings’) consolidated financial statements, subject to adjustments necessary to eliminate the accounts of Unrestricted Subsidiaries (if any),</w:t>
      </w:r>
    </w:p>
    <w:p>
      <w:pPr>
        <w:spacing w:after="0" w:line="161" w:lineRule="exact"/>
        <w:rPr>
          <w:rFonts w:ascii="Arial" w:cs="Arial" w:eastAsia="Arial" w:hAnsi="Arial"/>
          <w:sz w:val="18"/>
          <w:szCs w:val="18"/>
          <w:color w:val="auto"/>
        </w:rPr>
      </w:pPr>
    </w:p>
    <w:p>
      <w:pPr>
        <w:ind w:left="1780" w:hanging="476"/>
        <w:spacing w:after="0"/>
        <w:tabs>
          <w:tab w:leader="none" w:pos="1780" w:val="left"/>
        </w:tabs>
        <w:numPr>
          <w:ilvl w:val="0"/>
          <w:numId w:val="29"/>
        </w:numPr>
        <w:rPr>
          <w:rFonts w:ascii="Arial" w:cs="Arial" w:eastAsia="Arial" w:hAnsi="Arial"/>
          <w:sz w:val="20"/>
          <w:szCs w:val="20"/>
          <w:color w:val="auto"/>
        </w:rPr>
      </w:pPr>
      <w:r>
        <w:rPr>
          <w:rFonts w:ascii="Arial" w:cs="Arial" w:eastAsia="Arial" w:hAnsi="Arial"/>
          <w:sz w:val="18"/>
          <w:szCs w:val="18"/>
          <w:color w:val="auto"/>
        </w:rPr>
        <w:t>depreciation and amortization expense of the U.S. Borrower and its Restricted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Subsidiaries,</w:t>
      </w:r>
    </w:p>
    <w:p>
      <w:pPr>
        <w:spacing w:after="0" w:line="234" w:lineRule="exact"/>
        <w:rPr>
          <w:sz w:val="20"/>
          <w:szCs w:val="20"/>
          <w:color w:val="auto"/>
        </w:rPr>
      </w:pPr>
    </w:p>
    <w:p>
      <w:pPr>
        <w:ind w:left="660" w:firstLine="644"/>
        <w:spacing w:after="0" w:line="264" w:lineRule="auto"/>
        <w:tabs>
          <w:tab w:leader="none" w:pos="1774" w:val="left"/>
        </w:tabs>
        <w:numPr>
          <w:ilvl w:val="0"/>
          <w:numId w:val="30"/>
        </w:numPr>
        <w:rPr>
          <w:rFonts w:ascii="Arial" w:cs="Arial" w:eastAsia="Arial" w:hAnsi="Arial"/>
          <w:sz w:val="20"/>
          <w:szCs w:val="20"/>
          <w:color w:val="auto"/>
        </w:rPr>
      </w:pPr>
      <w:r>
        <w:rPr>
          <w:rFonts w:ascii="Arial" w:cs="Arial" w:eastAsia="Arial" w:hAnsi="Arial"/>
          <w:sz w:val="18"/>
          <w:szCs w:val="18"/>
          <w:color w:val="auto"/>
        </w:rPr>
        <w:t>non-cash charges and expenses of the U.S. Borrower and its Restricted Subsidiaries (including any non-cash charges resulting from purchase accounting, but excluding any such charge or expense that constitutes an accrual of or a reserve for potential cash charges for any future period or amortization of a prepaid cash item that was paid in a prior period)</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p>
    <w:p>
      <w:pPr>
        <w:spacing w:after="0" w:line="196" w:lineRule="exact"/>
        <w:rPr>
          <w:rFonts w:ascii="Arial" w:cs="Arial" w:eastAsia="Arial" w:hAnsi="Arial"/>
          <w:sz w:val="20"/>
          <w:szCs w:val="20"/>
          <w:color w:val="auto"/>
        </w:rPr>
      </w:pPr>
    </w:p>
    <w:p>
      <w:pPr>
        <w:ind w:left="660" w:right="320" w:firstLine="644"/>
        <w:spacing w:after="0" w:line="265" w:lineRule="auto"/>
        <w:tabs>
          <w:tab w:leader="none" w:pos="1718" w:val="left"/>
        </w:tabs>
        <w:numPr>
          <w:ilvl w:val="0"/>
          <w:numId w:val="30"/>
        </w:numPr>
        <w:rPr>
          <w:rFonts w:ascii="Arial" w:cs="Arial" w:eastAsia="Arial" w:hAnsi="Arial"/>
          <w:sz w:val="20"/>
          <w:szCs w:val="20"/>
          <w:color w:val="auto"/>
        </w:rPr>
      </w:pPr>
      <w:r>
        <w:rPr>
          <w:rFonts w:ascii="Arial" w:cs="Arial" w:eastAsia="Arial" w:hAnsi="Arial"/>
          <w:sz w:val="18"/>
          <w:szCs w:val="18"/>
          <w:color w:val="auto"/>
        </w:rPr>
        <w:t xml:space="preserve">expenses incurred in connection with any Investment made pursuant to </w:t>
      </w:r>
      <w:r>
        <w:rPr>
          <w:rFonts w:ascii="Arial" w:cs="Arial" w:eastAsia="Arial" w:hAnsi="Arial"/>
          <w:sz w:val="18"/>
          <w:szCs w:val="18"/>
          <w:u w:val="single" w:color="auto"/>
          <w:color w:val="auto"/>
        </w:rPr>
        <w:t>Section 7.02(f)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of this Agreement or under the Third Amended and Restated Credit Agreement, any issuance of Disqualified Capital Stock, any Debt Issuance or any issuance of Equity Interests of Holdings, U.S. Borrower and its Restricted Subsidiaries (in each case, whether or not consummated), or early extinguishment of Indebtedness,</w:t>
      </w:r>
    </w:p>
    <w:p>
      <w:pPr>
        <w:spacing w:after="0" w:line="194" w:lineRule="exact"/>
        <w:rPr>
          <w:rFonts w:ascii="Arial" w:cs="Arial" w:eastAsia="Arial" w:hAnsi="Arial"/>
          <w:sz w:val="20"/>
          <w:szCs w:val="20"/>
          <w:color w:val="auto"/>
        </w:rPr>
      </w:pPr>
    </w:p>
    <w:p>
      <w:pPr>
        <w:ind w:left="660" w:right="500" w:firstLine="644"/>
        <w:spacing w:after="0" w:line="266" w:lineRule="auto"/>
        <w:tabs>
          <w:tab w:leader="none" w:pos="1774" w:val="left"/>
        </w:tabs>
        <w:numPr>
          <w:ilvl w:val="0"/>
          <w:numId w:val="30"/>
        </w:numPr>
        <w:rPr>
          <w:rFonts w:ascii="Arial" w:cs="Arial" w:eastAsia="Arial" w:hAnsi="Arial"/>
          <w:sz w:val="20"/>
          <w:szCs w:val="20"/>
          <w:color w:val="auto"/>
        </w:rPr>
      </w:pPr>
      <w:r>
        <w:rPr>
          <w:rFonts w:ascii="Arial" w:cs="Arial" w:eastAsia="Arial" w:hAnsi="Arial"/>
          <w:sz w:val="18"/>
          <w:szCs w:val="18"/>
          <w:color w:val="auto"/>
        </w:rPr>
        <w:t>to the extent actually reimbursed, expenses incurred to the extent covered by indemnification provisions in any agreement in connection with a Permitted Acquisition,</w:t>
      </w:r>
    </w:p>
    <w:p>
      <w:pPr>
        <w:spacing w:after="0" w:line="190" w:lineRule="exact"/>
        <w:rPr>
          <w:rFonts w:ascii="Arial" w:cs="Arial" w:eastAsia="Arial" w:hAnsi="Arial"/>
          <w:sz w:val="20"/>
          <w:szCs w:val="20"/>
          <w:color w:val="auto"/>
        </w:rPr>
      </w:pPr>
    </w:p>
    <w:p>
      <w:pPr>
        <w:ind w:left="660" w:right="220" w:firstLine="644"/>
        <w:spacing w:after="0" w:line="266" w:lineRule="auto"/>
        <w:tabs>
          <w:tab w:leader="none" w:pos="1828" w:val="left"/>
        </w:tabs>
        <w:numPr>
          <w:ilvl w:val="0"/>
          <w:numId w:val="30"/>
        </w:numPr>
        <w:rPr>
          <w:rFonts w:ascii="Arial" w:cs="Arial" w:eastAsia="Arial" w:hAnsi="Arial"/>
          <w:sz w:val="20"/>
          <w:szCs w:val="20"/>
          <w:color w:val="auto"/>
        </w:rPr>
      </w:pPr>
      <w:r>
        <w:rPr>
          <w:rFonts w:ascii="Arial" w:cs="Arial" w:eastAsia="Arial" w:hAnsi="Arial"/>
          <w:sz w:val="18"/>
          <w:szCs w:val="18"/>
          <w:color w:val="auto"/>
        </w:rPr>
        <w:t>to the extent covered by insurance under which the insurer has been properly notified and has not denied or contested coverage, expenses with respect to liability or casualty events or proceeds from business interruption insurance,</w:t>
      </w:r>
    </w:p>
    <w:p>
      <w:pPr>
        <w:spacing w:after="0" w:line="190" w:lineRule="exact"/>
        <w:rPr>
          <w:rFonts w:ascii="Arial" w:cs="Arial" w:eastAsia="Arial" w:hAnsi="Arial"/>
          <w:sz w:val="20"/>
          <w:szCs w:val="20"/>
          <w:color w:val="auto"/>
        </w:rPr>
      </w:pPr>
    </w:p>
    <w:p>
      <w:pPr>
        <w:ind w:left="660" w:right="80" w:firstLine="644"/>
        <w:spacing w:after="0" w:line="284" w:lineRule="auto"/>
        <w:tabs>
          <w:tab w:leader="none" w:pos="1883" w:val="left"/>
        </w:tabs>
        <w:numPr>
          <w:ilvl w:val="0"/>
          <w:numId w:val="30"/>
        </w:numPr>
        <w:rPr>
          <w:rFonts w:ascii="Arial" w:cs="Arial" w:eastAsia="Arial" w:hAnsi="Arial"/>
          <w:sz w:val="19"/>
          <w:szCs w:val="19"/>
          <w:color w:val="auto"/>
        </w:rPr>
      </w:pPr>
      <w:r>
        <w:rPr>
          <w:rFonts w:ascii="Arial" w:cs="Arial" w:eastAsia="Arial" w:hAnsi="Arial"/>
          <w:sz w:val="17"/>
          <w:szCs w:val="17"/>
          <w:color w:val="auto"/>
        </w:rPr>
        <w:t xml:space="preserve">non-recurring or unusual </w:t>
      </w:r>
      <w:r>
        <w:rPr>
          <w:rFonts w:ascii="Arial" w:cs="Arial" w:eastAsia="Arial" w:hAnsi="Arial"/>
          <w:sz w:val="17"/>
          <w:szCs w:val="17"/>
          <w:u w:val="single" w:color="auto"/>
          <w:color w:val="auto"/>
        </w:rPr>
        <w:t>*cash or non-cash*</w:t>
      </w:r>
      <w:r>
        <w:rPr>
          <w:rFonts w:ascii="Arial" w:cs="Arial" w:eastAsia="Arial" w:hAnsi="Arial"/>
          <w:sz w:val="17"/>
          <w:szCs w:val="17"/>
          <w:color w:val="auto"/>
        </w:rPr>
        <w:t xml:space="preserve"> costs, charges and expenses during such four quarter period in an aggregate amount not to exceed the greater of (A) $35,000,000 </w:t>
      </w:r>
      <w:r>
        <w:rPr>
          <w:rFonts w:ascii="Arial" w:cs="Arial" w:eastAsia="Arial" w:hAnsi="Arial"/>
          <w:sz w:val="17"/>
          <w:szCs w:val="17"/>
          <w:u w:val="single" w:color="auto"/>
          <w:color w:val="auto"/>
        </w:rPr>
        <w:t>*(or for any Test Period ending on or prior to the last day of the third fiscal quarter of fiscal year</w:t>
      </w:r>
      <w:r>
        <w:rPr>
          <w:rFonts w:ascii="Arial" w:cs="Arial" w:eastAsia="Arial" w:hAnsi="Arial"/>
          <w:sz w:val="17"/>
          <w:szCs w:val="17"/>
          <w:color w:val="auto"/>
        </w:rPr>
        <w:t xml:space="preserve"> </w:t>
      </w:r>
      <w:r>
        <w:rPr>
          <w:rFonts w:ascii="Arial" w:cs="Arial" w:eastAsia="Arial" w:hAnsi="Arial"/>
          <w:sz w:val="17"/>
          <w:szCs w:val="17"/>
          <w:u w:val="single" w:color="auto"/>
          <w:color w:val="auto"/>
        </w:rPr>
        <w:t>2021, $60,000,000)*</w:t>
      </w:r>
      <w:r>
        <w:rPr>
          <w:rFonts w:ascii="Arial" w:cs="Arial" w:eastAsia="Arial" w:hAnsi="Arial"/>
          <w:sz w:val="17"/>
          <w:szCs w:val="17"/>
          <w:color w:val="auto"/>
        </w:rPr>
        <w:t xml:space="preserve"> and (B) 5% of Consolidated EBITDAR calculated (without giving effect to this </w:t>
      </w:r>
      <w:r>
        <w:rPr>
          <w:rFonts w:ascii="Arial" w:cs="Arial" w:eastAsia="Arial" w:hAnsi="Arial"/>
          <w:sz w:val="17"/>
          <w:szCs w:val="17"/>
          <w:u w:val="single" w:color="auto"/>
          <w:color w:val="auto"/>
        </w:rPr>
        <w:t>clause (viii)</w:t>
      </w:r>
      <w:r>
        <w:rPr>
          <w:rFonts w:ascii="Arial" w:cs="Arial" w:eastAsia="Arial" w:hAnsi="Arial"/>
          <w:sz w:val="17"/>
          <w:szCs w:val="17"/>
          <w:color w:val="auto"/>
        </w:rPr>
        <w:t xml:space="preserve">) on a Pro forma Basis for the Measurement Period most recently ended for which financial statements have been delivered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81" w:lineRule="exact"/>
        <w:rPr>
          <w:rFonts w:ascii="Arial" w:cs="Arial" w:eastAsia="Arial" w:hAnsi="Arial"/>
          <w:sz w:val="19"/>
          <w:szCs w:val="19"/>
          <w:color w:val="auto"/>
        </w:rPr>
      </w:pPr>
    </w:p>
    <w:p>
      <w:pPr>
        <w:ind w:left="1760" w:hanging="456"/>
        <w:spacing w:after="0"/>
        <w:tabs>
          <w:tab w:leader="none" w:pos="1760" w:val="left"/>
        </w:tabs>
        <w:numPr>
          <w:ilvl w:val="0"/>
          <w:numId w:val="30"/>
        </w:numPr>
        <w:rPr>
          <w:rFonts w:ascii="Arial" w:cs="Arial" w:eastAsia="Arial" w:hAnsi="Arial"/>
          <w:sz w:val="20"/>
          <w:szCs w:val="20"/>
          <w:color w:val="auto"/>
        </w:rPr>
      </w:pPr>
      <w:r>
        <w:rPr>
          <w:rFonts w:ascii="Arial" w:cs="Arial" w:eastAsia="Arial" w:hAnsi="Arial"/>
          <w:sz w:val="18"/>
          <w:szCs w:val="18"/>
          <w:color w:val="auto"/>
        </w:rPr>
        <w:t xml:space="preserve">fees and expenses in connection with refinancings permitted by </w:t>
      </w:r>
      <w:r>
        <w:rPr>
          <w:rFonts w:ascii="Arial" w:cs="Arial" w:eastAsia="Arial" w:hAnsi="Arial"/>
          <w:sz w:val="18"/>
          <w:szCs w:val="18"/>
          <w:u w:val="single" w:color="auto"/>
          <w:color w:val="auto"/>
        </w:rPr>
        <w:t>Sections 7.03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7.15</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73" w:right="339" w:bottom="1440" w:gutter="0" w:footer="0" w:header="0"/>
        </w:sectPr>
      </w:pPr>
    </w:p>
    <w:bookmarkStart w:id="82" w:name="page83"/>
    <w:bookmarkEnd w:id="82"/>
    <w:p>
      <w:pPr>
        <w:ind w:left="1720" w:hanging="416"/>
        <w:spacing w:after="0"/>
        <w:tabs>
          <w:tab w:leader="none" w:pos="1720" w:val="left"/>
        </w:tabs>
        <w:numPr>
          <w:ilvl w:val="0"/>
          <w:numId w:val="31"/>
        </w:numPr>
        <w:rPr>
          <w:rFonts w:ascii="Arial" w:cs="Arial" w:eastAsia="Arial" w:hAnsi="Arial"/>
          <w:sz w:val="20"/>
          <w:szCs w:val="20"/>
          <w:color w:val="auto"/>
        </w:rPr>
      </w:pPr>
      <w:r>
        <w:rPr>
          <w:rFonts w:ascii="Arial" w:cs="Arial" w:eastAsia="Arial" w:hAnsi="Arial"/>
          <w:sz w:val="18"/>
          <w:szCs w:val="18"/>
          <w:color w:val="auto"/>
        </w:rPr>
        <w:t>unrealized losses (and minus unrealized gains) in respect of Swap Contracts;</w:t>
      </w:r>
    </w:p>
    <w:p>
      <w:pPr>
        <w:spacing w:after="0" w:line="215" w:lineRule="exact"/>
        <w:rPr>
          <w:rFonts w:ascii="Arial" w:cs="Arial" w:eastAsia="Arial" w:hAnsi="Arial"/>
          <w:sz w:val="20"/>
          <w:szCs w:val="20"/>
          <w:color w:val="auto"/>
        </w:rPr>
      </w:pPr>
    </w:p>
    <w:p>
      <w:pPr>
        <w:ind w:left="1760" w:hanging="456"/>
        <w:spacing w:after="0"/>
        <w:tabs>
          <w:tab w:leader="none" w:pos="1760" w:val="left"/>
        </w:tabs>
        <w:numPr>
          <w:ilvl w:val="0"/>
          <w:numId w:val="31"/>
        </w:numPr>
        <w:rPr>
          <w:rFonts w:ascii="Arial" w:cs="Arial" w:eastAsia="Arial" w:hAnsi="Arial"/>
          <w:sz w:val="20"/>
          <w:szCs w:val="20"/>
          <w:color w:val="auto"/>
        </w:rPr>
      </w:pPr>
      <w:r>
        <w:rPr>
          <w:rFonts w:ascii="Arial" w:cs="Arial" w:eastAsia="Arial" w:hAnsi="Arial"/>
          <w:sz w:val="18"/>
          <w:szCs w:val="18"/>
          <w:color w:val="auto"/>
        </w:rPr>
        <w:t>Fourth Restatement Date Transaction Costs;</w:t>
      </w:r>
    </w:p>
    <w:p>
      <w:pPr>
        <w:spacing w:after="0" w:line="215" w:lineRule="exact"/>
        <w:rPr>
          <w:rFonts w:ascii="Arial" w:cs="Arial" w:eastAsia="Arial" w:hAnsi="Arial"/>
          <w:sz w:val="20"/>
          <w:szCs w:val="20"/>
          <w:color w:val="auto"/>
        </w:rPr>
      </w:pPr>
    </w:p>
    <w:p>
      <w:pPr>
        <w:ind w:left="1820" w:hanging="516"/>
        <w:spacing w:after="0"/>
        <w:tabs>
          <w:tab w:leader="none" w:pos="1820" w:val="left"/>
        </w:tabs>
        <w:numPr>
          <w:ilvl w:val="0"/>
          <w:numId w:val="31"/>
        </w:numPr>
        <w:rPr>
          <w:rFonts w:ascii="Arial" w:cs="Arial" w:eastAsia="Arial" w:hAnsi="Arial"/>
          <w:sz w:val="20"/>
          <w:szCs w:val="20"/>
          <w:color w:val="auto"/>
        </w:rPr>
      </w:pPr>
      <w:r>
        <w:rPr>
          <w:rFonts w:ascii="Arial" w:cs="Arial" w:eastAsia="Arial" w:hAnsi="Arial"/>
          <w:sz w:val="18"/>
          <w:szCs w:val="18"/>
          <w:color w:val="auto"/>
        </w:rPr>
        <w:t xml:space="preserve">First Amendment Transaction Costs; </w:t>
      </w:r>
      <w:r>
        <w:rPr>
          <w:rFonts w:ascii="Arial" w:cs="Arial" w:eastAsia="Arial" w:hAnsi="Arial"/>
          <w:sz w:val="18"/>
          <w:szCs w:val="18"/>
          <w:color w:val="auto"/>
          <w:strike w:val="1"/>
        </w:rPr>
        <w:t>and</w:t>
      </w:r>
    </w:p>
    <w:p>
      <w:pPr>
        <w:spacing w:after="0" w:line="215" w:lineRule="exact"/>
        <w:rPr>
          <w:rFonts w:ascii="Arial" w:cs="Arial" w:eastAsia="Arial" w:hAnsi="Arial"/>
          <w:sz w:val="20"/>
          <w:szCs w:val="20"/>
          <w:color w:val="auto"/>
        </w:rPr>
      </w:pPr>
    </w:p>
    <w:p>
      <w:pPr>
        <w:ind w:left="1880" w:hanging="576"/>
        <w:spacing w:after="0"/>
        <w:tabs>
          <w:tab w:leader="none" w:pos="1880" w:val="left"/>
        </w:tabs>
        <w:numPr>
          <w:ilvl w:val="0"/>
          <w:numId w:val="31"/>
        </w:numPr>
        <w:rPr>
          <w:rFonts w:ascii="Arial" w:cs="Arial" w:eastAsia="Arial" w:hAnsi="Arial"/>
          <w:sz w:val="20"/>
          <w:szCs w:val="20"/>
          <w:color w:val="auto"/>
        </w:rPr>
      </w:pPr>
      <w:r>
        <w:rPr>
          <w:rFonts w:ascii="Arial" w:cs="Arial" w:eastAsia="Arial" w:hAnsi="Arial"/>
          <w:sz w:val="18"/>
          <w:szCs w:val="18"/>
          <w:u w:val="single" w:color="auto"/>
          <w:color w:val="auto"/>
        </w:rPr>
        <w:t>*Second Amendment Transaction Costs; and*</w:t>
      </w:r>
    </w:p>
    <w:p>
      <w:pPr>
        <w:spacing w:after="0" w:line="215" w:lineRule="exact"/>
        <w:rPr>
          <w:rFonts w:ascii="Arial" w:cs="Arial" w:eastAsia="Arial" w:hAnsi="Arial"/>
          <w:sz w:val="20"/>
          <w:szCs w:val="20"/>
          <w:color w:val="auto"/>
        </w:rPr>
      </w:pPr>
    </w:p>
    <w:p>
      <w:pPr>
        <w:ind w:left="1860" w:hanging="556"/>
        <w:spacing w:after="0"/>
        <w:tabs>
          <w:tab w:leader="none" w:pos="1860" w:val="left"/>
        </w:tabs>
        <w:numPr>
          <w:ilvl w:val="0"/>
          <w:numId w:val="31"/>
        </w:numPr>
        <w:rPr>
          <w:rFonts w:ascii="Arial" w:cs="Arial" w:eastAsia="Arial" w:hAnsi="Arial"/>
          <w:sz w:val="20"/>
          <w:szCs w:val="20"/>
          <w:color w:val="auto"/>
        </w:rPr>
      </w:pPr>
      <w:r>
        <w:rPr>
          <w:rFonts w:ascii="Arial" w:cs="Arial" w:eastAsia="Arial" w:hAnsi="Arial"/>
          <w:sz w:val="18"/>
          <w:szCs w:val="18"/>
          <w:color w:val="auto"/>
        </w:rPr>
        <w:t>Rent Expense;</w:t>
      </w:r>
    </w:p>
    <w:p>
      <w:pPr>
        <w:spacing w:after="0" w:line="20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minus (c) non-cash items increasing such Consolidated Net Income (other than with respect to cash actually received in prior periods but not recognized as income until the current period and other than with respect to the accrual of revenue or the reversal of any accrual of, or reserve for, anticipated cash charges made that reduced Consolidated EBITDAR in any prior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(d) cash interest income for such period.</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Consolidated EBITDAR shall be calculated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to give effect to any Specified Transaction (other than any Permitted Acquisitions involving the payment of Acquisition Consideration of less than $1,000,000) consummated at any time on or after the first day of the relevant Test Period and on or prior to the calculation date as if each Permitted Acquisition had been effected on the first day of such period and as if each such Asset Sale had been consummated on the day prior to the first day of such period.</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First Lien Leverage Ratio</w:t>
      </w:r>
      <w:r>
        <w:rPr>
          <w:rFonts w:ascii="Arial" w:cs="Arial" w:eastAsia="Arial" w:hAnsi="Arial"/>
          <w:sz w:val="17"/>
          <w:szCs w:val="17"/>
          <w:color w:val="auto"/>
        </w:rPr>
        <w:t xml:space="preserve">” means, at any date of determination, the ratio of (x) Consolidated Indebtedness that is secured by a Lien on any asset or property of the U.S. Borrower or any of its Restricted Subsidiaries on such date (other than Liens expressly subordinated in writing to any Liens securing the Obligations), without giving effect to any Collateral release required pursuant to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upon the occurrence of a Collateral and Covenant Release Date, to (y) Consolidated EBITDA for the Test Period most recently ended on or before such date.</w:t>
      </w:r>
    </w:p>
    <w:p>
      <w:pPr>
        <w:spacing w:after="0" w:line="17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means, for any Test Period, the ratio of (a) Consolidated EBITDAR for such Test Period to (b) Consolidated Fixed Charges for such Test Period.</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Charges</w:t>
      </w:r>
      <w:r>
        <w:rPr>
          <w:rFonts w:ascii="Arial" w:cs="Arial" w:eastAsia="Arial" w:hAnsi="Arial"/>
          <w:sz w:val="16"/>
          <w:szCs w:val="16"/>
          <w:color w:val="auto"/>
        </w:rPr>
        <w:t xml:space="preserve">” means, for any period, the sum, without duplication, of the amounts determined for the U.S. Borrower and its Restricted Subsidiaries on a consolidated basis equal to (i) Consolidated Interest Expense </w:t>
      </w:r>
      <w:r>
        <w:rPr>
          <w:rFonts w:ascii="Arial" w:cs="Arial" w:eastAsia="Arial" w:hAnsi="Arial"/>
          <w:sz w:val="16"/>
          <w:szCs w:val="16"/>
          <w:color w:val="auto"/>
          <w:strike w:val="1"/>
        </w:rPr>
        <w:t>(excluding interest incurred on Indebtedness outstanding pursuant</w:t>
      </w:r>
      <w:r>
        <w:rPr>
          <w:rFonts w:ascii="Arial" w:cs="Arial" w:eastAsia="Arial" w:hAnsi="Arial"/>
          <w:sz w:val="16"/>
          <w:szCs w:val="16"/>
          <w:color w:val="auto"/>
        </w:rPr>
        <w:t xml:space="preserve"> </w:t>
      </w:r>
      <w:r>
        <w:rPr>
          <w:rFonts w:ascii="Arial" w:cs="Arial" w:eastAsia="Arial" w:hAnsi="Arial"/>
          <w:sz w:val="16"/>
          <w:szCs w:val="16"/>
          <w:color w:val="auto"/>
          <w:strike w:val="1"/>
        </w:rPr>
        <w:t>to</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7.03(w)</w:t>
      </w:r>
      <w:r>
        <w:rPr>
          <w:rFonts w:ascii="Arial" w:cs="Arial" w:eastAsia="Arial" w:hAnsi="Arial"/>
          <w:sz w:val="16"/>
          <w:szCs w:val="16"/>
          <w:color w:val="auto"/>
        </w:rPr>
        <w:t xml:space="preserve">, on and after the date of issuance of an irrevocable and unconditional notice of redemption, to the extent, prior to the maturity thereof, </w:t>
      </w:r>
      <w:r>
        <w:rPr>
          <w:rFonts w:ascii="Arial" w:cs="Arial" w:eastAsia="Arial" w:hAnsi="Arial"/>
          <w:sz w:val="16"/>
          <w:szCs w:val="16"/>
          <w:color w:val="auto"/>
          <w:strike w:val="1"/>
        </w:rPr>
        <w:t>U.S. Borrower or a Restricted Subsidiary has irrevocably and unconditionally deposited with the agent or trustee for such Indebtedness funds in an amount sufficient for the payment in full of all interest, principal, fees and premiums on such Indebtedness)) and (ii) Rent Expense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-367665</wp:posOffset>
            </wp:positionV>
            <wp:extent cx="6875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141"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Indebtedness</w:t>
      </w:r>
      <w:r>
        <w:rPr>
          <w:rFonts w:ascii="Arial" w:cs="Arial" w:eastAsia="Arial" w:hAnsi="Arial"/>
          <w:sz w:val="17"/>
          <w:szCs w:val="17"/>
          <w:color w:val="auto"/>
        </w:rPr>
        <w:t xml:space="preserve">” means, as at any date of determination, the </w:t>
      </w:r>
      <w:r>
        <w:rPr>
          <w:rFonts w:ascii="Arial" w:cs="Arial" w:eastAsia="Arial" w:hAnsi="Arial"/>
          <w:sz w:val="17"/>
          <w:szCs w:val="17"/>
          <w:u w:val="single" w:color="auto"/>
          <w:color w:val="auto"/>
        </w:rPr>
        <w:t>*excess of (a)*</w:t>
      </w:r>
      <w:r>
        <w:rPr>
          <w:rFonts w:ascii="Arial" w:cs="Arial" w:eastAsia="Arial" w:hAnsi="Arial"/>
          <w:sz w:val="17"/>
          <w:szCs w:val="17"/>
          <w:color w:val="auto"/>
        </w:rPr>
        <w:t xml:space="preserve"> aggregate amount of all Indebtedness of the U.S. Borrower and its Restricted Subsidiaries required to be shown as a liability on a consolidated balance sheet of the U.S. Borrower and its Restricted Subsidiaries on such date, determined on a consolidated basis in accordance with GAAP, but excluding Indebtedness of the U.S. Borrower and its Restricted Subsidiaries (i) of the type referred to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the definition of “Indebtedness” and (ii) of the type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“Indebtedness” for which the reimbursement obligation is contingent or unmatured or in respect of which the reimbursement obligation has been paid or extinguished </w:t>
      </w:r>
      <w:r>
        <w:rPr>
          <w:rFonts w:ascii="Arial" w:cs="Arial" w:eastAsia="Arial" w:hAnsi="Arial"/>
          <w:sz w:val="17"/>
          <w:szCs w:val="17"/>
          <w:u w:val="single" w:color="auto"/>
          <w:color w:val="auto"/>
        </w:rPr>
        <w:t>*over (b) to the extent such date is upon or after the occurrence of the Post-Amendment No. 2 Bond Issuance and so long as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aggregate unrestricted cash and Cash Equivalents (other than restrictions constituting Permitted Liens described in clauses (a), (b), (g), and (i) of Section 7.01) of U.S. Borrower and its Restricted Subsidiaries as of such date is at least equal to the aggregate principal gross amount outstanding of the Post-Amendment No. 2 Bond Issuance, the aggregate unrestricted cash and Cash Equivalents (other than restrictions constituting Permitted Liens described in clauses (a), (b), (g), and (i) of Section 7.01) of U.S. Borrower and its Restricted Subsidiaries as of such date (in an amount not to exceed, solely with respect to this clause (b), the aggregate principal gross amount outstanding of the Post-Amendment No. 2 Bond Issuance).*</w:t>
      </w:r>
      <w:r>
        <w:rPr>
          <w:rFonts w:ascii="Arial" w:cs="Arial" w:eastAsia="Arial" w:hAnsi="Arial"/>
          <w:sz w:val="17"/>
          <w:szCs w:val="17"/>
          <w:color w:val="auto"/>
        </w:rPr>
        <w:t xml:space="preserve"> For the avoidance of doubt, “Consolidated Indebtedness” shall also exclude Indebtedness of the 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87" w:right="339" w:bottom="1440" w:gutter="0" w:footer="0" w:header="0"/>
        </w:sectPr>
      </w:pPr>
    </w:p>
    <w:bookmarkStart w:id="83" w:name="page84"/>
    <w:bookmarkEnd w:id="83"/>
    <w:p>
      <w:pPr>
        <w:ind w:right="460"/>
        <w:spacing w:after="0" w:line="277" w:lineRule="auto"/>
        <w:rPr>
          <w:sz w:val="20"/>
          <w:szCs w:val="20"/>
          <w:color w:val="auto"/>
        </w:rPr>
      </w:pPr>
      <w:r>
        <w:rPr>
          <w:rFonts w:ascii="Arial" w:cs="Arial" w:eastAsia="Arial" w:hAnsi="Arial"/>
          <w:sz w:val="18"/>
          <w:szCs w:val="18"/>
          <w:color w:val="auto"/>
        </w:rPr>
        <w:t xml:space="preserve">Borrower and its Restricted Subsidiaries of the type referred to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of the definition of “Indebtedness” to the extent it relates to Indebtedness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the immediately preceding sentence.</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xml:space="preserve">” means, for any period, the total consolidated cash interest expense of the U.S. Borrower and its Restricted Subsidiaries for such period determined on a consolidated basis in accordance with GAAP, net of cash interest income, plus, without duplication, imputed interest on Attributable Indebtedness of the U.S. Borrower and its Restricted Subsidiaries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to the extent directly related to the Fourth Restatement Date Transaction, debt issuance costs, debt discount or premium and other financing fees and expenses, together with any amortization in respect thereof, shall be excluded from the calculation of Consolidated Interest Expense and (ii) Consolidated Interest Expense shall be calculated after giving effect to Swap Contracts (including associated costs), but excluding unrealized gains and losses with respect to Swap Contracts. Consolidated Interest Expense shall be calculated on a Pro forma Basis to give effect to any Indebtedness incurred, assumed or permanently repaid or extinguished during the relevant Test Period and the period on or prior to the calculation date in connection with any Specified Transactions (other than any Permitted Acquisitions involving the payment of Acquisition Consideration of less than $1,000,000) as if such incurrence, assumption, repayment or extinguishing had been effected on the first day of such period.</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consolidated net income (or loss) of the U.S. Borrower and its Restricted Subsidiaries determined on a consolidated basis for such Measurement Period taken as a single accounting period in conformity with GAAP, provided that there shall be excluded to the extent otherwise included therein, without duplication:</w:t>
      </w:r>
    </w:p>
    <w:p>
      <w:pPr>
        <w:spacing w:after="0" w:line="197" w:lineRule="exact"/>
        <w:rPr>
          <w:sz w:val="20"/>
          <w:szCs w:val="20"/>
          <w:color w:val="auto"/>
        </w:rPr>
      </w:pPr>
    </w:p>
    <w:p>
      <w:pPr>
        <w:ind w:left="660" w:right="320" w:firstLine="644"/>
        <w:spacing w:after="0" w:line="264" w:lineRule="auto"/>
        <w:tabs>
          <w:tab w:leader="none" w:pos="1708" w:val="left"/>
        </w:tabs>
        <w:numPr>
          <w:ilvl w:val="0"/>
          <w:numId w:val="32"/>
        </w:numPr>
        <w:rPr>
          <w:rFonts w:ascii="Arial" w:cs="Arial" w:eastAsia="Arial" w:hAnsi="Arial"/>
          <w:sz w:val="20"/>
          <w:szCs w:val="20"/>
          <w:color w:val="auto"/>
        </w:rPr>
      </w:pPr>
      <w:r>
        <w:rPr>
          <w:rFonts w:ascii="Arial" w:cs="Arial" w:eastAsia="Arial" w:hAnsi="Arial"/>
          <w:sz w:val="18"/>
          <w:szCs w:val="18"/>
          <w:color w:val="auto"/>
        </w:rPr>
        <w:t>the income (or loss) of any Person that is not a Restricted Subsidiary of the U.S. Borrower, or that is accounted for by the equity method of accounting, except to the extent of the amount of dividends or other distributions actually paid to the U.S. Borrower or any of its Restricted Subsidiaries by such Person during such period;</w:t>
      </w:r>
    </w:p>
    <w:p>
      <w:pPr>
        <w:spacing w:after="0" w:line="196" w:lineRule="exact"/>
        <w:rPr>
          <w:rFonts w:ascii="Arial" w:cs="Arial" w:eastAsia="Arial" w:hAnsi="Arial"/>
          <w:sz w:val="20"/>
          <w:szCs w:val="20"/>
          <w:color w:val="auto"/>
        </w:rPr>
      </w:pPr>
    </w:p>
    <w:p>
      <w:pPr>
        <w:ind w:left="660" w:right="160" w:firstLine="644"/>
        <w:spacing w:after="0" w:line="286" w:lineRule="auto"/>
        <w:tabs>
          <w:tab w:leader="none" w:pos="1718" w:val="left"/>
        </w:tabs>
        <w:numPr>
          <w:ilvl w:val="0"/>
          <w:numId w:val="32"/>
        </w:numPr>
        <w:rPr>
          <w:rFonts w:ascii="Arial" w:cs="Arial" w:eastAsia="Arial" w:hAnsi="Arial"/>
          <w:sz w:val="19"/>
          <w:szCs w:val="19"/>
          <w:color w:val="auto"/>
        </w:rPr>
      </w:pPr>
      <w:r>
        <w:rPr>
          <w:rFonts w:ascii="Arial" w:cs="Arial" w:eastAsia="Arial" w:hAnsi="Arial"/>
          <w:sz w:val="17"/>
          <w:szCs w:val="17"/>
          <w:color w:val="auto"/>
        </w:rPr>
        <w:t>subject to the last paragraph of the definition of Consolidated EBITDAR, the income (or loss) of any Person accrued prior to the date it becomes a Restricted Subsidiary of the U.S. Borrower or is merged into or amalgamated or consolidated with the U.S. Borrower or any of its Restricted Subsidiaries or that Person’s assets are acquired by the U.S. Borrower or any of its Restricted Subsidiaries;</w:t>
      </w:r>
    </w:p>
    <w:p>
      <w:pPr>
        <w:spacing w:after="0" w:line="178" w:lineRule="exact"/>
        <w:rPr>
          <w:rFonts w:ascii="Arial" w:cs="Arial" w:eastAsia="Arial" w:hAnsi="Arial"/>
          <w:sz w:val="19"/>
          <w:szCs w:val="19"/>
          <w:color w:val="auto"/>
        </w:rPr>
      </w:pPr>
    </w:p>
    <w:p>
      <w:pPr>
        <w:ind w:left="660" w:right="120" w:firstLine="644"/>
        <w:spacing w:after="0" w:line="266" w:lineRule="auto"/>
        <w:tabs>
          <w:tab w:leader="none" w:pos="1708" w:val="left"/>
        </w:tabs>
        <w:numPr>
          <w:ilvl w:val="0"/>
          <w:numId w:val="32"/>
        </w:numPr>
        <w:rPr>
          <w:rFonts w:ascii="Arial" w:cs="Arial" w:eastAsia="Arial" w:hAnsi="Arial"/>
          <w:sz w:val="20"/>
          <w:szCs w:val="20"/>
          <w:color w:val="auto"/>
        </w:rPr>
      </w:pPr>
      <w:r>
        <w:rPr>
          <w:rFonts w:ascii="Arial" w:cs="Arial" w:eastAsia="Arial" w:hAnsi="Arial"/>
          <w:sz w:val="18"/>
          <w:szCs w:val="18"/>
          <w:color w:val="auto"/>
        </w:rPr>
        <w:t>the cumulative effect of a change in accounting principles as well as any current period impact of new accounting pronouncements including those related to purchase accounting;</w:t>
      </w:r>
    </w:p>
    <w:p>
      <w:pPr>
        <w:spacing w:after="0" w:line="190" w:lineRule="exact"/>
        <w:rPr>
          <w:rFonts w:ascii="Arial" w:cs="Arial" w:eastAsia="Arial" w:hAnsi="Arial"/>
          <w:sz w:val="20"/>
          <w:szCs w:val="20"/>
          <w:color w:val="auto"/>
        </w:rPr>
      </w:pPr>
    </w:p>
    <w:p>
      <w:pPr>
        <w:ind w:left="660" w:firstLine="644"/>
        <w:spacing w:after="0" w:line="284" w:lineRule="auto"/>
        <w:tabs>
          <w:tab w:leader="none" w:pos="1718" w:val="left"/>
        </w:tabs>
        <w:numPr>
          <w:ilvl w:val="0"/>
          <w:numId w:val="32"/>
        </w:numPr>
        <w:rPr>
          <w:rFonts w:ascii="Arial" w:cs="Arial" w:eastAsia="Arial" w:hAnsi="Arial"/>
          <w:sz w:val="19"/>
          <w:szCs w:val="19"/>
          <w:color w:val="auto"/>
        </w:rPr>
      </w:pPr>
      <w:r>
        <w:rPr>
          <w:rFonts w:ascii="Arial" w:cs="Arial" w:eastAsia="Arial" w:hAnsi="Arial"/>
          <w:sz w:val="17"/>
          <w:szCs w:val="17"/>
          <w:color w:val="auto"/>
        </w:rPr>
        <w:t>the income of any Restricted Subsidiary of the U.S. Borrower (other than a Loan Party) to the extent that the declaration or payment of dividends or similar distributions by that Restricted Subsidiary of that income is not at the time permitted by operation of the terms of its charter or any agreement, instrument, judgment, decree, order, statute, rule or governmental regulation applicable to that Restricted Subsidiary, except to the extent of the amount of dividends or other distributions actually paid or permitted to be paid (by consent, waiver or otherwise) to the U.S. Borrower or any of its Restricted Subsidiaries by such Person during such period;</w:t>
      </w:r>
    </w:p>
    <w:p>
      <w:pPr>
        <w:spacing w:after="0" w:line="179" w:lineRule="exact"/>
        <w:rPr>
          <w:rFonts w:ascii="Arial" w:cs="Arial" w:eastAsia="Arial" w:hAnsi="Arial"/>
          <w:sz w:val="19"/>
          <w:szCs w:val="19"/>
          <w:color w:val="auto"/>
        </w:rPr>
      </w:pPr>
    </w:p>
    <w:p>
      <w:pPr>
        <w:ind w:left="660" w:right="160" w:firstLine="644"/>
        <w:spacing w:after="0" w:line="264" w:lineRule="auto"/>
        <w:tabs>
          <w:tab w:leader="none" w:pos="1708" w:val="left"/>
        </w:tabs>
        <w:numPr>
          <w:ilvl w:val="0"/>
          <w:numId w:val="32"/>
        </w:numPr>
        <w:rPr>
          <w:rFonts w:ascii="Arial" w:cs="Arial" w:eastAsia="Arial" w:hAnsi="Arial"/>
          <w:sz w:val="20"/>
          <w:szCs w:val="20"/>
          <w:color w:val="auto"/>
        </w:rPr>
      </w:pPr>
      <w:r>
        <w:rPr>
          <w:rFonts w:ascii="Arial" w:cs="Arial" w:eastAsia="Arial" w:hAnsi="Arial"/>
          <w:sz w:val="18"/>
          <w:szCs w:val="18"/>
          <w:color w:val="auto"/>
        </w:rPr>
        <w:t>any net after-tax gains or losses attributable to the early extinguishment of Indebtedness, including any write-off of debt issuance costs incurred in the Fourth Restatement Date Refinancing or any prior refinancing on the Original Closing Date, the First Restatement Date, the Second Restatement Date, or the Third Restatement Date;</w:t>
      </w:r>
    </w:p>
    <w:p>
      <w:pPr>
        <w:spacing w:after="0" w:line="196" w:lineRule="exact"/>
        <w:rPr>
          <w:rFonts w:ascii="Arial" w:cs="Arial" w:eastAsia="Arial" w:hAnsi="Arial"/>
          <w:sz w:val="20"/>
          <w:szCs w:val="20"/>
          <w:color w:val="auto"/>
        </w:rPr>
      </w:pPr>
    </w:p>
    <w:p>
      <w:pPr>
        <w:ind w:left="660" w:right="120" w:firstLine="644"/>
        <w:spacing w:after="0" w:line="264" w:lineRule="auto"/>
        <w:tabs>
          <w:tab w:leader="none" w:pos="1686" w:val="left"/>
        </w:tabs>
        <w:numPr>
          <w:ilvl w:val="0"/>
          <w:numId w:val="32"/>
        </w:numPr>
        <w:rPr>
          <w:rFonts w:ascii="Arial" w:cs="Arial" w:eastAsia="Arial" w:hAnsi="Arial"/>
          <w:sz w:val="20"/>
          <w:szCs w:val="20"/>
          <w:color w:val="auto"/>
        </w:rPr>
      </w:pPr>
      <w:r>
        <w:rPr>
          <w:rFonts w:ascii="Arial" w:cs="Arial" w:eastAsia="Arial" w:hAnsi="Arial"/>
          <w:sz w:val="18"/>
          <w:szCs w:val="18"/>
          <w:color w:val="auto"/>
        </w:rPr>
        <w:t>any net unrealized gain or loss (after any offset) resulting from currency translation gains or losses related to currency remeasurements of Indebtedness (including any net gain or loss resulting from obligations under any Swap Contracts for currency exchange risk) and any foreign currency translation gains or losses;</w:t>
      </w:r>
    </w:p>
    <w:p>
      <w:pPr>
        <w:spacing w:after="0" w:line="196" w:lineRule="exact"/>
        <w:rPr>
          <w:rFonts w:ascii="Arial" w:cs="Arial" w:eastAsia="Arial" w:hAnsi="Arial"/>
          <w:sz w:val="20"/>
          <w:szCs w:val="20"/>
          <w:color w:val="auto"/>
        </w:rPr>
      </w:pPr>
    </w:p>
    <w:p>
      <w:pPr>
        <w:ind w:left="1720" w:hanging="416"/>
        <w:spacing w:after="0"/>
        <w:tabs>
          <w:tab w:leader="none" w:pos="1720" w:val="left"/>
        </w:tabs>
        <w:numPr>
          <w:ilvl w:val="0"/>
          <w:numId w:val="32"/>
        </w:numPr>
        <w:rPr>
          <w:rFonts w:ascii="Arial" w:cs="Arial" w:eastAsia="Arial" w:hAnsi="Arial"/>
          <w:sz w:val="20"/>
          <w:szCs w:val="20"/>
          <w:color w:val="auto"/>
        </w:rPr>
      </w:pPr>
      <w:r>
        <w:rPr>
          <w:rFonts w:ascii="Arial" w:cs="Arial" w:eastAsia="Arial" w:hAnsi="Arial"/>
          <w:sz w:val="18"/>
          <w:szCs w:val="18"/>
          <w:color w:val="auto"/>
        </w:rPr>
        <w:t>any adjustments resulting from the application of FASB Interpretation No. 45 (Guarantees);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41" w:right="339" w:bottom="1440" w:gutter="0" w:footer="0" w:header="0"/>
        </w:sectPr>
      </w:pPr>
    </w:p>
    <w:bookmarkStart w:id="84" w:name="page85"/>
    <w:bookmarkEnd w:id="84"/>
    <w:p>
      <w:pPr>
        <w:ind w:left="660" w:firstLine="644"/>
        <w:spacing w:after="0" w:line="310" w:lineRule="auto"/>
        <w:tabs>
          <w:tab w:leader="none" w:pos="1718" w:val="left"/>
        </w:tabs>
        <w:numPr>
          <w:ilvl w:val="0"/>
          <w:numId w:val="33"/>
        </w:numPr>
        <w:rPr>
          <w:rFonts w:ascii="Arial" w:cs="Arial" w:eastAsia="Arial" w:hAnsi="Arial"/>
          <w:sz w:val="18"/>
          <w:szCs w:val="18"/>
          <w:color w:val="auto"/>
        </w:rPr>
      </w:pPr>
      <w:r>
        <w:rPr>
          <w:rFonts w:ascii="Arial" w:cs="Arial" w:eastAsia="Arial" w:hAnsi="Arial"/>
          <w:sz w:val="16"/>
          <w:szCs w:val="16"/>
          <w:color w:val="auto"/>
        </w:rPr>
        <w:t>any impairment charge or asset write-off or write-down (other than a write down of accounts receivable or inventory), including impairment charges or asset write-offs or write-downs related to intangible assets, long-lived assets, investments in debt and equity securities or as a result of a change in law or regulation, in each case, pursuant to GAAP, and the amortization of intangibles arising pursuant to GAAP;</w:t>
      </w:r>
    </w:p>
    <w:p>
      <w:pPr>
        <w:spacing w:after="0" w:line="161" w:lineRule="exact"/>
        <w:rPr>
          <w:rFonts w:ascii="Arial" w:cs="Arial" w:eastAsia="Arial" w:hAnsi="Arial"/>
          <w:sz w:val="18"/>
          <w:szCs w:val="18"/>
          <w:color w:val="auto"/>
        </w:rPr>
      </w:pPr>
    </w:p>
    <w:p>
      <w:pPr>
        <w:ind w:left="660" w:right="60" w:firstLine="644"/>
        <w:spacing w:after="0" w:line="266" w:lineRule="auto"/>
        <w:tabs>
          <w:tab w:leader="none" w:pos="1675" w:val="left"/>
        </w:tabs>
        <w:numPr>
          <w:ilvl w:val="0"/>
          <w:numId w:val="33"/>
        </w:numPr>
        <w:rPr>
          <w:rFonts w:ascii="Arial" w:cs="Arial" w:eastAsia="Arial" w:hAnsi="Arial"/>
          <w:sz w:val="20"/>
          <w:szCs w:val="20"/>
          <w:color w:val="auto"/>
        </w:rPr>
      </w:pPr>
      <w:r>
        <w:rPr>
          <w:rFonts w:ascii="Arial" w:cs="Arial" w:eastAsia="Arial" w:hAnsi="Arial"/>
          <w:sz w:val="18"/>
          <w:szCs w:val="18"/>
          <w:color w:val="auto"/>
        </w:rPr>
        <w:t>inventory purchase accounting adjustments and amortization, impairment and other non-cash charges (including asset revaluations) resulting from purchase accounting adjustments with respect to any Permitted Acquisition;</w:t>
      </w:r>
    </w:p>
    <w:p>
      <w:pPr>
        <w:spacing w:after="0" w:line="190" w:lineRule="exact"/>
        <w:rPr>
          <w:rFonts w:ascii="Arial" w:cs="Arial" w:eastAsia="Arial" w:hAnsi="Arial"/>
          <w:sz w:val="20"/>
          <w:szCs w:val="20"/>
          <w:color w:val="auto"/>
        </w:rPr>
      </w:pPr>
    </w:p>
    <w:p>
      <w:pPr>
        <w:ind w:left="660" w:right="440" w:firstLine="644"/>
        <w:spacing w:after="0" w:line="266" w:lineRule="auto"/>
        <w:tabs>
          <w:tab w:leader="none" w:pos="1675" w:val="left"/>
        </w:tabs>
        <w:numPr>
          <w:ilvl w:val="0"/>
          <w:numId w:val="33"/>
        </w:numPr>
        <w:rPr>
          <w:rFonts w:ascii="Arial" w:cs="Arial" w:eastAsia="Arial" w:hAnsi="Arial"/>
          <w:sz w:val="20"/>
          <w:szCs w:val="20"/>
          <w:color w:val="auto"/>
        </w:rPr>
      </w:pPr>
      <w:r>
        <w:rPr>
          <w:rFonts w:ascii="Arial" w:cs="Arial" w:eastAsia="Arial" w:hAnsi="Arial"/>
          <w:sz w:val="18"/>
          <w:szCs w:val="18"/>
          <w:color w:val="auto"/>
        </w:rPr>
        <w:t>non-cash compensation charges, including any such charges arising from stock options, restricted stock grants or other equity-incentive programs;</w:t>
      </w:r>
    </w:p>
    <w:p>
      <w:pPr>
        <w:spacing w:after="0" w:line="190" w:lineRule="exact"/>
        <w:rPr>
          <w:rFonts w:ascii="Arial" w:cs="Arial" w:eastAsia="Arial" w:hAnsi="Arial"/>
          <w:sz w:val="20"/>
          <w:szCs w:val="20"/>
          <w:color w:val="auto"/>
        </w:rPr>
      </w:pPr>
    </w:p>
    <w:p>
      <w:pPr>
        <w:ind w:left="1720" w:hanging="416"/>
        <w:spacing w:after="0"/>
        <w:tabs>
          <w:tab w:leader="none" w:pos="1720" w:val="left"/>
        </w:tabs>
        <w:numPr>
          <w:ilvl w:val="0"/>
          <w:numId w:val="33"/>
        </w:numPr>
        <w:rPr>
          <w:rFonts w:ascii="Arial" w:cs="Arial" w:eastAsia="Arial" w:hAnsi="Arial"/>
          <w:sz w:val="20"/>
          <w:szCs w:val="20"/>
          <w:color w:val="auto"/>
        </w:rPr>
      </w:pPr>
      <w:r>
        <w:rPr>
          <w:rFonts w:ascii="Arial" w:cs="Arial" w:eastAsia="Arial" w:hAnsi="Arial"/>
          <w:sz w:val="18"/>
          <w:szCs w:val="18"/>
          <w:color w:val="auto"/>
        </w:rPr>
        <w:t>any after-tax gains or losses attributable to Asset Sales or returned surplus assets of any Pension Plan; and</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0"/>
          <w:numId w:val="33"/>
        </w:numPr>
        <w:rPr>
          <w:rFonts w:ascii="Arial" w:cs="Arial" w:eastAsia="Arial" w:hAnsi="Arial"/>
          <w:sz w:val="20"/>
          <w:szCs w:val="20"/>
          <w:color w:val="auto"/>
        </w:rPr>
      </w:pPr>
      <w:r>
        <w:rPr>
          <w:rFonts w:ascii="Arial" w:cs="Arial" w:eastAsia="Arial" w:hAnsi="Arial"/>
          <w:sz w:val="18"/>
          <w:szCs w:val="18"/>
          <w:color w:val="auto"/>
        </w:rPr>
        <w:t xml:space="preserve">(to the extent not included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above) any net extraordinary gains or net extraordinary losses.</w:t>
      </w:r>
    </w:p>
    <w:p>
      <w:pPr>
        <w:spacing w:after="0" w:line="20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xml:space="preserve">” means, as of any date of determination, the total amount of assets of the U.S. Borrower and its Restricted Subsidiaries, determined on a consolidated basis in accordance with GAAP, as reflected in most recent balance sheet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6.01(b)</w:t>
      </w:r>
      <w:r>
        <w:rPr>
          <w:rFonts w:ascii="Arial" w:cs="Arial" w:eastAsia="Arial" w:hAnsi="Arial"/>
          <w:sz w:val="18"/>
          <w:szCs w:val="18"/>
          <w:color w:val="auto"/>
        </w:rPr>
        <w:t>, as applicable.</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as of any date of determination, any member of the board of directors of Holdings who: (a) was a member of such board of directors on the Closing Date; or (b) was nominated for election or elected to such board of directors with the approval of a majority of the Continuing Directors who were members of such board at the time of such nomination or election.</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contract, indenture, mortgage, deed of trust, undertaking or other instrument to which such Person is a party or by which it or any of its property is bound or to which it or any of its properties is subject.</w:t>
      </w:r>
    </w:p>
    <w:p>
      <w:pPr>
        <w:spacing w:after="0" w:line="184"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Transaction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1.08(c)</w:t>
      </w:r>
      <w:r>
        <w:rPr>
          <w:rFonts w:ascii="Arial" w:cs="Arial" w:eastAsia="Arial" w:hAnsi="Arial"/>
          <w:sz w:val="18"/>
          <w:szCs w:val="18"/>
          <w:color w:val="auto"/>
        </w:rPr>
        <w:t>.</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u w:val="single" w:color="auto"/>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*“Covered Party” has the meaning assigned to it in Section 10.22.*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*“COVID-19” means the novel coronavirus identified publicly in the last fiscal quarter of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Issuance</w:t>
      </w:r>
      <w:r>
        <w:rPr>
          <w:rFonts w:ascii="Arial" w:cs="Arial" w:eastAsia="Arial" w:hAnsi="Arial"/>
          <w:sz w:val="18"/>
          <w:szCs w:val="18"/>
          <w:color w:val="auto"/>
        </w:rPr>
        <w:t xml:space="preserve">” means the incurrence by the U.S. Borrower or any of its Restricted Subsidiaries of any Indebtedness pursuant to </w:t>
      </w:r>
      <w:r>
        <w:rPr>
          <w:rFonts w:ascii="Arial" w:cs="Arial" w:eastAsia="Arial" w:hAnsi="Arial"/>
          <w:sz w:val="18"/>
          <w:szCs w:val="18"/>
          <w:u w:val="single" w:color="auto"/>
          <w:color w:val="auto"/>
        </w:rPr>
        <w:t>Section 7.03(d)</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w:t>
      </w:r>
      <w:r>
        <w:rPr>
          <w:rFonts w:ascii="Arial" w:cs="Arial" w:eastAsia="Arial" w:hAnsi="Arial"/>
          <w:sz w:val="18"/>
          <w:szCs w:val="18"/>
          <w:u w:val="single" w:color="auto"/>
          <w:color w:val="auto"/>
        </w:rPr>
        <w:t>(r), *(s)*, *(w)*,</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t>
      </w:r>
      <w:r>
        <w:rPr>
          <w:rFonts w:ascii="Arial" w:cs="Arial" w:eastAsia="Arial" w:hAnsi="Arial"/>
          <w:sz w:val="18"/>
          <w:szCs w:val="18"/>
          <w:color w:val="auto"/>
          <w:strike w:val="1"/>
        </w:rPr>
        <w:t>s</w:t>
      </w:r>
      <w:r>
        <w:rPr>
          <w:rFonts w:ascii="Arial" w:cs="Arial" w:eastAsia="Arial" w:hAnsi="Arial"/>
          <w:sz w:val="18"/>
          <w:szCs w:val="18"/>
          <w:color w:val="auto"/>
        </w:rPr>
        <w:t>*x*) after the Original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-45085</wp:posOffset>
            </wp:positionV>
            <wp:extent cx="254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15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787" w:right="379" w:bottom="1440" w:gutter="0" w:footer="0" w:header="0"/>
        </w:sectPr>
      </w:pPr>
    </w:p>
    <w:bookmarkStart w:id="85" w:name="page86"/>
    <w:bookmarkEnd w:id="85"/>
    <w:p>
      <w:pPr>
        <w:ind w:right="200"/>
        <w:spacing w:after="0" w:line="277" w:lineRule="auto"/>
        <w:rPr>
          <w:sz w:val="20"/>
          <w:szCs w:val="20"/>
          <w:color w:val="auto"/>
        </w:rPr>
      </w:pPr>
      <w:r>
        <w:rPr>
          <w:rFonts w:ascii="Arial" w:cs="Arial" w:eastAsia="Arial" w:hAnsi="Arial"/>
          <w:sz w:val="18"/>
          <w:szCs w:val="18"/>
          <w:color w:val="auto"/>
        </w:rPr>
        <w:t>insolvency, reorganization, or similar debtor relief Laws of the United States or other applicable jurisdictions from time to time in effect and affecting the rights of creditors generally.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Year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2.10.</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2.08(b)</w:t>
      </w:r>
      <w:r>
        <w:rPr>
          <w:rFonts w:ascii="Arial" w:cs="Arial" w:eastAsia="Arial" w:hAnsi="Arial"/>
          <w:sz w:val="18"/>
          <w:szCs w:val="18"/>
          <w:color w:val="auto"/>
        </w:rPr>
        <w: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u w:val="single" w:color="auto"/>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2.16(b)</w:t>
      </w:r>
      <w:r>
        <w:rPr>
          <w:rFonts w:ascii="Arial" w:cs="Arial" w:eastAsia="Arial" w:hAnsi="Arial"/>
          <w:sz w:val="17"/>
          <w:szCs w:val="17"/>
          <w:color w:val="auto"/>
        </w:rPr>
        <w:t xml:space="preserve">, any Lender that, as reasonably determined by the Administrative Agent, (a) has failed to perform any of its funding obligations hereunder, including in respect of its Loans or participations in respect of Letters of Credit or Swing Line Loans, within three Business Days of the date required to be funded by it hereunder, unless the subject of a good faith dispute, (b) has notified the applicable Borrower or the applicable Facility Agent that it does not intend to comply with its funding obligations or has made a public statement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(made in good faith) that a condition precedent to funding (which condition precedent, together with any applicable default, shall be specifically identified in such writing or public statement) cannot be satisfied), (c) has failed, within three Business Days after request by the applicable Facility Agent, to confirm in a manner satisfactory to the applicable Facility Agent that it will comply with its funding obligations,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w:t>
      </w:r>
    </w:p>
    <w:p>
      <w:pPr>
        <w:spacing w:after="0" w:line="184"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Capital Stock</w:t>
      </w:r>
      <w:r>
        <w:rPr>
          <w:rFonts w:ascii="Arial" w:cs="Arial" w:eastAsia="Arial" w:hAnsi="Arial"/>
          <w:sz w:val="16"/>
          <w:szCs w:val="16"/>
          <w:color w:val="auto"/>
        </w:rPr>
        <w:t>” means any Equity Interest which, by its terms (or by the terms of any security into which it is convertible or for which it is exchangeable), or upon the happening of any event, (a) matures (excluding any maturity as the result of an optional redemption by the issuer thereof or upon a “change of control” (as defined therein)) or is mandatorily redeemable, pursuant to a sinking fund obligation or otherwise, or is redeemable at the option of the holder thereof, in whole or in part, on or prior to the date that is ninety-one days following the latest Maturity Date, (b) is convertible into or exchangeable (unless at the sole option of the issuer thereof or upon a “change of control” (as defined therein)) for (i) Indebtedness or</w:t>
      </w:r>
    </w:p>
    <w:p>
      <w:pPr>
        <w:spacing w:after="0" w:line="2"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Equity Interests referred to in (a) above, in each case at any time on or prior to the date that is ninety-one days following the latest Maturity Date, or</w:t>
      </w:r>
    </w:p>
    <w:p>
      <w:pPr>
        <w:spacing w:after="0" w:line="32" w:lineRule="exact"/>
        <w:rPr>
          <w:rFonts w:ascii="Arial" w:cs="Arial" w:eastAsia="Arial" w:hAnsi="Arial"/>
          <w:sz w:val="16"/>
          <w:szCs w:val="16"/>
          <w:color w:val="auto"/>
        </w:rPr>
      </w:pPr>
    </w:p>
    <w:p>
      <w:pPr>
        <w:ind w:firstLine="8"/>
        <w:spacing w:after="0" w:line="290" w:lineRule="auto"/>
        <w:tabs>
          <w:tab w:leader="none" w:pos="2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contains any mandatory repurchase obligation which may come into effect prior to payment in full of all Obligations other than in connection with or upon a “change of control” (as defined therein); provided that any Equity Interests that would not constitute Disqualified Capital Stock but for provisions thereof giving holders thereof (or the holders of any security into or for which such Equity Interests is convertible, exchangeable or exercisable) the right to require the issuer thereof to redeem such Equity Interests upon the occurrence of a change in control or an asset sale occurring prior to the date that is ninety-one days following the latest Maturity Date shall not constitute Disqualified Capital Stock if such Equity Interests provide that the issuer thereof will not redeem any such Equity Interests pursuant to such provisions prior to the repayment in full of the Obligations.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currency of the United States.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(b) with respect to any amount denominated in Canadian Dollars, the equivalent amount thereof in Dollars as determined by the Administrative Agent or the applicable Multicurrency Facility L/C Issuer, as the case may be, at such time on the basis of the Spot Rate (determined in respect of the most recent Revaluation Date) for the purchase of Dollars with Canadian Dollars, (c) with respect to any amount denominated in Euros, the equivalent amount thereof in Dollars as determined by the Administrative Agent or the applicable Multicurrency Facility L/C Issuer, as the case may be, at such time on the basis of the Spot Rate (determined in respect of the most recent Revaluation Date) for the purchase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57" w:right="339" w:bottom="1440" w:gutter="0" w:footer="0" w:header="0"/>
        </w:sectPr>
      </w:pPr>
    </w:p>
    <w:bookmarkStart w:id="86" w:name="page87"/>
    <w:bookmarkEnd w:id="86"/>
    <w:p>
      <w:pPr>
        <w:ind w:right="320"/>
        <w:spacing w:after="0" w:line="255" w:lineRule="auto"/>
        <w:rPr>
          <w:sz w:val="20"/>
          <w:szCs w:val="20"/>
          <w:color w:val="auto"/>
        </w:rPr>
      </w:pPr>
      <w:r>
        <w:rPr>
          <w:rFonts w:ascii="Arial" w:cs="Arial" w:eastAsia="Arial" w:hAnsi="Arial"/>
          <w:sz w:val="18"/>
          <w:szCs w:val="18"/>
          <w:color w:val="auto"/>
        </w:rPr>
        <w:t>of Dollars with Euros, (d) with respect to any amount denominated in Pounds Sterling, the equivalent amount thereof in Dollars as determined by the Administrative Agent or the applicable Multicurrency Facility L/C Issuer, as the case may be, at such time on the basis of the Spot Rate (determined in respect of the most recent Revaluation Date) for the purchase of Dollars with Pounds Sterling, and (e) with respect to any amount denominated in any Alternative Currency, the equivalent amount thereof in Dollars as determined by the Administrative Agent or the applicable Multicurrency Facility L/C Issuer, as the case may be, at such time on the basis of the Spot Rate (determined in respect of the most recent Revaluation Date) for the purchase of Dollars with such Alternative Currency.</w:t>
      </w:r>
    </w:p>
    <w:p>
      <w:pPr>
        <w:spacing w:after="0" w:line="19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 Parties</w:t>
      </w:r>
      <w:r>
        <w:rPr>
          <w:rFonts w:ascii="Arial" w:cs="Arial" w:eastAsia="Arial" w:hAnsi="Arial"/>
          <w:sz w:val="18"/>
          <w:szCs w:val="18"/>
          <w:color w:val="auto"/>
        </w:rPr>
        <w:t>” means, collectively, each Loan Party that is organized under the laws of the United States, any state thereof or the District of Columbia, other than Excluded Domestic Subsidiaries and Foreign Subsidiary Holding Companies.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any Restricted Subsidiary that is organized under the laws of the United States, any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Borrower</w:t>
      </w:r>
      <w:r>
        <w:rPr>
          <w:rFonts w:ascii="Arial" w:cs="Arial" w:eastAsia="Arial" w:hAnsi="Arial"/>
          <w:sz w:val="18"/>
          <w:szCs w:val="18"/>
          <w:color w:val="auto"/>
        </w:rPr>
        <w:t>” has the meaning assigned to such term in the introductory paragraph hereto.</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Obligations</w:t>
      </w:r>
      <w:r>
        <w:rPr>
          <w:rFonts w:ascii="Arial" w:cs="Arial" w:eastAsia="Arial" w:hAnsi="Arial"/>
          <w:sz w:val="18"/>
          <w:szCs w:val="18"/>
          <w:color w:val="auto"/>
        </w:rPr>
        <w:t xml:space="preserve">” means all obligations, liabilities and indebtedness of every nature of the Dutch Borrower from time to time owed to the Secured Parties under the Loan Documents including, without limitation, (i) the principal amount of all debts, claims and indebtedness, accrued and unpaid interest and all fees, costs and expenses, whether primary, secondary, direct, contingent, fixed or otherwise, heretofore, now and/or from time to time hereafter owing, due or payable including, without limitation, all interest, fees, cost and expenses accrued or incurred after the filing of any petition under any bankruptcy or insolvency law (regardless of whether allowed or allowable in whole or in part as a claim therein), (ii) the due and punctual payment and performance of all obligations of the Dutch Borrower under each Swap Contract permitted to be incurred pursuant to </w:t>
      </w:r>
      <w:r>
        <w:rPr>
          <w:rFonts w:ascii="Arial" w:cs="Arial" w:eastAsia="Arial" w:hAnsi="Arial"/>
          <w:sz w:val="18"/>
          <w:szCs w:val="18"/>
          <w:u w:val="single" w:color="auto"/>
          <w:color w:val="auto"/>
        </w:rPr>
        <w:t>Section 7.03(n)</w:t>
      </w:r>
      <w:r>
        <w:rPr>
          <w:rFonts w:ascii="Arial" w:cs="Arial" w:eastAsia="Arial" w:hAnsi="Arial"/>
          <w:sz w:val="18"/>
          <w:szCs w:val="18"/>
          <w:color w:val="auto"/>
        </w:rPr>
        <w:t xml:space="preserve"> entered into with any counterparty that is a Secured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Dutch Obligations shall exclude any Excluded Swap Obligations and (iii) the due and punctual payment and performance of all obligations in respect of any Treasury Management Agreement between the Dutch Borrower and any Person that is a Secured Party.</w:t>
      </w:r>
    </w:p>
    <w:p>
      <w:pPr>
        <w:spacing w:after="0" w:line="19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w:t>
      </w:r>
    </w:p>
    <w:p>
      <w:pPr>
        <w:ind w:right="360" w:firstLine="8"/>
        <w:spacing w:after="0" w:line="260"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institution established in an EEA Member Country which is a subsidiary of an institution described in clauses (a) or (b) of this definition and is subject to consolidated supervision with its parent.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means (a) a Lender; (b) an Affiliate of a Lender; (c) an Approved Fund; and (d) any other Person approved by (i) the Administrative Agent, (ii)(A) the applicable L/C Issuer and (B) the applicable Swing Line Lender and (iii) unless an Event of Default has occurred and is continuing, the U.S. Borrower (each such approval not to be unreasonably withheld or delayed and provided that the U.S. Borrower shall be deemed to have given such approval if it has not objected to such “Eligible Assignee” within 10 Business Days after having received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“Eligible Assignee” shall not include (x) any natural person (or to a holding company, investment vehicle or trust for, or owned and operated for the primary benefit of a natural person) or (y) the U.S. Borrower or any of the U.S. Borrower’s Affiliates or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until the interpretation of the term “public” (as referred to in Article 4.1(1) of the Capital Requirements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341" w:right="359" w:bottom="1440" w:gutter="0" w:footer="0" w:header="0"/>
        </w:sectPr>
      </w:pPr>
    </w:p>
    <w:bookmarkStart w:id="87" w:name="page88"/>
    <w:bookmarkEnd w:id="87"/>
    <w:p>
      <w:pPr>
        <w:ind w:right="160"/>
        <w:spacing w:after="0" w:line="259" w:lineRule="auto"/>
        <w:rPr>
          <w:sz w:val="20"/>
          <w:szCs w:val="20"/>
          <w:color w:val="auto"/>
        </w:rPr>
      </w:pPr>
      <w:r>
        <w:rPr>
          <w:rFonts w:ascii="Arial" w:cs="Arial" w:eastAsia="Arial" w:hAnsi="Arial"/>
          <w:sz w:val="18"/>
          <w:szCs w:val="18"/>
          <w:color w:val="auto"/>
        </w:rPr>
        <w:t>Regulation (EU/575/2013) (“CRR”)) has been published by the competent authority, any “Eligible Assignee’s” participation in respect of Commitments towards, or Borrowings by, the Dutch Borrower is at least equal to EUR 100,000 (or the foreign currency equivalent thereof), or such “Eligible Assignee” is otherwise not forming part of the public, and (II) as soon as the interpretation of the term “public” has been published by the competent authority, such “Eligible Assignee” is not considered to be part of the public on the basis of such interpretation.</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means an employee benefit plan (as defined in Section 3(3) of ERISA) that is maintained or contributed to by a Loan Party or any ERISA Affiliate or with respect to which a Loan Party or a Restricted Subsidiary could reasonably be expected to incur liability.</w:t>
      </w:r>
    </w:p>
    <w:p>
      <w:pPr>
        <w:spacing w:after="0" w:line="14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the economic and monetary union in accordance with the Treaty of Rome 1957, as amended by the Single European Act 1986, the Maastricht Treaty of 1992 and the Amsterdam Treaty of 1998.</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surface water and groundwater (including potable water, navigable water and wetlands), the land surface or subsurface strata, natural resources, the workplace or as otherwise defined in any Environmental Law.</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claim, notice, demand, order, action, suit, proceeding or other communication alleging liability for investigation, remediation, removal, cleanup, response, corrective action, damages to natural resources, personal injury, property damage, fines, penalties or other costs resulting from, related to or arising out of (i) the presence, Release or threatened Release in or into the Environment of Hazardous Material at any location or (ii) any violation of Environmental Law, and shall include any claim seeking damages, contribution, indemnification, cost recovery, compensation or injunctive relief resulting from, related to or arising out of the presence, Release or threatened Release of Hazardous Material or alleged injury or threat of injury to health, safety or the Environment.</w:t>
      </w:r>
    </w:p>
    <w:p>
      <w:pPr>
        <w:spacing w:after="0" w:line="192"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and all applicable present and future treaties, laws, statutes, ordinances, regulations, rules, decrees, orders, judgments, consent orders, consent decrees, code or other binding requirements, and the common law, relating to protection of the Environment or of public health as it relates to Releases of or exposure to Hazardous Materials, or to the Release or threatened Release of Hazardous Materials, or natural resource damages and any and all Environmental Permits.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w:t>
      </w:r>
      <w:r>
        <w:rPr>
          <w:rFonts w:ascii="Arial" w:cs="Arial" w:eastAsia="Arial" w:hAnsi="Arial"/>
          <w:sz w:val="18"/>
          <w:szCs w:val="18"/>
          <w:color w:val="auto"/>
        </w:rPr>
        <w:t>” means any permit, license, approval, consent or other authorization required by or from a Governmental Authority under Environmental Law.</w:t>
      </w:r>
    </w:p>
    <w:p>
      <w:pPr>
        <w:spacing w:after="0" w:line="170" w:lineRule="exact"/>
        <w:rPr>
          <w:sz w:val="20"/>
          <w:szCs w:val="20"/>
          <w:color w:val="auto"/>
        </w:rPr>
      </w:pPr>
    </w:p>
    <w:p>
      <w:pPr>
        <w:jc w:val="both"/>
        <w:ind w:right="4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whether outstanding on the Closing Date or issued after the Closing Date, but excluding debt securities convertible or exchangeable into such equity.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a Loan Party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a withdrawal by a Loan Party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 Loan Party or any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41" w:right="339" w:bottom="1440" w:gutter="0" w:footer="0" w:header="0"/>
        </w:sectPr>
      </w:pPr>
    </w:p>
    <w:bookmarkStart w:id="88" w:name="page89"/>
    <w:bookmarkEnd w:id="88"/>
    <w:p>
      <w:pPr>
        <w:spacing w:after="0" w:line="287" w:lineRule="auto"/>
        <w:rPr>
          <w:sz w:val="20"/>
          <w:szCs w:val="20"/>
          <w:color w:val="auto"/>
        </w:rPr>
      </w:pPr>
      <w:r>
        <w:rPr>
          <w:rFonts w:ascii="Arial" w:cs="Arial" w:eastAsia="Arial" w:hAnsi="Arial"/>
          <w:sz w:val="16"/>
          <w:szCs w:val="16"/>
          <w:color w:val="auto"/>
        </w:rPr>
        <w:t>ERISA Affiliate from a Multiemployer Plan or notification that a Multiemployer Plan is in reorganization; (d) the filing of a notice of intent to terminate, the treatment of a Pension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(f) the “substantial cessation of operations” within the meaning of Section 4062(e) of ERISA with respect to a Pension Plan; (g) the imposition of any liability under Title IV of ERISA, other than for PBGC premiums due but not delinquent under Section 4007 of ERISA, upon a Loan Party or any ERISA Affiliate; (h) any failure by a Pension Plan to satisfy the minimum funding standard (within the meaning of Section 412 of the Code or Section 302 of ERISA) applicable to such Pension Plan, whether or not waived, (unless such failure is corrected by the final due date for all contributions for the plan year for which such failure occurred) or the failure to make any required contribution to a Multiemployer Plan; (i) the making of any amendment to any Pension Plan which could result in the imposition of a lien or the posting of a bond or other security; or (j) the occurrence of a non-exempt prohibited transaction (within the meaning of Section 4975 of the Code or Section 406 of ERISA) which could reasonably be expected to result in liability to a Loan Party or a Restricted Subsidiary thereof.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w:t>
      </w:r>
      <w:r>
        <w:rPr>
          <w:rFonts w:ascii="Arial" w:cs="Arial" w:eastAsia="Arial" w:hAnsi="Arial"/>
          <w:sz w:val="18"/>
          <w:szCs w:val="18"/>
          <w:color w:val="auto"/>
        </w:rPr>
        <w:t>” means the European Union.</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EUR</w:t>
      </w:r>
      <w:r>
        <w:rPr>
          <w:rFonts w:ascii="Arial" w:cs="Arial" w:eastAsia="Arial" w:hAnsi="Arial"/>
          <w:sz w:val="18"/>
          <w:szCs w:val="18"/>
          <w:color w:val="auto"/>
        </w:rPr>
        <w:t>” means the single currency of the participating member states of the EU.</w:t>
      </w:r>
    </w:p>
    <w:p>
      <w:pPr>
        <w:spacing w:after="0" w:line="22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 Equivalent</w:t>
      </w:r>
      <w:r>
        <w:rPr>
          <w:rFonts w:ascii="Arial" w:cs="Arial" w:eastAsia="Arial" w:hAnsi="Arial"/>
          <w:sz w:val="18"/>
          <w:szCs w:val="18"/>
          <w:color w:val="auto"/>
        </w:rPr>
        <w:t>” means, at any time, with respect to any amount denominated in Dollars, the equivalent amount thereof in Euros as determined by the Administrative Agent or the applicable Multicurrency Facility L/C Issuer, as the case may be, at such time on the basis of the Spot Rate (determined in respect of the most recent Revaluation Date) for the purchase of Euros with Dollars.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w:t>
      </w:r>
    </w:p>
    <w:p>
      <w:pPr>
        <w:spacing w:after="0" w:line="239" w:lineRule="exact"/>
        <w:rPr>
          <w:sz w:val="20"/>
          <w:szCs w:val="20"/>
          <w:color w:val="auto"/>
        </w:rPr>
      </w:pPr>
    </w:p>
    <w:p>
      <w:pPr>
        <w:ind w:left="660" w:right="20" w:firstLine="644"/>
        <w:spacing w:after="0" w:line="282" w:lineRule="auto"/>
        <w:tabs>
          <w:tab w:leader="none" w:pos="1708" w:val="left"/>
        </w:tabs>
        <w:numPr>
          <w:ilvl w:val="0"/>
          <w:numId w:val="37"/>
        </w:numPr>
        <w:rPr>
          <w:rFonts w:ascii="Arial" w:cs="Arial" w:eastAsia="Arial" w:hAnsi="Arial"/>
          <w:sz w:val="19"/>
          <w:szCs w:val="19"/>
          <w:color w:val="auto"/>
        </w:rPr>
      </w:pPr>
      <w:r>
        <w:rPr>
          <w:rFonts w:ascii="Arial" w:cs="Arial" w:eastAsia="Arial" w:hAnsi="Arial"/>
          <w:sz w:val="17"/>
          <w:szCs w:val="17"/>
          <w:color w:val="auto"/>
        </w:rPr>
        <w:t xml:space="preserve">for any Interest Period (i)(A) with respect to a Eurodollar Rate Loan (other than a Eurodollar Rate Loan denominated in Canadian Dollars), the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equal to the London interbank offered rate as administered by ICE Benchmark Administration Limited (or any other person that takes over the administration of such rate) (“</w:t>
      </w:r>
      <w:r>
        <w:rPr>
          <w:rFonts w:ascii="Arial" w:cs="Arial" w:eastAsia="Arial" w:hAnsi="Arial"/>
          <w:sz w:val="17"/>
          <w:szCs w:val="17"/>
          <w:u w:val="single" w:color="auto"/>
          <w:color w:val="auto"/>
        </w:rPr>
        <w:t>LIBOR</w:t>
      </w:r>
      <w:r>
        <w:rPr>
          <w:rFonts w:ascii="Arial" w:cs="Arial" w:eastAsia="Arial" w:hAnsi="Arial"/>
          <w:sz w:val="17"/>
          <w:szCs w:val="17"/>
          <w:color w:val="auto"/>
        </w:rPr>
        <w:t>”), as published by Reuters (or such other commercially available source providing quotations of LIBOR as may be designated by the Administrative Agent from time to time) (in each case, the “</w:t>
      </w:r>
      <w:r>
        <w:rPr>
          <w:rFonts w:ascii="Arial" w:cs="Arial" w:eastAsia="Arial" w:hAnsi="Arial"/>
          <w:sz w:val="17"/>
          <w:szCs w:val="17"/>
          <w:u w:val="single" w:color="auto"/>
          <w:color w:val="auto"/>
        </w:rPr>
        <w:t>Published LIBOR Rate</w:t>
      </w:r>
      <w:r>
        <w:rPr>
          <w:rFonts w:ascii="Arial" w:cs="Arial" w:eastAsia="Arial" w:hAnsi="Arial"/>
          <w:sz w:val="17"/>
          <w:szCs w:val="17"/>
          <w:color w:val="auto"/>
        </w:rPr>
        <w:t>”) at approximately 11:00 a.m., London time, two London Banking Days prior to the commencement of such Interest Period (or, in the case of Eurodollar Rate Loans denominated in Pounds Sterling, on the first day of such Interest Period), for deposits (for delivery on the first day of such Interest Period) with a term equivalent to such Interest Period in the relevant currency, or (B) if such rate described in clause (i)(A) is not available at such time for any reason, such Eurodollar Base Rate shall be the Interpolated Rate, or (ii) in the case of a Eurodollar Rate Loan denominated in Canadian Dollars, (A) the CDOR Rate, or (B) if such rate described in clause (ii)(A) is not available at such time for any reason, such Eurodollar Base Rate shall be the Interpolated Rate; and</w:t>
      </w:r>
    </w:p>
    <w:p>
      <w:pPr>
        <w:spacing w:after="0" w:line="187" w:lineRule="exact"/>
        <w:rPr>
          <w:rFonts w:ascii="Arial" w:cs="Arial" w:eastAsia="Arial" w:hAnsi="Arial"/>
          <w:sz w:val="19"/>
          <w:szCs w:val="19"/>
          <w:color w:val="auto"/>
        </w:rPr>
      </w:pPr>
    </w:p>
    <w:p>
      <w:pPr>
        <w:ind w:left="660" w:right="280" w:firstLine="644"/>
        <w:spacing w:after="0" w:line="265" w:lineRule="auto"/>
        <w:tabs>
          <w:tab w:leader="none" w:pos="1718" w:val="left"/>
        </w:tabs>
        <w:numPr>
          <w:ilvl w:val="0"/>
          <w:numId w:val="37"/>
        </w:numPr>
        <w:rPr>
          <w:rFonts w:ascii="Arial" w:cs="Arial" w:eastAsia="Arial" w:hAnsi="Arial"/>
          <w:sz w:val="20"/>
          <w:szCs w:val="20"/>
          <w:color w:val="auto"/>
        </w:rPr>
      </w:pPr>
      <w:r>
        <w:rPr>
          <w:rFonts w:ascii="Arial" w:cs="Arial" w:eastAsia="Arial" w:hAnsi="Arial"/>
          <w:sz w:val="18"/>
          <w:szCs w:val="18"/>
          <w:color w:val="auto"/>
        </w:rPr>
        <w:t xml:space="preserve">for any interest calculation with respect to a Base Rate Loan or a Canadian U.S. Base Rate Loan on any date, the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(i) the Published LIBOR Rate, at approximately 11:00 a.m., London time, two London Banking Days prior to such date for Dollar deposits being delivered in the London interbank market for a term of one month commencing that day or (ii) if such published rate is not available at such time for any reason, such Eurodollar Base Rate shall be the Interpolated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if any the above rates shall be less than zero, such rate shall be deemed to be zero.</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xml:space="preserve">” means for any Interest Period with respect to a Eurodollar Rate Loan or a Base Rate Loan determined pursuant to clause (c) of the definition thereof,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determined by the Administrative Agent pursuant to the following formula: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41" w:right="339" w:bottom="1440" w:gutter="0" w:footer="0" w:header="0"/>
        </w:sectPr>
      </w:pPr>
    </w:p>
    <w:bookmarkStart w:id="89" w:name="page90"/>
    <w:bookmarkEnd w:id="89"/>
    <w:p>
      <w:pPr>
        <w:ind w:left="3120"/>
        <w:spacing w:after="0"/>
        <w:tabs>
          <w:tab w:leader="none" w:pos="5220" w:val="left"/>
        </w:tabs>
        <w:rPr>
          <w:sz w:val="20"/>
          <w:szCs w:val="20"/>
          <w:color w:val="auto"/>
        </w:rPr>
      </w:pPr>
      <w:r>
        <w:rPr>
          <w:rFonts w:ascii="Arial" w:cs="Arial" w:eastAsia="Arial" w:hAnsi="Arial"/>
          <w:sz w:val="18"/>
          <w:szCs w:val="18"/>
          <w:color w:val="auto"/>
        </w:rPr>
        <w:t>Eurodollar Rate =</w:t>
      </w:r>
      <w:r>
        <w:rPr>
          <w:sz w:val="20"/>
          <w:szCs w:val="20"/>
          <w:color w:val="auto"/>
        </w:rPr>
        <w:tab/>
      </w:r>
      <w:r>
        <w:rPr>
          <w:rFonts w:ascii="Arial" w:cs="Arial" w:eastAsia="Arial" w:hAnsi="Arial"/>
          <w:sz w:val="15"/>
          <w:szCs w:val="15"/>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-10160</wp:posOffset>
            </wp:positionV>
            <wp:extent cx="2291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pacing w:after="0" w:line="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1.00 – Eurodollar Reserve Percentage</w:t>
      </w:r>
    </w:p>
    <w:p>
      <w:pPr>
        <w:spacing w:after="0" w:line="9"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based on the Eurodollar Rate. All Loans denominated in an Alternative Currency must be Eurodollar Rate Loans.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Revolving Loan</w:t>
      </w:r>
      <w:r>
        <w:rPr>
          <w:rFonts w:ascii="Arial" w:cs="Arial" w:eastAsia="Arial" w:hAnsi="Arial"/>
          <w:sz w:val="18"/>
          <w:szCs w:val="18"/>
          <w:color w:val="auto"/>
        </w:rPr>
        <w:t>” means a Revolving Loan that is a Eurodollar Rate Loan.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means, for any day during any Interest Period,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Eurodollar funding (currently referred to as “</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The Eurodollar Rate for each outstanding Eurodollar Rate Loan shall be adjusted automatically as of the effective date of any change in the Eurodollar Reserve Percentage.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European Agent</w:t>
      </w:r>
      <w:r>
        <w:rPr>
          <w:rFonts w:ascii="Arial" w:cs="Arial" w:eastAsia="Arial" w:hAnsi="Arial"/>
          <w:sz w:val="16"/>
          <w:szCs w:val="16"/>
          <w:color w:val="auto"/>
        </w:rPr>
        <w:t>” means J.P. Morgan Europe Limited, in its capacity as European agent hereunder, and includes any successor European agent.</w:t>
      </w:r>
    </w:p>
    <w:p>
      <w:pPr>
        <w:spacing w:after="0" w:line="24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Agent’s Office</w:t>
      </w:r>
      <w:r>
        <w:rPr>
          <w:rFonts w:ascii="Arial" w:cs="Arial" w:eastAsia="Arial" w:hAnsi="Arial"/>
          <w:sz w:val="18"/>
          <w:szCs w:val="18"/>
          <w:color w:val="auto"/>
        </w:rPr>
        <w:t xml:space="preserve">” means the European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European Agent may from time to time notify to the Dutch Borrower and the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Domestic Subsidiary</w:t>
      </w:r>
      <w:r>
        <w:rPr>
          <w:rFonts w:ascii="Arial" w:cs="Arial" w:eastAsia="Arial" w:hAnsi="Arial"/>
          <w:sz w:val="18"/>
          <w:szCs w:val="18"/>
          <w:color w:val="auto"/>
        </w:rPr>
        <w:t>” means any Subsidiary organized under the laws of the United States, any state thereof or the District of Columbia (whether treated as a disregarded entity for U.S. federal income tax purposes or not) that is a Subsidiary of a Foreign Subsidiary described in clause (i) of the definition of Foreign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Issuance</w:t>
      </w:r>
      <w:r>
        <w:rPr>
          <w:rFonts w:ascii="Arial" w:cs="Arial" w:eastAsia="Arial" w:hAnsi="Arial"/>
          <w:sz w:val="17"/>
          <w:szCs w:val="17"/>
          <w:color w:val="auto"/>
        </w:rPr>
        <w:t>” means the issuance of Equity Interests by Holdings, the proceeds of which are promptly contributed to U.S. Borrower.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means any Subsidiary that is (a) a Foreign Subsidiary, (b) a captive insurance company, (c) an Unrestricted Subsidiary or</w:t>
      </w:r>
    </w:p>
    <w:p>
      <w:pPr>
        <w:spacing w:after="0" w:line="46" w:lineRule="exact"/>
        <w:rPr>
          <w:sz w:val="20"/>
          <w:szCs w:val="20"/>
          <w:color w:val="auto"/>
        </w:rPr>
      </w:pPr>
    </w:p>
    <w:p>
      <w:pPr>
        <w:ind w:right="200" w:firstLine="8"/>
        <w:spacing w:after="0" w:line="253"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permitted by law, regulation or contract existing on the Closing Date or on the date any such Subsidiary is acquired (so long as in respect of any such contractual prohibition such prohibition is not incurred in contemplation of such acquisition) to provide a guarantee, or would require governmental (including regulatory) consent, approval, license or authorization to provide such guarantee, (unless such consent, approval, license or authorization has been received).</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xml:space="preserve">”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6"/>
          <w:szCs w:val="16"/>
          <w:u w:val="single" w:color="auto"/>
          <w:color w:val="auto"/>
        </w:rPr>
        <w:t>Section 8.03</w:t>
      </w:r>
      <w:r>
        <w:rPr>
          <w:rFonts w:ascii="Arial" w:cs="Arial" w:eastAsia="Arial" w:hAnsi="Arial"/>
          <w:sz w:val="16"/>
          <w:szCs w:val="16"/>
          <w:color w:val="auto"/>
        </w:rPr>
        <w:t>, Section 2 of the Guarantee and any other “keepwell, support or other agreement” for the benefit of such Guarantor and any and all guarantees of such Guarantor’s Swap Obligations by other Loan Parties) at the time the Guarantee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773" w:right="359" w:bottom="1440" w:gutter="0" w:footer="0" w:header="0"/>
        </w:sectPr>
      </w:pPr>
    </w:p>
    <w:bookmarkStart w:id="90" w:name="page91"/>
    <w:bookmarkEnd w:id="90"/>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the Canadian Agent, the European Agent, and other applicable Facility Agent, any Lender, any L/C Issuer, any Swing Line Lender or any other recipient of any payment to be made by or on account of any obligation of any Loan Party under any Loan Document, (a) taxes imposed on or measured by its overall net income (however denominated), franchise taxes imposed on it in lieu of net income taxes (including, for the avoidance of doubt, any such taxes measured by overall gross receipts) and branch profits taxes imposed on it, in each case, as a result of the recipient being organized, resident or engaged in business (other than a business arising (or being deemed to arise) solely as a result of the Loan Documents or any transactions occurring pursuant thereto) in the jurisdiction imposing such tax, (b) in the case of a Foreign Lender to the U.S. Borrower (other than an assignee pursuant to a request by the U.S. Borrower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any U.S. federal withholding tax that is imposed under any Laws in effect at the time such Foreign Lender becomes a party hereto (or designates a new lending office), except to the extent that such Foreign Lender (or its assignor, if any) was entitled, immediately prior to the time of designation of a new lending office (or assignment), to receive additional amounts from the U.S. Borrower with respect to such withholding tax pursuant to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(c) any tax that is attributable to the failure of the Administrative Agent, the Canadian Agent, the European Agent, any other applicable Facility Agent, or any Lender, any L/C Issuer or any Swing Line Lender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tax shall only constitute an Excluded Tax with respect to any such failing party, (d) any U.S. federal withholding Tax that is imposed under current Sections 1471 through 1474 of the Code or any Treasury regulations or other administrative guidance promulgated thereunder or any amended or successor version thereof that is substantively comparable (“</w:t>
      </w:r>
      <w:r>
        <w:rPr>
          <w:rFonts w:ascii="Arial" w:cs="Arial" w:eastAsia="Arial" w:hAnsi="Arial"/>
          <w:sz w:val="16"/>
          <w:szCs w:val="16"/>
          <w:u w:val="single" w:color="auto"/>
          <w:color w:val="auto"/>
        </w:rPr>
        <w:t>FATCA</w:t>
      </w:r>
      <w:r>
        <w:rPr>
          <w:rFonts w:ascii="Arial" w:cs="Arial" w:eastAsia="Arial" w:hAnsi="Arial"/>
          <w:sz w:val="16"/>
          <w:szCs w:val="16"/>
          <w:color w:val="auto"/>
        </w:rPr>
        <w:t>”), (e) U.S. federal backup withholding taxes imposed under Section 3406 of the Code and (f) any interest, additions to tax or penalties in respect of the foregoing.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5.20(a)</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Credit and Guaranty Agreement dated as of July 14, 2005 by and among The William Carter Company, as borrower, Carter’s, Inc. and certain subsidiaries of The William Carter Company, as guarantors, the various lenders from time to time party thereto and Bank of America, N.A., as administrative agent and collateral agent, as amended, modified and otherwise supplemented from time to time to the First Restatement Date.</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xml:space="preserve">” means each of those letters of credit previously issued under the Existing Credit Agreement, the Original Credit Agreement, the First Amended and Restated Credit Agreement, the Second Amended and Restated Credit Agreement, the Third Amended and Restated Credit Agreement or the Fourth Amended and Restated Credit Agreement, as applicable, for the account of Holdings, the U.S. Borrower or any of the U.S. Borrower’s Subsidiaries, in each case that is outstanding on the Amendment No. 1 Effective Date and listed on </w:t>
      </w:r>
      <w:r>
        <w:rPr>
          <w:rFonts w:ascii="Arial" w:cs="Arial" w:eastAsia="Arial" w:hAnsi="Arial"/>
          <w:sz w:val="17"/>
          <w:szCs w:val="17"/>
          <w:u w:val="single" w:color="auto"/>
          <w:color w:val="auto"/>
        </w:rPr>
        <w:t>Schedule 2.03</w:t>
      </w:r>
      <w:r>
        <w:rPr>
          <w:rFonts w:ascii="Arial" w:cs="Arial" w:eastAsia="Arial" w:hAnsi="Arial"/>
          <w:sz w:val="17"/>
          <w:szCs w:val="17"/>
          <w:color w:val="auto"/>
        </w:rPr>
        <w:t>.</w:t>
      </w:r>
    </w:p>
    <w:p>
      <w:pPr>
        <w:spacing w:after="0" w:line="171"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Agents</w:t>
      </w:r>
      <w:r>
        <w:rPr>
          <w:rFonts w:ascii="Arial" w:cs="Arial" w:eastAsia="Arial" w:hAnsi="Arial"/>
          <w:sz w:val="18"/>
          <w:szCs w:val="18"/>
          <w:color w:val="auto"/>
        </w:rPr>
        <w:t>” means the Administrative Agent, the Canadian Agent, the European Agent or, in the case of any borrowing in an Alternative Currency, any other Affiliate or branch of the Administrative Agent; and “Facility Agent” shall mean any of them. It is understood that, without limiting the other provisions of this Agreement, the Administrative Agent may utilize the services of its Affiliates and branches in connection with administrative matters related to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Agent’s Office</w:t>
      </w:r>
      <w:r>
        <w:rPr>
          <w:rFonts w:ascii="Arial" w:cs="Arial" w:eastAsia="Arial" w:hAnsi="Arial"/>
          <w:sz w:val="16"/>
          <w:szCs w:val="16"/>
          <w:color w:val="auto"/>
        </w:rPr>
        <w:t>” means the address and, as appropriate, account as any applicable Facility Agent may from time to time notify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 and the Lenders.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has the meaning assigned to such term in the definition of Excluded Taxes.</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calculated by the FRBNY based on such day’s federal funds transactions by depository institutions (as determined in such manner as the New York Fed shall set forth on its public website from time to time) and published on the next succeeding Business Day by the FRBNY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aforesaid rate shall be less than zero, such rate shall be deemed to be zero for purposes of this Agreement.</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(i) the fee letter dated as of August 3, 2017 among JPMCB and the Borrowers, (ii) the fee letter dated as of August 2, 2017 among Bank of America, N.A., Merrill Lynch, Pierce,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73"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Fenner &amp; Smith Incorporated and the Borrowers and (iii) the fee letter dated as of August 1, 2017 among Bank of Montreal, BMO Capital Markets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the Borrowers, in each case, as amended, restated, supplemented or otherwise modified from time 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Plan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Amended and Restated Credit Agreement</w:t>
      </w:r>
      <w:r>
        <w:rPr>
          <w:rFonts w:ascii="Arial" w:cs="Arial" w:eastAsia="Arial" w:hAnsi="Arial"/>
          <w:sz w:val="18"/>
          <w:szCs w:val="18"/>
          <w:color w:val="auto"/>
        </w:rPr>
        <w:t>” has the meaning given to such term in the recitals hereto.</w:t>
      </w:r>
    </w:p>
    <w:p>
      <w:pPr>
        <w:spacing w:after="0" w:line="225"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Transaction Costs</w:t>
      </w:r>
      <w:r>
        <w:rPr>
          <w:rFonts w:ascii="Arial" w:cs="Arial" w:eastAsia="Arial" w:hAnsi="Arial"/>
          <w:sz w:val="18"/>
          <w:szCs w:val="18"/>
          <w:color w:val="auto"/>
        </w:rPr>
        <w:t>” means the fees, costs and expenses payable by Holdings, the U.S. Borrower or any of their Subsidiaries in connection with the First Amendment Transactions.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Transactions</w:t>
      </w:r>
      <w:r>
        <w:rPr>
          <w:rFonts w:ascii="Arial" w:cs="Arial" w:eastAsia="Arial" w:hAnsi="Arial"/>
          <w:sz w:val="18"/>
          <w:szCs w:val="18"/>
          <w:color w:val="auto"/>
        </w:rPr>
        <w:t>” means, collectively, Amendment No. 1 and the payment of the fees and expenses incurred in connection with the foregoing.</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Priority</w:t>
      </w:r>
      <w:r>
        <w:rPr>
          <w:rFonts w:ascii="Arial" w:cs="Arial" w:eastAsia="Arial" w:hAnsi="Arial"/>
          <w:sz w:val="18"/>
          <w:szCs w:val="18"/>
          <w:color w:val="auto"/>
        </w:rPr>
        <w:t>” means, with respect to any Lien purported to be created in any Collateral pursuant to any Security Document, that such Lien is the most senior Lien to which such Collateral is subject (subject to Permitted Liens).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Restatement Date</w:t>
      </w:r>
      <w:r>
        <w:rPr>
          <w:rFonts w:ascii="Arial" w:cs="Arial" w:eastAsia="Arial" w:hAnsi="Arial"/>
          <w:sz w:val="18"/>
          <w:szCs w:val="18"/>
          <w:color w:val="auto"/>
        </w:rPr>
        <w:t>” has the meaning given to such term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U.S. Person within the meaning of Section 7701(a)(30) of the Code.</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Loan Party</w:t>
      </w:r>
      <w:r>
        <w:rPr>
          <w:rFonts w:ascii="Arial" w:cs="Arial" w:eastAsia="Arial" w:hAnsi="Arial"/>
          <w:sz w:val="18"/>
          <w:szCs w:val="18"/>
          <w:color w:val="auto"/>
        </w:rPr>
        <w:t>” means any Loan Party which is not organized under the laws of the United States, any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means any Employee Benefit Plan that is a defined benefit plan described in Section 4(b)(4)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Restricted Subsidiary</w:t>
      </w:r>
      <w:r>
        <w:rPr>
          <w:rFonts w:ascii="Arial" w:cs="Arial" w:eastAsia="Arial" w:hAnsi="Arial"/>
          <w:sz w:val="17"/>
          <w:szCs w:val="17"/>
          <w:color w:val="auto"/>
        </w:rPr>
        <w:t>” means any direct or indirect Restricted Subsidiary of the U.S. Borrower which is a Foreign Subsidiary.</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(i) any Subsidiary of the U.S. Borrower which is not organized under the laws of the United States, any State thereof or the District of Columbia, (ii) Excluded Domestic Subsidiaries, and (iii) Foreign Subsidiary Holding Companies.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xml:space="preserve">” means any Subsidiary, whose assets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consists primarily of the stock and related debt of one or more Foreign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Restatement Date</w:t>
      </w:r>
      <w:r>
        <w:rPr>
          <w:rFonts w:ascii="Arial" w:cs="Arial" w:eastAsia="Arial" w:hAnsi="Arial"/>
          <w:sz w:val="18"/>
          <w:szCs w:val="18"/>
          <w:color w:val="auto"/>
        </w:rPr>
        <w:t>” has the meaning assigned to such term in the introductory paragraph hereto.</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Restatement Date Refinancing</w:t>
      </w:r>
      <w:r>
        <w:rPr>
          <w:rFonts w:ascii="Arial" w:cs="Arial" w:eastAsia="Arial" w:hAnsi="Arial"/>
          <w:sz w:val="18"/>
          <w:szCs w:val="18"/>
          <w:color w:val="auto"/>
        </w:rPr>
        <w:t>” means the refinancing in full of all the then outstanding obligations under the Third Amended and Restated Credit Agreement simultaneously with the execution of this Agreement on the Fourth Restatement Date.</w:t>
      </w:r>
    </w:p>
    <w:p>
      <w:pPr>
        <w:spacing w:after="0" w:line="17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Restatement Date Transaction</w:t>
      </w:r>
      <w:r>
        <w:rPr>
          <w:rFonts w:ascii="Arial" w:cs="Arial" w:eastAsia="Arial" w:hAnsi="Arial"/>
          <w:sz w:val="18"/>
          <w:szCs w:val="18"/>
          <w:color w:val="auto"/>
        </w:rPr>
        <w:t>” means, collectively, (a) the Fourth Restatement Date Refinancing, (b) the amendment and restatement of the Third Amended and Restated Credit Agreement on the Fourth Restatement Date and (c) the payment of the fees and expenses incurred in connection with the foregoing.</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Restatement Date Transaction Costs</w:t>
      </w:r>
      <w:r>
        <w:rPr>
          <w:rFonts w:ascii="Arial" w:cs="Arial" w:eastAsia="Arial" w:hAnsi="Arial"/>
          <w:sz w:val="18"/>
          <w:szCs w:val="18"/>
          <w:color w:val="auto"/>
        </w:rPr>
        <w:t>” means the fees, costs and expenses payable by Holdings, the U.S. Borrower or any of their Subsidiaries in connection with the Fourth Restatement Date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FRBNY</w:t>
      </w:r>
      <w:r>
        <w:rPr>
          <w:rFonts w:ascii="Arial" w:cs="Arial" w:eastAsia="Arial" w:hAnsi="Arial"/>
          <w:sz w:val="18"/>
          <w:szCs w:val="18"/>
          <w:color w:val="auto"/>
        </w:rPr>
        <w:t>” means the Federal Reserve Bank of New York.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557" w:right="379" w:bottom="1440" w:gutter="0" w:footer="0" w:header="0"/>
        </w:sectPr>
      </w:pPr>
    </w:p>
    <w:bookmarkStart w:id="92" w:name="page93"/>
    <w:bookmarkEnd w:id="92"/>
    <w:p>
      <w:pPr>
        <w:ind w:right="1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FRBNY Rate</w:t>
      </w:r>
      <w:r>
        <w:rPr>
          <w:rFonts w:ascii="Arial" w:cs="Arial" w:eastAsia="Arial" w:hAnsi="Arial"/>
          <w:sz w:val="18"/>
          <w:szCs w:val="18"/>
          <w:color w:val="auto"/>
        </w:rPr>
        <w:t xml:space="preserve">” means, for any day, the greater of (a) the Federal Funds Rate in effect on such day and (b) the Overnight Bank Funding Rate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both such rates are not so published for any day that is a Business </w:t>
      </w:r>
      <w:r>
        <w:rPr>
          <w:rFonts w:ascii="Arial" w:cs="Arial" w:eastAsia="Arial" w:hAnsi="Arial"/>
          <w:sz w:val="18"/>
          <w:szCs w:val="18"/>
          <w:i w:val="1"/>
          <w:iCs w:val="1"/>
          <w:color w:val="auto"/>
        </w:rPr>
        <w:t>Day</w:t>
      </w:r>
      <w:r>
        <w:rPr>
          <w:rFonts w:ascii="Arial" w:cs="Arial" w:eastAsia="Arial" w:hAnsi="Arial"/>
          <w:sz w:val="18"/>
          <w:szCs w:val="18"/>
          <w:color w:val="auto"/>
        </w:rPr>
        <w:t xml:space="preserve">, the term “FRBNY Rate” means the rate quoted for such day for a federal funds transaction at 11:00 a.m. on such day received by the Administrative Agent from a Federal funds broker of recognized standing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of the aforesaid rates shall be less than zero, such rate shall be deemed to be zero for purposes of this Agreement.</w:t>
      </w:r>
    </w:p>
    <w:p>
      <w:pPr>
        <w:spacing w:after="0" w:line="18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xml:space="preserve">” means, at any time there is a Defaulting Lender, (a) with respect to the U.S. Dollar Facility L/C Issuer, such Defaulting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the outstanding U.S. Dollar Facility L/C Obligations other than U.S. Dollar Facility L/C Obligations as to which such Defaulting Lender’s participation obligation has been reallocated to other U.S. Dollar Facility Lenders or Cash Collateralized in accordance with the terms hereof, (b) with respect to the Multicurrency Facility L/C Issuer, such Defaulting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the outstanding Multicurrency Facility L/C Obligations other than Multicurrency Facility L/C Obligations as to which such Defaulting Lender’s participation obligation has been reallocated to other Multicurrency Facility Lenders or Cash Collateralized in accordance with the terms hereof, (c) with respect to the U.S. Dollar Facility Swing Line Lender, such Defaulting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U.S. Dollar Facility Swing Line Loans other than U.S. Dollar Facility Swing Line Loans as to which such Defaulting Lender’s participation obligation has been reallocated to other U.S. Dollar Facility Lenders or Cash Collateralized in accordance with the terms hereof and (d) with respect to the</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Multicurrency Facility Swing Line Lender, such Defaulting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Multicurrency Facility Swing Line Loans other than Multicurrency Facility Swing Line Loans as to which such Defaulting Lender’s participation obligation has been reallocated to other Multicurrency Facility Lenders or Cash Collateralized in accordance with the terms hereof.</w:t>
      </w:r>
    </w:p>
    <w:p>
      <w:pPr>
        <w:spacing w:after="0" w:line="19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which are applicable to the circumstances as of the date of determination,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hereof.</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Real Property Disclosure Requirements</w:t>
      </w:r>
      <w:r>
        <w:rPr>
          <w:rFonts w:ascii="Arial" w:cs="Arial" w:eastAsia="Arial" w:hAnsi="Arial"/>
          <w:sz w:val="16"/>
          <w:szCs w:val="16"/>
          <w:color w:val="auto"/>
        </w:rPr>
        <w:t>” means any applicable law of any Governmental Authority requiring notification of the buyer, lessee, mortgagee, assignee or other transferee of any Real Property, facility, establishment or business, or notification, registration or filing to or with any Governmental Authority, in connection with the sale, lease, mortgage, assignment or other transfer (including any transfer of control) of any Real Property, facility, establishment or business, of the actual or threatened presence or Release in or into the Environment, or the use, disposal or handling of Hazardous Material on, at, under or near the Real Property, facility, establishment or business to be sold, leased, mortgaged, assigned or transferred.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10.06(h)</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means, collectively, (i) the guarantee made by Holdings, the U.S. Borrower and the Subsidiary Guarantors (other than the Dutch Borrower and the Canadian Borrower) in favor of the Collateral Agent on behalf of the Secured Parties,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attached to the Third Amended and Restated Credit Agreement, (ii) the guarantee by the Canadian Borrower of the Dutch Obligations (to the extent no material adverse tax consequences would result therefrom), (iii) the guarantee by the Dutch Borrower of the Canadian Obligations (to the extent no material adverse tax consequences would result therefrom), and (iv) each other guarantee and guarantee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773" w:right="359" w:bottom="1440" w:gutter="0" w:footer="0" w:header="0"/>
        </w:sectPr>
      </w:pPr>
    </w:p>
    <w:bookmarkStart w:id="93" w:name="page94"/>
    <w:bookmarkEnd w:id="93"/>
    <w:p>
      <w:pPr>
        <w:spacing w:after="0" w:line="286" w:lineRule="auto"/>
        <w:rPr>
          <w:sz w:val="20"/>
          <w:szCs w:val="20"/>
          <w:color w:val="auto"/>
        </w:rPr>
      </w:pPr>
      <w:r>
        <w:rPr>
          <w:rFonts w:ascii="Arial" w:cs="Arial" w:eastAsia="Arial" w:hAnsi="Arial"/>
          <w:sz w:val="17"/>
          <w:szCs w:val="17"/>
          <w:color w:val="auto"/>
        </w:rPr>
        <w:t xml:space="preserve">supplement in respect of the Secured Obligations delivered pursuant to </w:t>
      </w:r>
      <w:r>
        <w:rPr>
          <w:rFonts w:ascii="Arial" w:cs="Arial" w:eastAsia="Arial" w:hAnsi="Arial"/>
          <w:sz w:val="17"/>
          <w:szCs w:val="17"/>
          <w:u w:val="single" w:color="auto"/>
          <w:color w:val="auto"/>
        </w:rPr>
        <w:t>Section 6.13(b)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in no event shall the Canadian Obligations of the Canadian Borrower, the Dutch Obligations of the Dutch Borrower, or, in any case, of any other Foreign Subsidiary include any Obligations, interest or fees thereon, or any indemnification or reimbursement obligations of U.S. Loan Parties.</w:t>
      </w:r>
    </w:p>
    <w:p>
      <w:pPr>
        <w:spacing w:after="0" w:line="16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w:t>
      </w:r>
      <w:r>
        <w:rPr>
          <w:rFonts w:ascii="Arial" w:cs="Arial" w:eastAsia="Arial" w:hAnsi="Arial"/>
          <w:sz w:val="16"/>
          <w:szCs w:val="16"/>
          <w:color w:val="auto"/>
        </w:rPr>
        <w:t xml:space="preserve">” means each of (a) Holdings, (b) the U.S. Borrower (other than with respect to its direct Obligations as a primary obligor (as opposed to a guarantor) under (i) the Loan Documents, (ii) each Swap Contract permitted to be incurred pursuant to </w:t>
      </w:r>
      <w:r>
        <w:rPr>
          <w:rFonts w:ascii="Arial" w:cs="Arial" w:eastAsia="Arial" w:hAnsi="Arial"/>
          <w:sz w:val="16"/>
          <w:szCs w:val="16"/>
          <w:u w:val="single" w:color="auto"/>
          <w:color w:val="auto"/>
        </w:rPr>
        <w:t>Section 7.03(n)</w:t>
      </w:r>
      <w:r>
        <w:rPr>
          <w:rFonts w:ascii="Arial" w:cs="Arial" w:eastAsia="Arial" w:hAnsi="Arial"/>
          <w:sz w:val="16"/>
          <w:szCs w:val="16"/>
          <w:color w:val="auto"/>
        </w:rPr>
        <w:t xml:space="preserve"> entered into with any counterparty that is a Secured Party and (iii) all obligations in respect of any Treasury Management Agreement between any Loan Party and any Person that is a Secured Party), (c) solely with respect to the Dutch Obligations and to the extent no material adverse tax consequences would result therefrom, the Canadian Borrower (other than with respect to its direct Obligations as a primary obligor (as opposed to a guarantor) under (i) the Loan Documents, (ii) each Swap Contract permitted to be incurred pursuant to </w:t>
      </w:r>
      <w:r>
        <w:rPr>
          <w:rFonts w:ascii="Arial" w:cs="Arial" w:eastAsia="Arial" w:hAnsi="Arial"/>
          <w:sz w:val="16"/>
          <w:szCs w:val="16"/>
          <w:u w:val="single" w:color="auto"/>
          <w:color w:val="auto"/>
        </w:rPr>
        <w:t>Section 7.03(n)</w:t>
      </w:r>
      <w:r>
        <w:rPr>
          <w:rFonts w:ascii="Arial" w:cs="Arial" w:eastAsia="Arial" w:hAnsi="Arial"/>
          <w:sz w:val="16"/>
          <w:szCs w:val="16"/>
          <w:color w:val="auto"/>
        </w:rPr>
        <w:t xml:space="preserve"> entered into with any counterparty that is a Secured Party, (iii) all obligations in respect of any Treasury Management Agreement between any Loan Party and any Person that is a Secured Party and (iv) any Obligations, interest or fees thereon, or any indemnification or reimbursement obligations of U.S. Loan Parties), (d) solely with respect to the Canadian Obligations and to the extent no material adverse tax consequences would result therefrom, the Dutch Borrower (other than with respect to its direct Obligations as a primary obligor (as opposed to a guarantor) under (i) the Loan Documents, (ii) each Swap Contract permitted to be incurred pursuant to </w:t>
      </w:r>
      <w:r>
        <w:rPr>
          <w:rFonts w:ascii="Arial" w:cs="Arial" w:eastAsia="Arial" w:hAnsi="Arial"/>
          <w:sz w:val="16"/>
          <w:szCs w:val="16"/>
          <w:u w:val="single" w:color="auto"/>
          <w:color w:val="auto"/>
        </w:rPr>
        <w:t>Section 7.03(n)</w:t>
      </w:r>
      <w:r>
        <w:rPr>
          <w:rFonts w:ascii="Arial" w:cs="Arial" w:eastAsia="Arial" w:hAnsi="Arial"/>
          <w:sz w:val="16"/>
          <w:szCs w:val="16"/>
          <w:color w:val="auto"/>
        </w:rPr>
        <w:t xml:space="preserve"> entered into with any counterparty that is a Secured Party, (iii) all obligations in respect of any Treasury Management Agreement between any Loan Party and any Person that is a Secured Party and (iv) any Obligations, interest or fees thereon, or any indemnification or reimbursement obligations of U.S. Loan Parties) and (e) each Subsidiary Guarantor (other than the Dutch Borrower and the Canadian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Guarantor is released from its obligations hereunder as provided in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such Person shall cease to be a Guarantor hereunder effective upon such release;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in no event shall the Canadian Obligations of the Canadian Borrower, the Dutch Obligations of the Dutch Borrower, or, in any case, of any other Foreign Subsidiary include any Obligations, interest or fees thereon, or any indemnification or reimbursement obligations of U.S. Loan Parties.</w:t>
      </w:r>
    </w:p>
    <w:p>
      <w:pPr>
        <w:spacing w:after="0" w:line="17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the following: hazardous substances; hazardous wastes; polychlorinated biphenyls (“PCBs”) or any substance or compound containing PCBs; asbestos or any asbestos-containing materials in any form or condition; radon or any other radioactive materials including any source, special nuclear or by-product material; petroleum, crude oil or any fraction thereof; and any other pollutant or contaminant or chemicals, wastes, materials, compounds, constituents or substances, subject to regulation or which can give rise to liability under any Environmental Laws.</w:t>
      </w:r>
    </w:p>
    <w:p>
      <w:pPr>
        <w:spacing w:after="0" w:line="15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Bank</w:t>
      </w:r>
      <w:r>
        <w:rPr>
          <w:rFonts w:ascii="Arial" w:cs="Arial" w:eastAsia="Arial" w:hAnsi="Arial"/>
          <w:sz w:val="17"/>
          <w:szCs w:val="17"/>
          <w:color w:val="auto"/>
        </w:rPr>
        <w:t xml:space="preserve">” means each counterparty to a Swap Contract permitted by </w:t>
      </w:r>
      <w:r>
        <w:rPr>
          <w:rFonts w:ascii="Arial" w:cs="Arial" w:eastAsia="Arial" w:hAnsi="Arial"/>
          <w:sz w:val="17"/>
          <w:szCs w:val="17"/>
          <w:u w:val="single" w:color="auto"/>
          <w:color w:val="auto"/>
        </w:rPr>
        <w:t>Section 7.03(n)</w:t>
      </w:r>
      <w:r>
        <w:rPr>
          <w:rFonts w:ascii="Arial" w:cs="Arial" w:eastAsia="Arial" w:hAnsi="Arial"/>
          <w:sz w:val="17"/>
          <w:szCs w:val="17"/>
          <w:color w:val="auto"/>
        </w:rPr>
        <w:t xml:space="preserve"> with U.S. Borrower, the Canadian Borrower, the Dutch Borrower or any Subsidiary Guarantor if at the date of entering into such Swap Contract such Person was a Lender or Affiliate of a Lender and such Person executes and delivers to the Administrative Agent a letter agreement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pursuant to which such Person (x) appoints the Collateral Agent as its agent under the applicable Loan Documents and (y) agrees to be bound by the provisions of Sections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10.14</w:t>
      </w:r>
      <w:r>
        <w:rPr>
          <w:rFonts w:ascii="Arial" w:cs="Arial" w:eastAsia="Arial" w:hAnsi="Arial"/>
          <w:sz w:val="17"/>
          <w:szCs w:val="17"/>
          <w:color w:val="auto"/>
        </w:rPr>
        <w:t>. For the avoidance of doubt, Persons that were Hedge Banks under the Third Amended and Restated Credit Agreement immediately prior to the effectiveness of this Agreement shall not cease to be Hedge Banks solely by virtue of the effectiveness of this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means Carter’s,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one or more Restricted Subsidiaries of the U.S. Borrower that, on a combined consolidated Pro forma Basis for all such Restricted Subsidiaries, did not (i) for the most recently concluded fiscal year account for more than 5.0% of consolidated revenues of the Borrower and its Restricted Subsidiaries and (ii) as of the last day of such fiscal year own more than 5.0% of the consolidated assets of the U.S. Borrower and its Restricted Subsidiaries.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773" w:right="359" w:bottom="1440" w:gutter="0" w:footer="0" w:header="0"/>
        </w:sectPr>
      </w:pPr>
    </w:p>
    <w:bookmarkStart w:id="94" w:name="page95"/>
    <w:bookmarkEnd w:id="94"/>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Improvements</w:t>
      </w:r>
      <w:r>
        <w:rPr>
          <w:rFonts w:ascii="Arial" w:cs="Arial" w:eastAsia="Arial" w:hAnsi="Arial"/>
          <w:sz w:val="18"/>
          <w:szCs w:val="18"/>
          <w:color w:val="auto"/>
        </w:rPr>
        <w:t>” means all on-site and off-site improvements to the Property, constructed on the Property, together with all fixtures, tenant improvements, and appurtenances now or later to be located on the Property and/or in such improvements.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has the meaning assigned to such term in Section 2.14.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all of the following, whether or not included as indebtedness or liabilities in accordance with GAAP (without duplication):</w:t>
      </w:r>
    </w:p>
    <w:p>
      <w:pPr>
        <w:spacing w:after="0" w:line="184" w:lineRule="exact"/>
        <w:rPr>
          <w:sz w:val="20"/>
          <w:szCs w:val="20"/>
          <w:color w:val="auto"/>
        </w:rPr>
      </w:pPr>
    </w:p>
    <w:p>
      <w:pPr>
        <w:ind w:left="660" w:right="160" w:firstLine="644"/>
        <w:spacing w:after="0" w:line="266" w:lineRule="auto"/>
        <w:tabs>
          <w:tab w:leader="none" w:pos="1708" w:val="left"/>
        </w:tabs>
        <w:numPr>
          <w:ilvl w:val="1"/>
          <w:numId w:val="39"/>
        </w:numPr>
        <w:rPr>
          <w:rFonts w:ascii="Arial" w:cs="Arial" w:eastAsia="Arial" w:hAnsi="Arial"/>
          <w:sz w:val="20"/>
          <w:szCs w:val="20"/>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90" w:lineRule="exact"/>
        <w:rPr>
          <w:rFonts w:ascii="Arial" w:cs="Arial" w:eastAsia="Arial" w:hAnsi="Arial"/>
          <w:sz w:val="20"/>
          <w:szCs w:val="20"/>
          <w:color w:val="auto"/>
        </w:rPr>
      </w:pPr>
    </w:p>
    <w:p>
      <w:pPr>
        <w:ind w:left="660" w:right="420" w:firstLine="644"/>
        <w:spacing w:after="0" w:line="266" w:lineRule="auto"/>
        <w:tabs>
          <w:tab w:leader="none" w:pos="1718" w:val="left"/>
        </w:tabs>
        <w:numPr>
          <w:ilvl w:val="1"/>
          <w:numId w:val="39"/>
        </w:numPr>
        <w:rPr>
          <w:rFonts w:ascii="Arial" w:cs="Arial" w:eastAsia="Arial" w:hAnsi="Arial"/>
          <w:sz w:val="20"/>
          <w:szCs w:val="20"/>
          <w:color w:val="auto"/>
        </w:rPr>
      </w:pPr>
      <w:r>
        <w:rPr>
          <w:rFonts w:ascii="Arial" w:cs="Arial" w:eastAsia="Arial" w:hAnsi="Arial"/>
          <w:sz w:val="18"/>
          <w:szCs w:val="18"/>
          <w:color w:val="auto"/>
        </w:rPr>
        <w:t>all direct or contingent obligations of such Person arising under letters of credit (including standby and commercial), bankers’ acceptances, bank guarantees, surety bonds and similar instruments;</w:t>
      </w:r>
    </w:p>
    <w:p>
      <w:pPr>
        <w:spacing w:after="0" w:line="190" w:lineRule="exact"/>
        <w:rPr>
          <w:rFonts w:ascii="Arial" w:cs="Arial" w:eastAsia="Arial" w:hAnsi="Arial"/>
          <w:sz w:val="20"/>
          <w:szCs w:val="20"/>
          <w:color w:val="auto"/>
        </w:rPr>
      </w:pPr>
    </w:p>
    <w:p>
      <w:pPr>
        <w:ind w:left="1700" w:hanging="396"/>
        <w:spacing w:after="0"/>
        <w:tabs>
          <w:tab w:leader="none" w:pos="1700" w:val="left"/>
        </w:tabs>
        <w:numPr>
          <w:ilvl w:val="1"/>
          <w:numId w:val="39"/>
        </w:numPr>
        <w:rPr>
          <w:rFonts w:ascii="Arial" w:cs="Arial" w:eastAsia="Arial" w:hAnsi="Arial"/>
          <w:sz w:val="20"/>
          <w:szCs w:val="20"/>
          <w:color w:val="auto"/>
        </w:rPr>
      </w:pPr>
      <w:r>
        <w:rPr>
          <w:rFonts w:ascii="Arial" w:cs="Arial" w:eastAsia="Arial" w:hAnsi="Arial"/>
          <w:sz w:val="18"/>
          <w:szCs w:val="18"/>
          <w:color w:val="auto"/>
        </w:rPr>
        <w:t>net obligations of such Person under any Swap Contract;</w:t>
      </w:r>
    </w:p>
    <w:p>
      <w:pPr>
        <w:spacing w:after="0" w:line="215" w:lineRule="exact"/>
        <w:rPr>
          <w:rFonts w:ascii="Arial" w:cs="Arial" w:eastAsia="Arial" w:hAnsi="Arial"/>
          <w:sz w:val="20"/>
          <w:szCs w:val="20"/>
          <w:color w:val="auto"/>
        </w:rPr>
      </w:pPr>
    </w:p>
    <w:p>
      <w:pPr>
        <w:ind w:left="660" w:right="100" w:firstLine="644"/>
        <w:spacing w:after="0" w:line="287" w:lineRule="auto"/>
        <w:tabs>
          <w:tab w:leader="none" w:pos="1718" w:val="left"/>
        </w:tabs>
        <w:numPr>
          <w:ilvl w:val="1"/>
          <w:numId w:val="39"/>
        </w:numPr>
        <w:rPr>
          <w:rFonts w:ascii="Arial" w:cs="Arial" w:eastAsia="Arial" w:hAnsi="Arial"/>
          <w:sz w:val="18"/>
          <w:szCs w:val="18"/>
          <w:color w:val="auto"/>
        </w:rPr>
      </w:pPr>
      <w:r>
        <w:rPr>
          <w:rFonts w:ascii="Arial" w:cs="Arial" w:eastAsia="Arial" w:hAnsi="Arial"/>
          <w:sz w:val="16"/>
          <w:szCs w:val="16"/>
          <w:color w:val="auto"/>
        </w:rPr>
        <w:t xml:space="preserve">all obligations of such Person to pay the deferred purchase price of property or services (other than </w:t>
      </w:r>
      <w:r>
        <w:rPr>
          <w:rFonts w:ascii="Arial" w:cs="Arial" w:eastAsia="Arial" w:hAnsi="Arial"/>
          <w:sz w:val="16"/>
          <w:szCs w:val="16"/>
          <w:u w:val="single" w:color="auto"/>
          <w:color w:val="auto"/>
        </w:rPr>
        <w:t>*(i)*</w:t>
      </w:r>
      <w:r>
        <w:rPr>
          <w:rFonts w:ascii="Arial" w:cs="Arial" w:eastAsia="Arial" w:hAnsi="Arial"/>
          <w:sz w:val="16"/>
          <w:szCs w:val="16"/>
          <w:color w:val="auto"/>
        </w:rPr>
        <w:t xml:space="preserve"> trade accounts payable in the ordinary course of such Person’s business payable on terms customary in the trade, in each case, (x) not past due for more than ninety (90) days after the due date of such trade account payable or (y) past due for more than 90 days but not exceeding $15,000,000 in the aggregate </w:t>
      </w:r>
      <w:r>
        <w:rPr>
          <w:rFonts w:ascii="Arial" w:cs="Arial" w:eastAsia="Arial" w:hAnsi="Arial"/>
          <w:sz w:val="16"/>
          <w:szCs w:val="16"/>
          <w:u w:val="single" w:color="auto"/>
          <w:color w:val="auto"/>
        </w:rPr>
        <w:t>*and</w:t>
      </w:r>
    </w:p>
    <w:p>
      <w:pPr>
        <w:spacing w:after="0" w:line="1" w:lineRule="exact"/>
        <w:rPr>
          <w:rFonts w:ascii="Arial" w:cs="Arial" w:eastAsia="Arial" w:hAnsi="Arial"/>
          <w:sz w:val="18"/>
          <w:szCs w:val="18"/>
          <w:color w:val="auto"/>
        </w:rPr>
      </w:pPr>
    </w:p>
    <w:p>
      <w:pPr>
        <w:ind w:left="660" w:right="220" w:hanging="4"/>
        <w:spacing w:after="0" w:line="292" w:lineRule="auto"/>
        <w:tabs>
          <w:tab w:leader="none" w:pos="925" w:val="left"/>
        </w:tabs>
        <w:numPr>
          <w:ilvl w:val="0"/>
          <w:numId w:val="4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during the Restricted Period, accounts payable and other deferred payables in the ordinary course of such Person’s business not past due for more than 365 days after the due date of such account or other deferred payable</w:t>
      </w:r>
      <w:r>
        <w:rPr>
          <w:rFonts w:ascii="Arial" w:cs="Arial" w:eastAsia="Arial" w:hAnsi="Arial"/>
          <w:sz w:val="18"/>
          <w:szCs w:val="18"/>
          <w:color w:val="auto"/>
        </w:rPr>
        <w:t>)</w:t>
      </w:r>
      <w:r>
        <w:rPr>
          <w:rFonts w:ascii="Arial" w:cs="Arial" w:eastAsia="Arial" w:hAnsi="Arial"/>
          <w:sz w:val="18"/>
          <w:szCs w:val="18"/>
          <w:u w:val="single" w:color="auto"/>
          <w:color w:val="auto"/>
        </w:rPr>
        <w:t>;*</w:t>
      </w:r>
    </w:p>
    <w:p>
      <w:pPr>
        <w:spacing w:after="0" w:line="170" w:lineRule="exact"/>
        <w:rPr>
          <w:rFonts w:ascii="Arial" w:cs="Arial" w:eastAsia="Arial" w:hAnsi="Arial"/>
          <w:sz w:val="18"/>
          <w:szCs w:val="18"/>
          <w:u w:val="single" w:color="auto"/>
          <w:color w:val="auto"/>
        </w:rPr>
      </w:pPr>
    </w:p>
    <w:p>
      <w:pPr>
        <w:ind w:left="660" w:right="400" w:firstLine="644"/>
        <w:spacing w:after="0" w:line="252" w:lineRule="auto"/>
        <w:tabs>
          <w:tab w:leader="none" w:pos="1708" w:val="left"/>
        </w:tabs>
        <w:numPr>
          <w:ilvl w:val="1"/>
          <w:numId w:val="40"/>
        </w:numPr>
        <w:rPr>
          <w:rFonts w:ascii="Arial" w:cs="Arial" w:eastAsia="Arial" w:hAnsi="Arial"/>
          <w:sz w:val="20"/>
          <w:szCs w:val="20"/>
          <w:color w:val="auto"/>
        </w:rPr>
      </w:pPr>
      <w:r>
        <w:rPr>
          <w:rFonts w:ascii="Arial" w:cs="Arial" w:eastAsia="Arial" w:hAnsi="Arial"/>
          <w:sz w:val="18"/>
          <w:szCs w:val="18"/>
          <w:color w:val="auto"/>
        </w:rPr>
        <w:t xml:space="preserve">indebtedness (excluding </w:t>
      </w:r>
      <w:r>
        <w:rPr>
          <w:rFonts w:ascii="Arial" w:cs="Arial" w:eastAsia="Arial" w:hAnsi="Arial"/>
          <w:sz w:val="18"/>
          <w:szCs w:val="18"/>
          <w:color w:val="auto"/>
          <w:strike w:val="1"/>
        </w:rPr>
        <w:t>prepaid interest thereon</w:t>
      </w:r>
      <w:r>
        <w:rPr>
          <w:rFonts w:ascii="Arial" w:cs="Arial" w:eastAsia="Arial" w:hAnsi="Arial"/>
          <w:sz w:val="18"/>
          <w:szCs w:val="18"/>
          <w:u w:val="single" w:color="auto"/>
          <w:color w:val="auto"/>
        </w:rPr>
        <w:t>*(i) prepaid interest thereon and (ii) during the Restricted Period, (x)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payable and other deferred payables in the ordinary course of such</w:t>
      </w:r>
    </w:p>
    <w:p>
      <w:pPr>
        <w:spacing w:after="0" w:line="1" w:lineRule="exact"/>
        <w:rPr>
          <w:rFonts w:ascii="Arial" w:cs="Arial" w:eastAsia="Arial" w:hAnsi="Arial"/>
          <w:sz w:val="20"/>
          <w:szCs w:val="20"/>
          <w:color w:val="auto"/>
        </w:rPr>
      </w:pPr>
    </w:p>
    <w:p>
      <w:pPr>
        <w:ind w:left="660"/>
        <w:spacing w:after="0" w:line="271" w:lineRule="auto"/>
        <w:rPr>
          <w:rFonts w:ascii="Arial" w:cs="Arial" w:eastAsia="Arial" w:hAnsi="Arial"/>
          <w:sz w:val="20"/>
          <w:szCs w:val="20"/>
          <w:color w:val="auto"/>
        </w:rPr>
      </w:pPr>
      <w:r>
        <w:rPr>
          <w:rFonts w:ascii="Arial" w:cs="Arial" w:eastAsia="Arial" w:hAnsi="Arial"/>
          <w:sz w:val="18"/>
          <w:szCs w:val="18"/>
          <w:u w:val="single" w:color="auto"/>
          <w:color w:val="auto"/>
        </w:rPr>
        <w:t>Person’s business not past due for more than 365 days after the due date of such account or other deferred payable and (y) any Taxes that are the subject of any deferral, forbearance or similar action by any Governmental Authority to the extent such deferral, forbearance or similar action is ongoing))*</w:t>
      </w:r>
      <w:r>
        <w:rPr>
          <w:rFonts w:ascii="Arial" w:cs="Arial" w:eastAsia="Arial" w:hAnsi="Arial"/>
          <w:sz w:val="18"/>
          <w:szCs w:val="18"/>
          <w:color w:val="auto"/>
        </w:rPr>
        <w:t xml:space="preserve"> secured by a Lien on property owned or being purchased by such Person (including indebtedness arising under conditional sales or other title retention agreements), whether or not such indebtedness shall have been assumed by such Person or is limited in recourse; provided that the amount of such Indebtedness shall be limited to the value of the property subject to such Lien if such Person has not assumed or become liable for the payment of such obligation;</w:t>
      </w:r>
    </w:p>
    <w:p>
      <w:pPr>
        <w:spacing w:after="0" w:line="189" w:lineRule="exact"/>
        <w:rPr>
          <w:rFonts w:ascii="Arial" w:cs="Arial" w:eastAsia="Arial" w:hAnsi="Arial"/>
          <w:sz w:val="20"/>
          <w:szCs w:val="20"/>
          <w:color w:val="auto"/>
        </w:rPr>
      </w:pPr>
    </w:p>
    <w:p>
      <w:pPr>
        <w:ind w:left="1680" w:hanging="376"/>
        <w:spacing w:after="0"/>
        <w:tabs>
          <w:tab w:leader="none" w:pos="1680" w:val="left"/>
        </w:tabs>
        <w:numPr>
          <w:ilvl w:val="1"/>
          <w:numId w:val="40"/>
        </w:numPr>
        <w:rPr>
          <w:rFonts w:ascii="Arial" w:cs="Arial" w:eastAsia="Arial" w:hAnsi="Arial"/>
          <w:sz w:val="20"/>
          <w:szCs w:val="20"/>
          <w:color w:val="auto"/>
        </w:rPr>
      </w:pPr>
      <w:r>
        <w:rPr>
          <w:rFonts w:ascii="Arial" w:cs="Arial" w:eastAsia="Arial" w:hAnsi="Arial"/>
          <w:sz w:val="18"/>
          <w:szCs w:val="18"/>
          <w:color w:val="auto"/>
        </w:rPr>
        <w:t>Capital Lease Obligations;</w:t>
      </w:r>
    </w:p>
    <w:p>
      <w:pPr>
        <w:spacing w:after="0" w:line="215" w:lineRule="exact"/>
        <w:rPr>
          <w:rFonts w:ascii="Arial" w:cs="Arial" w:eastAsia="Arial" w:hAnsi="Arial"/>
          <w:sz w:val="20"/>
          <w:szCs w:val="20"/>
          <w:color w:val="auto"/>
        </w:rPr>
      </w:pPr>
    </w:p>
    <w:p>
      <w:pPr>
        <w:ind w:left="660" w:right="260" w:firstLine="644"/>
        <w:spacing w:after="0" w:line="303" w:lineRule="auto"/>
        <w:tabs>
          <w:tab w:leader="none" w:pos="1718" w:val="left"/>
        </w:tabs>
        <w:numPr>
          <w:ilvl w:val="1"/>
          <w:numId w:val="40"/>
        </w:numPr>
        <w:rPr>
          <w:rFonts w:ascii="Arial" w:cs="Arial" w:eastAsia="Arial" w:hAnsi="Arial"/>
          <w:sz w:val="18"/>
          <w:szCs w:val="18"/>
          <w:color w:val="auto"/>
        </w:rPr>
      </w:pPr>
      <w:r>
        <w:rPr>
          <w:rFonts w:ascii="Arial" w:cs="Arial" w:eastAsia="Arial" w:hAnsi="Arial"/>
          <w:sz w:val="16"/>
          <w:szCs w:val="16"/>
          <w:color w:val="auto"/>
        </w:rPr>
        <w:t>all obligations of such Person to purchase, redeem, retire, defease or otherwise make any payment in respect of any Disqualified Capital Stock in such Person or any other Person (except any obligation to purchase, redeem, retire or otherwise acquire for value any Equity Interests of Holdings from present or former officers, directors or employees of Holdings, the U.S. Borrower or any Subsidiary upon the death, disability, retirement or termination of employment or service of such officer, director or employee, or otherwise under any stock option or employee stock ownership plan approved by the board of directors of Holdings), valued, in the case of a redeemable preferred interest, at the greater of its voluntary or involuntary liquidation preference plus accrued and unpaid dividends; and</w:t>
      </w:r>
    </w:p>
    <w:p>
      <w:pPr>
        <w:spacing w:after="0" w:line="170" w:lineRule="exact"/>
        <w:rPr>
          <w:rFonts w:ascii="Arial" w:cs="Arial" w:eastAsia="Arial" w:hAnsi="Arial"/>
          <w:sz w:val="18"/>
          <w:szCs w:val="18"/>
          <w:color w:val="auto"/>
        </w:rPr>
      </w:pPr>
    </w:p>
    <w:p>
      <w:pPr>
        <w:ind w:left="1720" w:hanging="416"/>
        <w:spacing w:after="0"/>
        <w:tabs>
          <w:tab w:leader="none" w:pos="1720" w:val="left"/>
        </w:tabs>
        <w:numPr>
          <w:ilvl w:val="1"/>
          <w:numId w:val="40"/>
        </w:numPr>
        <w:rPr>
          <w:rFonts w:ascii="Arial" w:cs="Arial" w:eastAsia="Arial" w:hAnsi="Arial"/>
          <w:sz w:val="20"/>
          <w:szCs w:val="20"/>
          <w:color w:val="auto"/>
        </w:rPr>
      </w:pPr>
      <w:r>
        <w:rPr>
          <w:rFonts w:ascii="Arial" w:cs="Arial" w:eastAsia="Arial" w:hAnsi="Arial"/>
          <w:sz w:val="18"/>
          <w:szCs w:val="18"/>
          <w:color w:val="auto"/>
        </w:rPr>
        <w:t>all guarantees of such Person in respect of any of the foregoing;</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773" w:right="379" w:bottom="1440" w:gutter="0" w:footer="0" w:header="0"/>
        </w:sectPr>
      </w:pPr>
    </w:p>
    <w:bookmarkStart w:id="95" w:name="page96"/>
    <w:bookmarkEnd w:id="95"/>
    <w:p>
      <w:pPr>
        <w:ind w:right="2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“Indebtedness” shall not include any post-closing payment adjustments or earn-out, non-competition or consulting obligations existing on the Fourth Restatement Date or incurred in connection with Permitted Acquisitions, in each case, except to the extent such adjustments or obligations are not paid when due.</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in which such Person is a general partner, unless such Indebtedness is expressly made non-recourse to such Person. The amount of any net obligation under any Swap Contract on any date shall be deemed to be the Swap Termination Value thereof as of such date. The amount of any Capital Lease Obligation as of any date shall be deemed to be the amount of Attributable Indebtedness in respect thereof as of such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a Canadian U.S. Base Rate Loan, a Canadian Prime Rate Loan or an Overnight LIBO Rate Loan, the last day of each Interest Period applicable to such Loan and the applicable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for a Eurodollar Rate Loan exceeds three months, the respective dates that fall every three months after the beginning of such Interest Period shall also be Interest Payment Dates; and (b) as to any Base Rate Loan (including a Swing Line Loan), any Canadian U.S. Base Rate Loan (including a Multicurrency Facility Swing Line Loan), any Canadian Prime Rate Loan (including a Multicurrency Facility Swing Line Loan) or any Overnight LIBO Rate Loan (including a Multicurrency Facility Swing Line Loan), the last Business Day of each March, June, September and December and the applicable Maturity Date.</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as to each Eurodollar Rate Loan, the period commencing on the date such Eurodollar Rate Loan is disbursed or converted to or continued as a Eurodollar Rate Loan and ending on the date one, two, three or six months thereafter, or twelve months thereafter (to the extent agreed by all applicable Lenders), as selected by the applicable Borrower, in each case, in its Borrowing or Conversion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w:t>
      </w:r>
    </w:p>
    <w:p>
      <w:pPr>
        <w:spacing w:after="0" w:line="162" w:lineRule="exact"/>
        <w:rPr>
          <w:sz w:val="20"/>
          <w:szCs w:val="20"/>
          <w:color w:val="auto"/>
        </w:rPr>
      </w:pPr>
    </w:p>
    <w:p>
      <w:pPr>
        <w:jc w:val="both"/>
        <w:ind w:left="660" w:right="140" w:firstLine="644"/>
        <w:spacing w:after="0" w:line="329" w:lineRule="auto"/>
        <w:tabs>
          <w:tab w:leader="none" w:pos="1675" w:val="left"/>
        </w:tabs>
        <w:numPr>
          <w:ilvl w:val="0"/>
          <w:numId w:val="41"/>
        </w:numPr>
        <w:rPr>
          <w:rFonts w:ascii="Arial" w:cs="Arial" w:eastAsia="Arial" w:hAnsi="Arial"/>
          <w:sz w:val="18"/>
          <w:szCs w:val="18"/>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39" w:lineRule="exact"/>
        <w:rPr>
          <w:rFonts w:ascii="Arial" w:cs="Arial" w:eastAsia="Arial" w:hAnsi="Arial"/>
          <w:sz w:val="18"/>
          <w:szCs w:val="18"/>
          <w:color w:val="auto"/>
        </w:rPr>
      </w:pPr>
    </w:p>
    <w:p>
      <w:pPr>
        <w:ind w:left="660" w:right="80" w:firstLine="644"/>
        <w:spacing w:after="0" w:line="264" w:lineRule="auto"/>
        <w:tabs>
          <w:tab w:leader="none" w:pos="1729" w:val="left"/>
        </w:tabs>
        <w:numPr>
          <w:ilvl w:val="0"/>
          <w:numId w:val="41"/>
        </w:numPr>
        <w:rPr>
          <w:rFonts w:ascii="Arial" w:cs="Arial" w:eastAsia="Arial" w:hAnsi="Arial"/>
          <w:sz w:val="20"/>
          <w:szCs w:val="20"/>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96" w:lineRule="exact"/>
        <w:rPr>
          <w:rFonts w:ascii="Arial" w:cs="Arial" w:eastAsia="Arial" w:hAnsi="Arial"/>
          <w:sz w:val="20"/>
          <w:szCs w:val="20"/>
          <w:color w:val="auto"/>
        </w:rPr>
      </w:pPr>
    </w:p>
    <w:p>
      <w:pPr>
        <w:ind w:left="1780" w:hanging="476"/>
        <w:spacing w:after="0"/>
        <w:tabs>
          <w:tab w:leader="none" w:pos="1780" w:val="left"/>
        </w:tabs>
        <w:numPr>
          <w:ilvl w:val="0"/>
          <w:numId w:val="41"/>
        </w:numPr>
        <w:rPr>
          <w:rFonts w:ascii="Arial" w:cs="Arial" w:eastAsia="Arial" w:hAnsi="Arial"/>
          <w:sz w:val="20"/>
          <w:szCs w:val="20"/>
          <w:color w:val="auto"/>
        </w:rPr>
      </w:pPr>
      <w:r>
        <w:rPr>
          <w:rFonts w:ascii="Arial" w:cs="Arial" w:eastAsia="Arial" w:hAnsi="Arial"/>
          <w:sz w:val="18"/>
          <w:szCs w:val="18"/>
          <w:color w:val="auto"/>
        </w:rPr>
        <w:t>no Interest Period shall extend beyond the applicable Maturity Date.</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xml:space="preserve">” means, at any time, for a given currency and for a given Interest Period, the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determined by the Administrative Agent (which determination shall be conclusive and binding absent manifest error) to be equal to the rate that results from interpolating on a linear basis between (a) the Published LIBOR Rate or Published CDOR Rate, as applicable, for the longest period (for which a Published LIBOR Rate or a Published CDOR Rate, as applicable, is available for such currency) that is shorter than such Interest Period; and (b) the Published LIBOR Rate or Published CDOR Rate, as applicable, for the shortest period (for which a Published LIBOR Rate or a Published CDOR Rate, as applicable, is available for such currency) that exceeds than such Interest Period, in each case,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Interpolated Rate shall be less than zero, such rate shall be deemed to be zero for purposes of this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in any other Person, whether by means of</w:t>
      </w:r>
    </w:p>
    <w:p>
      <w:pPr>
        <w:spacing w:after="0" w:line="46" w:lineRule="exact"/>
        <w:rPr>
          <w:sz w:val="20"/>
          <w:szCs w:val="20"/>
          <w:color w:val="auto"/>
        </w:rPr>
      </w:pPr>
    </w:p>
    <w:p>
      <w:pPr>
        <w:ind w:left="5540" w:right="5360" w:hanging="5532"/>
        <w:spacing w:after="0" w:line="887" w:lineRule="auto"/>
        <w:tabs>
          <w:tab w:leader="none" w:pos="25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purchase or other acquisition of capital stock or other securities of another 27</w:t>
      </w:r>
    </w:p>
    <w:p>
      <w:pPr>
        <w:sectPr>
          <w:pgSz w:w="11900" w:h="16838" w:orient="portrait"/>
          <w:cols w:equalWidth="0" w:num="1">
            <w:col w:w="11220"/>
          </w:cols>
          <w:pgMar w:left="320" w:top="773" w:right="359" w:bottom="1440" w:gutter="0" w:footer="0" w:header="0"/>
        </w:sectPr>
      </w:pPr>
    </w:p>
    <w:bookmarkStart w:id="96" w:name="page97"/>
    <w:bookmarkEnd w:id="96"/>
    <w:p>
      <w:pPr>
        <w:ind w:right="20"/>
        <w:spacing w:after="0" w:line="271" w:lineRule="auto"/>
        <w:rPr>
          <w:sz w:val="20"/>
          <w:szCs w:val="20"/>
          <w:color w:val="auto"/>
        </w:rPr>
      </w:pPr>
      <w:r>
        <w:rPr>
          <w:rFonts w:ascii="Arial" w:cs="Arial" w:eastAsia="Arial" w:hAnsi="Arial"/>
          <w:sz w:val="17"/>
          <w:szCs w:val="17"/>
          <w:color w:val="auto"/>
        </w:rPr>
        <w:t>Person, (b) a loan, advance or capital contribution to, guarantee or assumption of obligations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net of cash repayments and sale proceeds in the case of Investments in the form of Indebtedness and cash equity returns received as a distribution or dividend or by redemption or sale, in each case to the extent such repayments, proceeds, distributions or dividends are received (x) if such Investment was made by U.S. Borrower or a Subsidiary Guarantor, by U.S. Borrower or a Subsidiary Guarantor and (y) if such Investment was made by a Restricted Subsidiary that was not a Guarantor, by U.S. Borrower or any Restricted Subsidiary.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standby Letter of Credit, the “International Standby Practices 1998” published by the Institute of International Banking Law &amp; Practice (or such later version thereof as may be in effect at the time of issuance).</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Credit Application, and any other document, agreement and instrument entered into by the applicable L/C Issuer and the applicable Borrower (or any Subsidiary) in favor such L/C Issuer and relating to any such Letter of Credit.</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as amended, and any successor thereto, and any regulations promulgated thereunder, as in effect on the Fourth Restatement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means JPMorgan Chase Bank, N.A.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Financing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provincial, territorial and local statutes, treaties, rules, regulations, ordinances, codes and administrative or judicial precedents,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w:t>
      </w:r>
    </w:p>
    <w:p>
      <w:pPr>
        <w:spacing w:after="0" w:line="187" w:lineRule="exact"/>
        <w:rPr>
          <w:sz w:val="20"/>
          <w:szCs w:val="20"/>
          <w:color w:val="auto"/>
        </w:rPr>
      </w:pPr>
    </w:p>
    <w:p>
      <w:pPr>
        <w:ind w:right="3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a U.S. Dollar Facility L/C Advance or a Multicurrency Facility L/C Advance,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 U.S. Dollar Facility L/C Borrowing or a Multicurrency Facility L/C Borrowing,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Credit Extension</w:t>
      </w:r>
      <w:r>
        <w:rPr>
          <w:rFonts w:ascii="Arial" w:cs="Arial" w:eastAsia="Arial" w:hAnsi="Arial"/>
          <w:sz w:val="17"/>
          <w:szCs w:val="17"/>
          <w:color w:val="auto"/>
        </w:rPr>
        <w:t>” means a U.S. Dollar Facility L/C Credit Extension or a Multicurrency Facility L/C Credit Extension, as applicable.</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a U.S. Dollar Facility L/C Issuer or a Multicurrency Facility L/C Issuer, as applicable. Unless otherwise indicated, references to “the L/C Issuer” shall be deemed to be a reference to each applicable L/C Issuer.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U.S. Dollar Facility L/C Obligations or Multicurrency Facility L/C Obligations, as applicable.</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Adjusted Leverage Ratio</w:t>
      </w:r>
      <w:r>
        <w:rPr>
          <w:rFonts w:ascii="Arial" w:cs="Arial" w:eastAsia="Arial" w:hAnsi="Arial"/>
          <w:sz w:val="18"/>
          <w:szCs w:val="18"/>
          <w:color w:val="auto"/>
        </w:rPr>
        <w:t>” means, at any date of determination, the ratio of (x) Consolidated Indebtedness on such date plus six times the Rent Expense for the Test Period most recently ended on or before such date to (y) Consolidated EBITDAR for the Test Period most recently ended on or before such date.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sectPr>
      </w:pPr>
    </w:p>
    <w:bookmarkStart w:id="97" w:name="page98"/>
    <w:bookmarkEnd w:id="97"/>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means any and all leases, subleases, tenancies, options, concession agreements, rental agreements, occupancy agreements, franchise agreements, access agreements and any other agreements (including all amendments, extensions, replacements, renewals, modifications and/or guarantees thereof), whether or not of record and whether now in existence or hereafter entered into, affecting the use or occupancy of all or any portion of any Real Property.</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has the meaning assigned to such term in the introductory paragraph hereto, together with any Person that subsequently becomes a Lender by way of assignment in accordance with the terms of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together with their respective successors, other than any Person that ceases to be a Lender as a result of an assignment in accordance with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or an amendment of this Agreement and, as the context requires, includes each L/C Issuer and each Swing Line Lender.</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U.S. Borrower and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U.S. Dollar Facility Letter of Credit or a Multicurrency Facility Letter of Credit, as applicable.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any L/C Issuer.</w:t>
      </w:r>
    </w:p>
    <w:p>
      <w:pPr>
        <w:spacing w:after="0" w:line="17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(a) with respect to any U.S. Dollar Facility Letter of Credit, the day that is five days prior to the U.S. Dollar Facility Maturity Date then in effect (or, if such day is not a Business Day, the next preceding Business Day) and (b) with respect to any Multicurrency Facility Letter of Credit, the day that is five days prior to the Multicurrency Facility Maturity Date then in effect (or, if such day is not a Business Day, the next preceding Business Day).</w:t>
      </w:r>
    </w:p>
    <w:p>
      <w:pPr>
        <w:spacing w:after="0" w:line="187" w:lineRule="exact"/>
        <w:rPr>
          <w:sz w:val="20"/>
          <w:szCs w:val="20"/>
          <w:color w:val="auto"/>
        </w:rPr>
      </w:pPr>
    </w:p>
    <w:p>
      <w:pPr>
        <w:ind w:right="3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means the U.S. Dollar Facility Letter of Credit Fee or the Multicurrency Facility Letter of Credit Fee, as applicable.</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property, (a) any mortgage, deed of trust, lien, pledge, encumbrance, claim, charge, assignment, hypothecation, security interest or encumbrance of any kind or any arrangement to provide priority or preference, including any easement, right-of-way or other encumbrance on title to Real Property, in each of the foregoing cases whether voluntary or imposed by law, and any agreement to give any of the foregoing;</w:t>
      </w:r>
    </w:p>
    <w:p>
      <w:pPr>
        <w:spacing w:after="0" w:line="2" w:lineRule="exact"/>
        <w:rPr>
          <w:sz w:val="20"/>
          <w:szCs w:val="20"/>
          <w:color w:val="auto"/>
        </w:rPr>
      </w:pPr>
    </w:p>
    <w:p>
      <w:pPr>
        <w:ind w:right="40" w:firstLine="8"/>
        <w:spacing w:after="0" w:line="253"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property; and (c) in the case of securities, any purchase option, call or similar right of a third party with respect to such securities (but not including rights of first refusal, tag, drag or similar rights in joint venture or shareholder agreements).</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u w:val="single" w:color="auto"/>
          <w:color w:val="auto"/>
        </w:rPr>
        <w:t>*“Liquidity” means, as of any date, the sum of (A) the excess of (x) the aggregate U.S. Dollar Facility Commitments of all Lenders as of such date over (y) the aggregate Outstanding Amount of the U.S. Dollar Facility Revolving Loans of all Lenders as of such date, plus the aggregate Outstanding Amount of all U.S. Dollar Facility L/C Obligations of all Lenders as of such date, plus the aggregate Outstanding Amount of all U.S. Dollar Facility Swing Line Loans as of such date plus (B) the excess of (x) the aggregate Multicurrency Facility Commitments of all Lenders as of such date over (y) the aggregate Outstanding Amount of the Multicurrency Facility Revolving Loans of all Lenders as of such date, plus the aggregate Outstanding Amount of all Multicurrency Facility L/C Obligations of all Lenders as of such date, plus the aggregate Outstanding Amount of all Multicurrency Facility Swing Line Loans as of such date plus (C) unrestricted cash and Cash Equivalents (other than restrictions constituting Permitted Liens described in clauses (a), (b), (g), and (i) of Section 7.01) of the U.S. Borrower and its Restricted Subsidiaries (other than any Restricted Subsidiaries organized under the laws of the People’s Republic of China (but including, for the avoidance of doubt, any Restricted Subsidiaries organized under the laws of Hong Kong or Taiwan)) on the basis of their bank balances as of such date.*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773" w:right="339" w:bottom="1440" w:gutter="0" w:footer="0" w:header="0"/>
        </w:sectPr>
      </w:pPr>
    </w:p>
    <w:bookmarkStart w:id="98" w:name="page99"/>
    <w:bookmarkEnd w:id="98"/>
    <w:p>
      <w:pPr>
        <w:ind w:right="120" w:firstLine="648"/>
        <w:spacing w:after="0" w:line="277" w:lineRule="auto"/>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a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an Incremental Term Loan, a Revolving Loan or a Swing Line Loan.</w:t>
      </w:r>
    </w:p>
    <w:p>
      <w:pPr>
        <w:spacing w:after="0" w:line="170"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Amendment No. 1, each Note, each Issuer Document, the Security Documents, the Guarantee, the Agency Resignation and Appointment Agreement and the Fee Letters; </w:t>
      </w:r>
      <w:r>
        <w:rPr>
          <w:rFonts w:ascii="Arial" w:cs="Arial" w:eastAsia="Arial" w:hAnsi="Arial"/>
          <w:sz w:val="18"/>
          <w:szCs w:val="18"/>
          <w:u w:val="single" w:color="auto"/>
          <w:color w:val="auto"/>
        </w:rPr>
        <w:t>provided</w:t>
      </w:r>
      <w:r>
        <w:rPr>
          <w:rFonts w:ascii="Arial" w:cs="Arial" w:eastAsia="Arial" w:hAnsi="Arial"/>
          <w:sz w:val="18"/>
          <w:szCs w:val="18"/>
          <w:color w:val="auto"/>
        </w:rPr>
        <w:t>, that, during a Collateral and Covenant Release Period, the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xml:space="preserve">” shall not include the Security Documents (except for purposes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Parties</w:t>
      </w:r>
      <w:r>
        <w:rPr>
          <w:rFonts w:ascii="Arial" w:cs="Arial" w:eastAsia="Arial" w:hAnsi="Arial"/>
          <w:sz w:val="16"/>
          <w:szCs w:val="16"/>
          <w:color w:val="auto"/>
        </w:rPr>
        <w:t>” means, collectively, Holdings, the U.S. Borrower, the Canadian Borrower, the Dutch Borrower and each Subsidiary Guarantor.</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deposits of the relevant currency are conducted by and between banks in the London interbank eurodollar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Acquisition</w:t>
      </w:r>
      <w:r>
        <w:rPr>
          <w:rFonts w:ascii="Arial" w:cs="Arial" w:eastAsia="Arial" w:hAnsi="Arial"/>
          <w:sz w:val="17"/>
          <w:szCs w:val="17"/>
          <w:color w:val="auto"/>
        </w:rPr>
        <w:t>” means any Permitted Acquisition in respect of which the Acquisition Consideration therefor exceeds $150,000,000.</w:t>
      </w:r>
    </w:p>
    <w:p>
      <w:pPr>
        <w:spacing w:after="0" w:line="23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effect upon the business, operations, assets, liabilities (actual or contingent), results of operations or financial condition of the U.S. Borrower and its Restricted Subsidiaries, taken as a whole; or (b) a material adverse effect on the rights and remedies of the Lenders under the applicable Loan Documents</w:t>
      </w:r>
      <w:r>
        <w:rPr>
          <w:rFonts w:ascii="Arial" w:cs="Arial" w:eastAsia="Arial" w:hAnsi="Arial"/>
          <w:sz w:val="17"/>
          <w:szCs w:val="17"/>
          <w:u w:val="single" w:color="auto"/>
          <w:color w:val="auto"/>
        </w:rPr>
        <w:t>; *provided that, solely for the duration of the Restricted Period, for purposes of determining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existence of a Material Adverse Effect pursuant to clause (a) above solely for purposes of Section 5.05(c), any impact arising as a result of or related to (or could reasonably be expected to arise out of or result from) COVID-19, in each case, to the extent such impact has been disclosed in writing to the Lenders or in any Current Report on Form 8-K filed with the SEC prior to the Amendment No. 2 Effective Date, shall not constitute, result or otherwise have (or reasonably be expected to constitute, result or otherwise have) a Material Adverse Effect.*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U.S. Dollar Facility Maturity Date or the Multicurrency Facility Maturity Date,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xml:space="preserve">” means the most recently completed four fiscal quarters for which financial statements have been delivered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Mexico Acquisition</w:t>
      </w:r>
      <w:r>
        <w:rPr>
          <w:rFonts w:ascii="Arial" w:cs="Arial" w:eastAsia="Arial" w:hAnsi="Arial"/>
          <w:sz w:val="18"/>
          <w:szCs w:val="18"/>
          <w:color w:val="auto"/>
        </w:rPr>
        <w:t>” means the acquisition of Industrias Bunny Baby, S.A. de C.V., and Operación Eficaz, S.A. de C.V., by the Dutch Borrower, on August 1,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an agreement, including, but not limited to, a mortgage, deed of trust or any other document, creating and evidencing a Lien on a Mortgaged Property, which shall be substantially in form and substance reasonably satisfactory to the Collateral Agent and the U.S. Borrower, with such schedules and including such provisions as shall be necessary to conform such document to applicable local or foreign law or as shall be customary under applicable local or foreign law.</w:t>
      </w:r>
    </w:p>
    <w:p>
      <w:pPr>
        <w:spacing w:after="0" w:line="187"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Mortgaged Property</w:t>
      </w:r>
      <w:r>
        <w:rPr>
          <w:rFonts w:ascii="Arial" w:cs="Arial" w:eastAsia="Arial" w:hAnsi="Arial"/>
          <w:sz w:val="16"/>
          <w:szCs w:val="16"/>
          <w:color w:val="auto"/>
        </w:rPr>
        <w:t xml:space="preserve">” means each fee owned Real Property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the fee simple interest of which is owned on the Closing Date by any Loan Party (other than the Canadian Borrower or the Dutch Borrower), or acquired by any Loan Party (other than the Canadian Borrower or the Dutch Borrower) after the Closing Date which shall be subject to a Mortgage delivered after the Closing Date pursuant to </w:t>
      </w:r>
      <w:r>
        <w:rPr>
          <w:rFonts w:ascii="Arial" w:cs="Arial" w:eastAsia="Arial" w:hAnsi="Arial"/>
          <w:sz w:val="16"/>
          <w:szCs w:val="16"/>
          <w:u w:val="single" w:color="auto"/>
          <w:color w:val="auto"/>
        </w:rPr>
        <w:t>Section 6.13(a)</w:t>
      </w:r>
      <w:r>
        <w:rPr>
          <w:rFonts w:ascii="Arial" w:cs="Arial" w:eastAsia="Arial" w:hAnsi="Arial"/>
          <w:sz w:val="16"/>
          <w:szCs w:val="16"/>
          <w:color w:val="auto"/>
        </w:rPr>
        <w:t>.</w:t>
      </w:r>
    </w:p>
    <w:p>
      <w:pPr>
        <w:spacing w:after="0" w:line="14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Facility Availability Period</w:t>
      </w:r>
      <w:r>
        <w:rPr>
          <w:rFonts w:ascii="Arial" w:cs="Arial" w:eastAsia="Arial" w:hAnsi="Arial"/>
          <w:sz w:val="16"/>
          <w:szCs w:val="16"/>
          <w:color w:val="auto"/>
        </w:rPr>
        <w:t xml:space="preserve">” means the period from and including the Fourth Restatement Date to the earliest of (a) the fifth anniversary of the Fourth Restatement Date, (b) the date of termination of the Aggregate Multicurrency Facility Commitments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w:t>
      </w:r>
    </w:p>
    <w:p>
      <w:pPr>
        <w:jc w:val="center"/>
        <w:ind w:left="5540" w:right="620" w:hanging="5532"/>
        <w:spacing w:after="0" w:line="761" w:lineRule="auto"/>
        <w:tabs>
          <w:tab w:leader="none" w:pos="2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of termination of the commitment of each Multicurrency Facility Lender (including each Multicurrency Facility Swing Line Lender) to 30</w:t>
      </w:r>
    </w:p>
    <w:p>
      <w:pPr>
        <w:sectPr>
          <w:pgSz w:w="11900" w:h="16838" w:orient="portrait"/>
          <w:cols w:equalWidth="0" w:num="1">
            <w:col w:w="11220"/>
          </w:cols>
          <w:pgMar w:left="320" w:top="773" w:right="359" w:bottom="1440" w:gutter="0" w:footer="0" w:header="0"/>
        </w:sectPr>
      </w:pPr>
    </w:p>
    <w:bookmarkStart w:id="99" w:name="page100"/>
    <w:bookmarkEnd w:id="99"/>
    <w:p>
      <w:pPr>
        <w:ind w:right="40"/>
        <w:spacing w:after="0" w:line="277" w:lineRule="auto"/>
        <w:rPr>
          <w:sz w:val="20"/>
          <w:szCs w:val="20"/>
          <w:color w:val="auto"/>
        </w:rPr>
      </w:pPr>
      <w:r>
        <w:rPr>
          <w:rFonts w:ascii="Arial" w:cs="Arial" w:eastAsia="Arial" w:hAnsi="Arial"/>
          <w:sz w:val="18"/>
          <w:szCs w:val="18"/>
          <w:color w:val="auto"/>
        </w:rPr>
        <w:t xml:space="preserve">make Multicurrency Facility Revolving Loans and Multicurrency Facility Swing Line Loans and of the obligation of the Multicurrency Facility L/C Issuer to make Multicurrency Facility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Facility Commitment</w:t>
      </w:r>
      <w:r>
        <w:rPr>
          <w:rFonts w:ascii="Arial" w:cs="Arial" w:eastAsia="Arial" w:hAnsi="Arial"/>
          <w:sz w:val="16"/>
          <w:szCs w:val="16"/>
          <w:color w:val="auto"/>
        </w:rPr>
        <w:t xml:space="preserve">” means, as to each Multicurrency Facility Lender, its obligation to (a) make Multicurrency Facility Revolving Loans in Dollars, Canadian Dollars, Euros or Pounds Sterling or an Alternative Currency to the Borrowers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(b) purchase participations in Multicurrency Facility L/C Obligations, and (c) purchase participations in Multicurrency Facility Swing Line Loans, in an aggregate principal amount at any time outstanding not to exceed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heading “Multicurrency Facility Commitment” or in the Assignment and Assumption pursuant to which such Lender becomes a party hereto, as applicable, as such amount may be adjusted from time to time in accordance with this Agreement. The aggregate Multicurrency Facility Commitments of all Lenders shall be $100,000,000 on the Fourth Restatement Date, as such amount may be adjusted from time to time in accordance with the terms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Commitment Increase</w:t>
      </w:r>
      <w:r>
        <w:rPr>
          <w:rFonts w:ascii="Arial" w:cs="Arial" w:eastAsia="Arial" w:hAnsi="Arial"/>
          <w:sz w:val="18"/>
          <w:szCs w:val="18"/>
          <w:color w:val="auto"/>
        </w:rPr>
        <w:t>” has the meaning assigned to such term in Section 2.14.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Commitment Increase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L/C Advance</w:t>
      </w:r>
      <w:r>
        <w:rPr>
          <w:rFonts w:ascii="Arial" w:cs="Arial" w:eastAsia="Arial" w:hAnsi="Arial"/>
          <w:sz w:val="18"/>
          <w:szCs w:val="18"/>
          <w:color w:val="auto"/>
        </w:rPr>
        <w:t xml:space="preserve">” means, with respect to each Multicurrency Facility Lender, such Lender’s funding of its participation in any Multicurrency Facility L/C Borrowing in accordance with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L/C Borrowing</w:t>
      </w:r>
      <w:r>
        <w:rPr>
          <w:rFonts w:ascii="Arial" w:cs="Arial" w:eastAsia="Arial" w:hAnsi="Arial"/>
          <w:sz w:val="18"/>
          <w:szCs w:val="18"/>
          <w:color w:val="auto"/>
        </w:rPr>
        <w:t>” means an extension of credit resulting from a drawing under any Multicurrency Facility Letter of Credit which has not been reimbursed on the date when made or refinanced as a Multicurrency Facility Revolving Loan Borrowing.</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L/C Credit Extension</w:t>
      </w:r>
      <w:r>
        <w:rPr>
          <w:rFonts w:ascii="Arial" w:cs="Arial" w:eastAsia="Arial" w:hAnsi="Arial"/>
          <w:sz w:val="18"/>
          <w:szCs w:val="18"/>
          <w:color w:val="auto"/>
        </w:rPr>
        <w:t>” means, with respect to any Multicurrency Facility Letter of Credit, the issuance thereof, extension of the expiry date thereof or the increase of the amount thereof.</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Facility L/C Issuer</w:t>
      </w:r>
      <w:r>
        <w:rPr>
          <w:rFonts w:ascii="Arial" w:cs="Arial" w:eastAsia="Arial" w:hAnsi="Arial"/>
          <w:sz w:val="17"/>
          <w:szCs w:val="17"/>
          <w:color w:val="auto"/>
        </w:rPr>
        <w:t>” means (a) JPMorgan Chase Bank, N.A., Toronto Branch, or any of its Affiliates (including JPMorgan Chase Bank, N.A., London Branch) or branches designated by it, and its permitted successors and assigns, as an issuer of Multicurrency Facility Letters of Credit hereunder, (b) Bank of America, N.A., Canada Branch, or any of its Affiliates or branches designated by it, and its permitted successors and assigns, as an issuer of Multicurrency Facility Letters of Credit hereunder and (c) any other Multicurrency Facility Lender approved by the Administrative Agent and the applicable Facility Agent (such approval not to be unreasonably withheld) which agrees with the Borrowers to act as an issuer of Multicurrency Facility Letters of Credit hereunder, in its capacity as a Multicurrency Facility L/C Issuer.</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Facility L/C Obligations</w:t>
      </w:r>
      <w:r>
        <w:rPr>
          <w:rFonts w:ascii="Arial" w:cs="Arial" w:eastAsia="Arial" w:hAnsi="Arial"/>
          <w:sz w:val="16"/>
          <w:szCs w:val="16"/>
          <w:color w:val="auto"/>
        </w:rPr>
        <w:t xml:space="preserve">” means, as at any date of determination, the aggregate amount available to be drawn under all outstanding Multicurrency Facility Letters of Credit plus the aggregate of all Multicurrency Facility Unreimbursed Amounts, including all Multicurrency Facility L/C Borrowings. For purposes of computing the amount available to be drawn under any Multicurrency Facility Letter of Credit, the amount of such Multicurrency Facility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Multicurrency Facility Letter of Credit has expired by its terms but any amount may still be drawn thereunder by reason of the operation of Rule 3.14 of the ISP, such Multicurrency Facility Letter of Credit shall be deemed to be “outstanding” in the amount so remaining available to be drawn.</w:t>
      </w:r>
    </w:p>
    <w:p>
      <w:pPr>
        <w:spacing w:after="0" w:line="16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Facility Lender</w:t>
      </w:r>
      <w:r>
        <w:rPr>
          <w:rFonts w:ascii="Arial" w:cs="Arial" w:eastAsia="Arial" w:hAnsi="Arial"/>
          <w:sz w:val="17"/>
          <w:szCs w:val="17"/>
          <w:color w:val="auto"/>
        </w:rPr>
        <w:t xml:space="preserve">” means each financial institution listed on the signature pages hereto as a Lender that has a Multicurrency Facility Commitment or holds Multicurrency Facility Revolving Loans, together with any Person that subsequently becomes a Multicurrency Facility Lender by way of assignment in accordance with the terms of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together with their respective successors, other than any Person that ceases to be a Multicurrency Facility Lender as a result of an assignment in accordance with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or an amendment of this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341"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Agreement and, as the context requires, includes the Multicurrency Facility L/C Issuer and the Multicurrency Facility Swing Line Lender.</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Letter of Credit</w:t>
      </w:r>
      <w:r>
        <w:rPr>
          <w:rFonts w:ascii="Arial" w:cs="Arial" w:eastAsia="Arial" w:hAnsi="Arial"/>
          <w:sz w:val="18"/>
          <w:szCs w:val="18"/>
          <w:color w:val="auto"/>
        </w:rPr>
        <w:t>” means any letter of credit issued under the Multicurrency Facility Commitment. A Multicurrency Facility Letter of Credit may be a commercial letter of credit or a standby letter of credit and shall be denominated in Dollars, Canadian Dollars, Euros, Pounds Sterling or an Alternative Currency. For the avoidance of doubt, a Multicurrency Facility Letter of Credit that is a commercial letter of credit shall not include a banker’s acceptance.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Letter of Credit Fee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2.03(i)</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Facility Letter of Credit Sublimit</w:t>
      </w:r>
      <w:r>
        <w:rPr>
          <w:rFonts w:ascii="Arial" w:cs="Arial" w:eastAsia="Arial" w:hAnsi="Arial"/>
          <w:sz w:val="16"/>
          <w:szCs w:val="16"/>
          <w:color w:val="auto"/>
        </w:rPr>
        <w:t>” means the lesser of (a) $40,000,000 and (b) the Aggregate Multicurrency Facility Commitments. The Multicurrency Facility Letter of Credit Sublimit is part of, and not in addition to, the Aggregate Multicurrency Facility Commitment.</w:t>
      </w:r>
    </w:p>
    <w:p>
      <w:pPr>
        <w:spacing w:after="0" w:line="12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Maturity Date</w:t>
      </w:r>
      <w:r>
        <w:rPr>
          <w:rFonts w:ascii="Arial" w:cs="Arial" w:eastAsia="Arial" w:hAnsi="Arial"/>
          <w:sz w:val="18"/>
          <w:szCs w:val="18"/>
          <w:color w:val="auto"/>
        </w:rPr>
        <w:t xml:space="preserve">” means the earlier of (i) the fifth anniversary of the Amendment No. 1 Effective Date and (ii) the date of termination in whole of the Multicurrency Facility Commitments, the Multicurrency Facility L/C Obligations, and the Multicurrency Facility Swing Line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Revolving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Revolving Loan Borrowing</w:t>
      </w:r>
      <w:r>
        <w:rPr>
          <w:rFonts w:ascii="Arial" w:cs="Arial" w:eastAsia="Arial" w:hAnsi="Arial"/>
          <w:sz w:val="18"/>
          <w:szCs w:val="18"/>
          <w:color w:val="auto"/>
        </w:rPr>
        <w:t>” means a borrowing consisting of Multicurrency Facility Revolving Loans of the same Type, and, in the case of Eurodollar Rate Loans, having the same Interest Period.</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Revolving Loan Note</w:t>
      </w:r>
      <w:r>
        <w:rPr>
          <w:rFonts w:ascii="Arial" w:cs="Arial" w:eastAsia="Arial" w:hAnsi="Arial"/>
          <w:sz w:val="18"/>
          <w:szCs w:val="18"/>
          <w:color w:val="auto"/>
        </w:rPr>
        <w:t xml:space="preserve">” means a promissory note made by the U.S. Borrower, the Canadian Borrower or the Dutch Borrower in favor of a Lender or its registered assigns, in substantially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 evidencing Multicurrency Facility Revolving Loans made by such Lender to such Borrower.</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Swing Line</w:t>
      </w:r>
      <w:r>
        <w:rPr>
          <w:rFonts w:ascii="Arial" w:cs="Arial" w:eastAsia="Arial" w:hAnsi="Arial"/>
          <w:sz w:val="18"/>
          <w:szCs w:val="18"/>
          <w:color w:val="auto"/>
        </w:rPr>
        <w:t xml:space="preserve">” means the revolving credit facility made available by the Multicurrency Facility Swing Line Lender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Facility Swing Line Borrowing</w:t>
      </w:r>
      <w:r>
        <w:rPr>
          <w:rFonts w:ascii="Arial" w:cs="Arial" w:eastAsia="Arial" w:hAnsi="Arial"/>
          <w:sz w:val="17"/>
          <w:szCs w:val="17"/>
          <w:color w:val="auto"/>
        </w:rPr>
        <w:t xml:space="preserve">” means a borrowing of a Multicurrency Facility Swing Line Loan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23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Facility Swing Line Lender</w:t>
      </w:r>
      <w:r>
        <w:rPr>
          <w:rFonts w:ascii="Arial" w:cs="Arial" w:eastAsia="Arial" w:hAnsi="Arial"/>
          <w:sz w:val="16"/>
          <w:szCs w:val="16"/>
          <w:color w:val="auto"/>
        </w:rPr>
        <w:t>” means (a) in the case of (i) Dollar denominated Multicurrency Facility Swing Line Loans to the U.S. Borrower or the Canadian Borrower and (ii) Canadian Dollar denominated Multicurrency Facility Swingline Loans to any Borrower, JPMorgan Chase Bank, N.A., Toronto Branch, or any of its Affiliates or branches designated by it, and its permitted successors and assigns, as a swing line lender hereunder,</w:t>
      </w:r>
    </w:p>
    <w:p>
      <w:pPr>
        <w:spacing w:after="0" w:line="2" w:lineRule="exact"/>
        <w:rPr>
          <w:sz w:val="20"/>
          <w:szCs w:val="20"/>
          <w:color w:val="auto"/>
        </w:rPr>
      </w:pPr>
    </w:p>
    <w:p>
      <w:pPr>
        <w:ind w:right="20" w:firstLine="8"/>
        <w:spacing w:after="0" w:line="253"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(i) Dollar denominated Multicurrency Facility Swing Line Loans to the Dutch Borrower and (ii) Euro and Pounds Sterling denominated Multicurrency Facility Swing Line Loans to any Borrower, JPMorgan Chase Bank, N.A., London Branch, or any of its Affiliates or branches designated by it, and its permitted successors and assigns, as a swing line lender hereunder, or (c) any other Multicurrency Facility Lender approved by the Administrative Agent and the applicable Facility Agent (such approval not to be unreasonably withheld) which agrees with the Borrowers to act as a Multicurrency Facility Swing Line Lender hereunder.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Swing Line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2.04(a)(ii)</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Swing Line Loan Note</w:t>
      </w:r>
      <w:r>
        <w:rPr>
          <w:rFonts w:ascii="Arial" w:cs="Arial" w:eastAsia="Arial" w:hAnsi="Arial"/>
          <w:sz w:val="18"/>
          <w:szCs w:val="18"/>
          <w:color w:val="auto"/>
        </w:rPr>
        <w:t xml:space="preserve">” means a promissory note made by a Borrower in favor of the Multicurrency Facility Swing Line Lender or its registered assigns, in substantially the form of </w:t>
      </w:r>
      <w:r>
        <w:rPr>
          <w:rFonts w:ascii="Arial" w:cs="Arial" w:eastAsia="Arial" w:hAnsi="Arial"/>
          <w:sz w:val="18"/>
          <w:szCs w:val="18"/>
          <w:u w:val="single" w:color="auto"/>
          <w:color w:val="auto"/>
        </w:rPr>
        <w:t>Exhibit C-4</w:t>
      </w:r>
      <w:r>
        <w:rPr>
          <w:rFonts w:ascii="Arial" w:cs="Arial" w:eastAsia="Arial" w:hAnsi="Arial"/>
          <w:sz w:val="18"/>
          <w:szCs w:val="18"/>
          <w:color w:val="auto"/>
        </w:rPr>
        <w:t xml:space="preserve"> hereto, evidencing Multicurrency Facility Swing Line Loans made by the Multicurrency Facility Swing Line Lender.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341" w:right="359" w:bottom="1440" w:gutter="0" w:footer="0" w:header="0"/>
        </w:sectPr>
      </w:pPr>
    </w:p>
    <w:bookmarkStart w:id="101" w:name="page102"/>
    <w:bookmarkEnd w:id="101"/>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Swing Line Loan Notice</w:t>
      </w:r>
      <w:r>
        <w:rPr>
          <w:rFonts w:ascii="Arial" w:cs="Arial" w:eastAsia="Arial" w:hAnsi="Arial"/>
          <w:sz w:val="18"/>
          <w:szCs w:val="18"/>
          <w:color w:val="auto"/>
        </w:rPr>
        <w:t xml:space="preserve">” means a notice of a Multicurrency Facility Swing Line Borrowing pursuant to Section 2.04(b) (i), which shall be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Facility Swing Line Sublimit</w:t>
      </w:r>
      <w:r>
        <w:rPr>
          <w:rFonts w:ascii="Arial" w:cs="Arial" w:eastAsia="Arial" w:hAnsi="Arial"/>
          <w:sz w:val="17"/>
          <w:szCs w:val="17"/>
          <w:color w:val="auto"/>
        </w:rPr>
        <w:t>” means the lesser of (a) $15,000,000 and (b) the Aggregate Multicurrency Facility Commitments.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Multicurrency Facility Swing Line Sublimit is part of, and not in addition to, the Aggregate Multicurrency Facility Commitments.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Unreimbursed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as defined in Section 4001(a)(3) of ERISA, to which a Loan Party or any ERISA Affiliate (i) makes or is obligated to make contributions or (ii) during the preceding six plan years, has made or been obligated to make contributions.</w:t>
      </w:r>
    </w:p>
    <w:p>
      <w:pPr>
        <w:spacing w:after="0" w:line="14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xml:space="preserve">” means, with respect to any Debt Issuance </w:t>
      </w:r>
      <w:r>
        <w:rPr>
          <w:rFonts w:ascii="Arial" w:cs="Arial" w:eastAsia="Arial" w:hAnsi="Arial"/>
          <w:sz w:val="17"/>
          <w:szCs w:val="17"/>
          <w:color w:val="auto"/>
          <w:strike w:val="1"/>
        </w:rPr>
        <w:t>or</w:t>
      </w:r>
      <w:r>
        <w:rPr>
          <w:rFonts w:ascii="Arial" w:cs="Arial" w:eastAsia="Arial" w:hAnsi="Arial"/>
          <w:sz w:val="17"/>
          <w:szCs w:val="17"/>
          <w:u w:val="single" w:color="auto"/>
          <w:color w:val="auto"/>
        </w:rPr>
        <w:t>,</w:t>
      </w:r>
      <w:r>
        <w:rPr>
          <w:rFonts w:ascii="Arial" w:cs="Arial" w:eastAsia="Arial" w:hAnsi="Arial"/>
          <w:sz w:val="17"/>
          <w:szCs w:val="17"/>
          <w:color w:val="auto"/>
        </w:rPr>
        <w:t xml:space="preserve"> any issuance of Disqualified Capital Stock by any Person or any of its Restricted Subsidiaries or issuance of Qualified Capital Stock </w:t>
      </w:r>
      <w:r>
        <w:rPr>
          <w:rFonts w:ascii="Arial" w:cs="Arial" w:eastAsia="Arial" w:hAnsi="Arial"/>
          <w:sz w:val="17"/>
          <w:szCs w:val="17"/>
          <w:u w:val="single" w:color="auto"/>
          <w:color w:val="auto"/>
        </w:rPr>
        <w:t>*or any Asset Sale,*</w:t>
      </w:r>
      <w:r>
        <w:rPr>
          <w:rFonts w:ascii="Arial" w:cs="Arial" w:eastAsia="Arial" w:hAnsi="Arial"/>
          <w:sz w:val="17"/>
          <w:szCs w:val="17"/>
          <w:color w:val="auto"/>
        </w:rPr>
        <w:t xml:space="preserve"> the cash proceeds thereof, net of reasonable fees, commissions, costs and other expenses incurred in connection therewith including reasonable legal fees and expenses </w:t>
      </w:r>
      <w:r>
        <w:rPr>
          <w:rFonts w:ascii="Arial" w:cs="Arial" w:eastAsia="Arial" w:hAnsi="Arial"/>
          <w:sz w:val="17"/>
          <w:szCs w:val="17"/>
          <w:u w:val="single" w:color="auto"/>
          <w:color w:val="auto"/>
        </w:rPr>
        <w:t>*(or in the case of any Asset Sale, income taxes</w:t>
      </w:r>
      <w:r>
        <w:rPr>
          <w:rFonts w:ascii="Arial" w:cs="Arial" w:eastAsia="Arial" w:hAnsi="Arial"/>
          <w:sz w:val="17"/>
          <w:szCs w:val="17"/>
          <w:color w:val="auto"/>
        </w:rPr>
        <w:t xml:space="preserve"> </w:t>
      </w:r>
      <w:r>
        <w:rPr>
          <w:rFonts w:ascii="Arial" w:cs="Arial" w:eastAsia="Arial" w:hAnsi="Arial"/>
          <w:sz w:val="17"/>
          <w:szCs w:val="17"/>
          <w:u w:val="single" w:color="auto"/>
          <w:color w:val="auto"/>
        </w:rPr>
        <w:t>reasonably estimated to be actually payable as a result of any gain recognized in connection therewith).*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Loan Note or a Swing Line Loan Note.</w:t>
      </w:r>
    </w:p>
    <w:p>
      <w:pPr>
        <w:spacing w:after="0" w:line="225"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 obligations of the U.S. Borrower and the other Loan Parties from time to time arising under or in respect of the due and punctual payment of (i) the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U.S. Borrower and the other Loan Parties under this Agreement in respect of any Letter of Credit, when and as due, including payments in respect of L/C Advances, interest thereon and obligations to provide cash collateral and (iii) all other monetary obligations, including fees, costs, expenses and indemnities, whether primary, secondary, direct, contingent, fixed or otherwise, of the U.S. Borrower and the other Loan Parties under this Agreement and the other Loan Documents and</w:t>
      </w:r>
    </w:p>
    <w:p>
      <w:pPr>
        <w:spacing w:after="0" w:line="2" w:lineRule="exact"/>
        <w:rPr>
          <w:sz w:val="20"/>
          <w:szCs w:val="20"/>
          <w:color w:val="auto"/>
        </w:rPr>
      </w:pPr>
    </w:p>
    <w:p>
      <w:pPr>
        <w:jc w:val="both"/>
        <w:ind w:right="380" w:firstLine="8"/>
        <w:spacing w:after="0" w:line="255"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due and punctual performance of all covenants, agreements, obligations and liabilities of the U.S. Borrower and the other Loan Parties under or pursuant to this Agreement and the other Loan Documents. For the avoidance of doubt, the Obligations shall include the Canadian Obligations and the Dutch Obligations.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w:t>
      </w:r>
      <w:r>
        <w:rPr>
          <w:rFonts w:ascii="Arial" w:cs="Arial" w:eastAsia="Arial" w:hAnsi="Arial"/>
          <w:sz w:val="18"/>
          <w:szCs w:val="18"/>
          <w:color w:val="auto"/>
        </w:rPr>
        <w:t>” when used with respect to the Property or any property adjacent to the Property, means “on, in, under, above or about.”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has the meaning assigned to such term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w:t>
      </w:r>
      <w:r>
        <w:rPr>
          <w:rFonts w:ascii="Arial" w:cs="Arial" w:eastAsia="Arial" w:hAnsi="Arial"/>
          <w:sz w:val="18"/>
          <w:szCs w:val="18"/>
          <w:color w:val="auto"/>
        </w:rPr>
        <w:t>” means October 15, 2010.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73" w:right="339" w:bottom="1440" w:gutter="0" w:footer="0" w:header="0"/>
        </w:sectPr>
      </w:pPr>
    </w:p>
    <w:bookmarkStart w:id="102" w:name="page103"/>
    <w:bookmarkEnd w:id="102"/>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in each case, arising from any payment made hereunder or under any other Loan Document or from the execution, delivery or enforcement of, or otherwise with respect to, this Agreement or any other Loan Document, but excluding any such Taxes imposed upon a voluntary transfer of an Obligation by a Lender, L/C Issuer or Swing Line Lender if such Taxes result from such Lender, L/C Issuer or Swing Line Lender being organized, resident or engaged in business (other than a business arising (or being deemed to arise) solely as a result of the Loan Documents or any transactions occurring pursuant thereto) in such jurisdiction. For the avoidance of doubt, “Other Taxes” shall not include “Excluded Taxes.”</w:t>
      </w:r>
    </w:p>
    <w:p>
      <w:pPr>
        <w:spacing w:after="0" w:line="192"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U.S. Dollar Facility Revolving Loans on any date, the aggregate outstanding principal amount thereof after giving effect to any borrowings and prepayments or repayments of such U.S. Dollar Facility Revolving Loans occurring on such date; (b) with respect to Multicurrency Facility Revolving Loans on any date, the Dollar Equivalent of the aggregate outstanding principal amount thereof after giving effect to any borrowings and prepayments or repayments of such Multicurrency Facility Revolving Loans occurring on such date; (c) with respect to U.S. Dollar Facility Swing Line Loans on any date, the aggregate outstanding principal amount thereof after giving effect to any borrowings and prepayments or repayments of such U.S. Dollar Facility Swing Line Loans occurring on such date; (d) with respect to Multicurrency Facility Swing Line Loans on any date, the Dollar Equivalent of the aggregate outstanding principal amount thereof after giving effect to any borrowings and prepayments or repayments of such Multicurrency Facility Swing Line Loans occurring on such date; (e) with respect to any U.S. Dollar Facility L/C Obligations on any date, the amount of such U.S. Dollar</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Facility L/C Obligations on such date after giving effect to any U.S. Dollar Facility L/C Credit Extension occurring on such date and any other changes in the aggregate amount of the U.S. Dollar Facility L/C Obligations as of such date, including as a result of any reimbursements by the U.S. Borrower of U.S. Dollar Facility Unreimbursed Amounts and (f) with respect to any Multicurrency Facility L/C Obligations on any date, the Dollar Equivalent of the amount of such Multicurrency Facility L/C Obligations on such date after giving effect to any Multicurrency Facility L/C Credit Extension occurring on such date and any other changes in the aggregate amount of the Multicurrency Facility L/C Obligations as of such date, including as a result of any reimbursements by a Borrower of Multicurrency Facility Unreimbursed Amounts.</w:t>
      </w:r>
    </w:p>
    <w:p>
      <w:pPr>
        <w:spacing w:after="0" w:line="19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FRBNY as set forth on its public website from time to time) and published on the next succeeding Business Day by the FRBNY as an overnight bank funding rate (from and after such date as the FRBNY shall commence to publish such composite rate).</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LIBO Rate</w:t>
      </w:r>
      <w:r>
        <w:rPr>
          <w:rFonts w:ascii="Arial" w:cs="Arial" w:eastAsia="Arial" w:hAnsi="Arial"/>
          <w:sz w:val="18"/>
          <w:szCs w:val="18"/>
          <w:color w:val="auto"/>
        </w:rPr>
        <w:t xml:space="preserve">” means, on any day,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London interbank offered rate as administered by ICE Benchmark Administration Limited (or any other person that takes over the administration of such rate) for overnight deposits in Euros or Pounds Sterling (as the case may be) as displayed on the applicable Thomson Reuters screen page (currently page LIBOR01) (or, in the event such rate does not appear on a page of the Thomson Reuters screen, on the appropriate page of such other information service that publishes such rate as shall be reasonably selected by the European Agent from time to time in its reasonable discretion) at approximately 11:00 a.m., London time,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Overnight LIBO Rate shall be less than zero, such rate shall be deemed to be zero.</w:t>
      </w:r>
    </w:p>
    <w:p>
      <w:pPr>
        <w:spacing w:after="0" w:line="19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LIBO Rate Loans</w:t>
      </w:r>
      <w:r>
        <w:rPr>
          <w:rFonts w:ascii="Arial" w:cs="Arial" w:eastAsia="Arial" w:hAnsi="Arial"/>
          <w:sz w:val="18"/>
          <w:szCs w:val="18"/>
          <w:color w:val="auto"/>
        </w:rPr>
        <w:t>” means Multicurrency Facility Revolving Loans and Multicurrency Facility Swing Line Loans for which the applicable rate of interest is based upon the Overnight LIBO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73" w:right="339" w:bottom="1440" w:gutter="0" w:footer="0" w:header="0"/>
        </w:sectPr>
      </w:pPr>
    </w:p>
    <w:bookmarkStart w:id="103" w:name="page104"/>
    <w:bookmarkEnd w:id="103"/>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or at any time during the immediately preceding six years was, sponsored or maintained by a Loan Party or any ERISA Affiliate or to which a Loan Party or any ERISA Affiliate does, or at any time during the immediately preceding six years did, contribute or have an obligation to contribute, or in the case of a multiple employer or other plan described in Section 4064(a) of ERISA, has made contributions at any time during the immediately preceding five plan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Perfection Certificate</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to the Third Amended and Restated Credit Agreement.</w:t>
      </w:r>
    </w:p>
    <w:p>
      <w:pPr>
        <w:spacing w:after="0" w:line="24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any acquisition by the U.S. Borrower or any of its Restricted Subsidiaries, whether by purchase, merger, amalgamation or otherwise, of at least a majority of the assets of, the Equity Interests of, or a business line or unit or a division of, any Person;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137" w:lineRule="exact"/>
        <w:rPr>
          <w:sz w:val="20"/>
          <w:szCs w:val="20"/>
          <w:color w:val="auto"/>
        </w:rPr>
      </w:pPr>
    </w:p>
    <w:p>
      <w:pPr>
        <w:ind w:left="660" w:right="80" w:firstLine="644"/>
        <w:spacing w:after="0" w:line="266" w:lineRule="auto"/>
        <w:tabs>
          <w:tab w:leader="none" w:pos="1675" w:val="left"/>
        </w:tabs>
        <w:numPr>
          <w:ilvl w:val="0"/>
          <w:numId w:val="47"/>
        </w:numPr>
        <w:rPr>
          <w:rFonts w:ascii="Arial" w:cs="Arial" w:eastAsia="Arial" w:hAnsi="Arial"/>
          <w:sz w:val="20"/>
          <w:szCs w:val="20"/>
          <w:color w:val="auto"/>
        </w:rPr>
      </w:pPr>
      <w:r>
        <w:rPr>
          <w:rFonts w:ascii="Arial" w:cs="Arial" w:eastAsia="Arial" w:hAnsi="Arial"/>
          <w:sz w:val="18"/>
          <w:szCs w:val="18"/>
          <w:color w:val="auto"/>
        </w:rPr>
        <w:t>immediately prior to, and after giving effect thereto, no Default or Event of Default shall have occurred and be continuing or would result therefrom;</w:t>
      </w:r>
    </w:p>
    <w:p>
      <w:pPr>
        <w:spacing w:after="0" w:line="190" w:lineRule="exact"/>
        <w:rPr>
          <w:rFonts w:ascii="Arial" w:cs="Arial" w:eastAsia="Arial" w:hAnsi="Arial"/>
          <w:sz w:val="20"/>
          <w:szCs w:val="20"/>
          <w:color w:val="auto"/>
        </w:rPr>
      </w:pPr>
    </w:p>
    <w:p>
      <w:pPr>
        <w:ind w:left="660" w:right="40" w:firstLine="644"/>
        <w:spacing w:after="0" w:line="265" w:lineRule="auto"/>
        <w:tabs>
          <w:tab w:leader="none" w:pos="1729" w:val="left"/>
        </w:tabs>
        <w:numPr>
          <w:ilvl w:val="0"/>
          <w:numId w:val="47"/>
        </w:numPr>
        <w:rPr>
          <w:rFonts w:ascii="Arial" w:cs="Arial" w:eastAsia="Arial" w:hAnsi="Arial"/>
          <w:sz w:val="20"/>
          <w:szCs w:val="20"/>
          <w:color w:val="auto"/>
        </w:rPr>
      </w:pPr>
      <w:r>
        <w:rPr>
          <w:rFonts w:ascii="Arial" w:cs="Arial" w:eastAsia="Arial" w:hAnsi="Arial"/>
          <w:sz w:val="18"/>
          <w:szCs w:val="18"/>
          <w:color w:val="auto"/>
        </w:rPr>
        <w:t xml:space="preserve">in the case of the acquisition of Equity Interests, at least a majority of the voting power of the Voting Stock (except for any such securities issued to foreign nationals or in the nature of directors’ qualifying shares, in each case required pursuant to applicable law) acquired or otherwise issued by such Person or any newly formed Restricted Subsidiary of the U.S. Borrower in connection with such acquisition shall be owned by the U.S. Borrower or a Restricted Subsidiary, and the U.S. Borrower shall have taken, or caused to be taken, as of the date such Person becomes a Restricted Subsidiary of the U.S. Borrower, each of the actions set forth in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but solely to the extent required to be taken by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196" w:lineRule="exact"/>
        <w:rPr>
          <w:rFonts w:ascii="Arial" w:cs="Arial" w:eastAsia="Arial" w:hAnsi="Arial"/>
          <w:sz w:val="20"/>
          <w:szCs w:val="20"/>
          <w:color w:val="auto"/>
        </w:rPr>
      </w:pPr>
    </w:p>
    <w:p>
      <w:pPr>
        <w:ind w:left="660" w:right="60" w:firstLine="644"/>
        <w:spacing w:after="0" w:line="266" w:lineRule="auto"/>
        <w:tabs>
          <w:tab w:leader="none" w:pos="1785" w:val="left"/>
        </w:tabs>
        <w:numPr>
          <w:ilvl w:val="0"/>
          <w:numId w:val="47"/>
        </w:numPr>
        <w:rPr>
          <w:rFonts w:ascii="Arial" w:cs="Arial" w:eastAsia="Arial" w:hAnsi="Arial"/>
          <w:sz w:val="20"/>
          <w:szCs w:val="20"/>
          <w:color w:val="auto"/>
        </w:rPr>
      </w:pPr>
      <w:r>
        <w:rPr>
          <w:rFonts w:ascii="Arial" w:cs="Arial" w:eastAsia="Arial" w:hAnsi="Arial"/>
          <w:sz w:val="18"/>
          <w:szCs w:val="18"/>
          <w:color w:val="auto"/>
        </w:rPr>
        <w:t xml:space="preserve">the U.S. Borrower and its Restricted Subsidiaries shall be in compliance with the financial covenants set forth in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on a Pro forma Basis after giving effect to such acquisition as of the last day of the most recently ended Test Period;</w:t>
      </w:r>
    </w:p>
    <w:p>
      <w:pPr>
        <w:spacing w:after="0" w:line="190" w:lineRule="exact"/>
        <w:rPr>
          <w:rFonts w:ascii="Arial" w:cs="Arial" w:eastAsia="Arial" w:hAnsi="Arial"/>
          <w:sz w:val="20"/>
          <w:szCs w:val="20"/>
          <w:color w:val="auto"/>
        </w:rPr>
      </w:pPr>
    </w:p>
    <w:p>
      <w:pPr>
        <w:jc w:val="both"/>
        <w:ind w:left="660" w:right="80" w:firstLine="644"/>
        <w:spacing w:after="0" w:line="265" w:lineRule="auto"/>
        <w:tabs>
          <w:tab w:leader="none" w:pos="1774" w:val="left"/>
        </w:tabs>
        <w:numPr>
          <w:ilvl w:val="0"/>
          <w:numId w:val="47"/>
        </w:numPr>
        <w:rPr>
          <w:rFonts w:ascii="Arial" w:cs="Arial" w:eastAsia="Arial" w:hAnsi="Arial"/>
          <w:sz w:val="20"/>
          <w:szCs w:val="20"/>
          <w:color w:val="auto"/>
        </w:rPr>
      </w:pPr>
      <w:r>
        <w:rPr>
          <w:rFonts w:ascii="Arial" w:cs="Arial" w:eastAsia="Arial" w:hAnsi="Arial"/>
          <w:sz w:val="18"/>
          <w:szCs w:val="18"/>
          <w:color w:val="auto"/>
        </w:rPr>
        <w:t>any Person or assets or division as acquired in accordance herewith shall be in the same business or lines of business in which the U.S. Borrower and/or its Restricted Subsidiaries are engaged as of the Fourth Restatement Date or a similar or related business or line of business or any business reasonably related or ancillary thereto or constituting a reasonable extension thereof or such other lines of businesses as may be consented to by the Required Lenders; and</w:t>
      </w:r>
    </w:p>
    <w:p>
      <w:pPr>
        <w:spacing w:after="0" w:line="194" w:lineRule="exact"/>
        <w:rPr>
          <w:rFonts w:ascii="Arial" w:cs="Arial" w:eastAsia="Arial" w:hAnsi="Arial"/>
          <w:sz w:val="20"/>
          <w:szCs w:val="20"/>
          <w:color w:val="auto"/>
        </w:rPr>
      </w:pPr>
    </w:p>
    <w:p>
      <w:pPr>
        <w:ind w:left="660" w:right="200" w:firstLine="644"/>
        <w:spacing w:after="0" w:line="284" w:lineRule="auto"/>
        <w:tabs>
          <w:tab w:leader="none" w:pos="1718" w:val="left"/>
        </w:tabs>
        <w:numPr>
          <w:ilvl w:val="0"/>
          <w:numId w:val="47"/>
        </w:numPr>
        <w:rPr>
          <w:rFonts w:ascii="Arial" w:cs="Arial" w:eastAsia="Arial" w:hAnsi="Arial"/>
          <w:sz w:val="19"/>
          <w:szCs w:val="19"/>
          <w:color w:val="auto"/>
        </w:rPr>
      </w:pPr>
      <w:r>
        <w:rPr>
          <w:rFonts w:ascii="Arial" w:cs="Arial" w:eastAsia="Arial" w:hAnsi="Arial"/>
          <w:sz w:val="17"/>
          <w:szCs w:val="17"/>
          <w:color w:val="auto"/>
        </w:rPr>
        <w:t xml:space="preserve">the U.S. Borrower shall have delivered to the Administrative Agent at least ten Business Days (or such later date agreed to by the Administrative Agent) prior to such proposed acquisition (and the Administrative Agent shall deliver to the Lenders upon their request), a Compliance Certificate evidencing compliance with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as required under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together with all relevant financial information with respect to such acquired assets, including, without limitation, the aggregate Acquisition Consideration for such acquisition and any other information required to demonstrate compliance with </w:t>
      </w:r>
      <w:r>
        <w:rPr>
          <w:rFonts w:ascii="Arial" w:cs="Arial" w:eastAsia="Arial" w:hAnsi="Arial"/>
          <w:sz w:val="17"/>
          <w:szCs w:val="17"/>
          <w:u w:val="single" w:color="auto"/>
          <w:color w:val="auto"/>
        </w:rPr>
        <w:t>Section 7.12</w:t>
      </w:r>
      <w:r>
        <w:rPr>
          <w:rFonts w:ascii="Arial" w:cs="Arial" w:eastAsia="Arial" w:hAnsi="Arial"/>
          <w:sz w:val="17"/>
          <w:szCs w:val="17"/>
          <w:color w:val="auto"/>
        </w:rPr>
        <w:t>;</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Acquisition Consideration may only be provided by the U.S. Borrower and the Subsidiary Guarantors with respect to Permitted Acquisitions of any Persons that do not become Subsidiary Guarantors or of any assets not to be held by the U.S. Borrower or a Subsidiary Guarantor to the extent (x) such Acquisition Consideration is funded with the Net Cash Proceeds from the issuance of Equity Interests (other than Disqualified Capital Stock) of Holdings that are not used for any other purpose or consists of Equity Interests of Holdings issued as consideration (the Acquisition Consideration so funded or issued as contemplated by this clause (x), the “</w:t>
      </w:r>
      <w:r>
        <w:rPr>
          <w:rFonts w:ascii="Arial" w:cs="Arial" w:eastAsia="Arial" w:hAnsi="Arial"/>
          <w:sz w:val="17"/>
          <w:szCs w:val="17"/>
          <w:u w:val="single" w:color="auto"/>
          <w:color w:val="auto"/>
        </w:rPr>
        <w:t>Equity Acquisition Consideration</w:t>
      </w:r>
      <w:r>
        <w:rPr>
          <w:rFonts w:ascii="Arial" w:cs="Arial" w:eastAsia="Arial" w:hAnsi="Arial"/>
          <w:sz w:val="17"/>
          <w:szCs w:val="17"/>
          <w:color w:val="auto"/>
        </w:rPr>
        <w:t xml:space="preserve">”) or (y) the Acquisition Consideration (other than Equity Acquisition Consideration) therefor does not exceed (i) $500,000,000 (net of any return to the U.S. Borrower or a Subsidiary Guarantor from such Persons in respect thereof in cash including dividends, interest distributions, return of capital and similar amounts) since the Fourth Restatement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an additional amount, so long as, in the case of this clause (ii), at the time of the consummation of any Permitted Acquisition relating to such Acquisition Consideration, the Lease Adjusted Leverage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773"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Ratio (calculated on a Pro forma Basis after giving effect to such Permitted Acquisition) is less than or equal to 3.75:1.00.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shall mean Indebtedness issued or incurred (including by means of the extension or renewal of existing Indebtedness) to refinance, refund, extend, renew or replace existing Indebtedness of any Loan Party or any of its Restricted Subsidiaries permitted hereunder (the “</w:t>
      </w:r>
      <w:r>
        <w:rPr>
          <w:rFonts w:ascii="Arial" w:cs="Arial" w:eastAsia="Arial" w:hAnsi="Arial"/>
          <w:sz w:val="18"/>
          <w:szCs w:val="18"/>
          <w:u w:val="single" w:color="auto"/>
          <w:color w:val="auto"/>
        </w:rPr>
        <w:t>Refinanced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principal amount of such refinancing, refunding, extending, renewing or replacing Indebtedness does not exceed the principal amount of such Refinanced Indebtedness plus the amount of any interest, premiums or penalties reasonably required to be paid plus fees and expenses associated therewith.</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Interest Exemption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3.01(e)(iii)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*“Post-Amendment No. 2 Bond Issuance” has the meaning assigned to such term in Section 7.03(x).*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“Pounds Sterling</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Pounds Sterling Equivalent</w:t>
      </w:r>
      <w:r>
        <w:rPr>
          <w:rFonts w:ascii="Arial" w:cs="Arial" w:eastAsia="Arial" w:hAnsi="Arial"/>
          <w:sz w:val="17"/>
          <w:szCs w:val="17"/>
          <w:color w:val="auto"/>
        </w:rPr>
        <w:t>” means, at any time, with respect to any amount denominated in Dollars, the equivalent amount thereof in Pounds Sterling as determined by the Administrative Agent or the applicable Multicurrency Facility L/C Issuer, as the case may be, at such time on the basis of the Spot Rate (determined in respect of the most recent Revaluation Date) for the purchase of Pounds Sterling with Dollars.</w:t>
      </w:r>
    </w:p>
    <w:p>
      <w:pPr>
        <w:spacing w:after="0" w:line="16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xml:space="preserve">” means that such Specified Transaction (and all other Specified Transactions that have been consummated during the applicable period) and the following adjustments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an Asset Sale or any designation of a Subsidiary as an Unrestricted Subsidiary shall be excluded, and (ii) in the case of a Permitted Acquisition, any designation of a Subsidiary as a Restricted Subsidiary and any Investment that results in a Person becoming a Restricted Subsidiary shall be included, (b) any retirement of Indebtedness, (c) operating expense reductions relating to such Specified Transaction and (d) any Indebtedness incurred or assumed by the U.S. Borrower or any of its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pro forma adjustments (to the extent related to operating expense reductions) may be applied to any such test or financial covenant solely to the extent that such adjustments are consistent with the definition of Consolidated EBITDAR and give effect to events (including operating expense reductions) that are (x) attributable to such transaction and (y) factually supportable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pro forma effect shall only be given to operating expense reductions or similar anticipated benefits from any Specified Transaction to the extent that such adjustments and the bases therefor are set forth in reasonable detail in a certificate of the chief financial officer of the U.S. Borrower delivered to the Administrative Agent and dated the relevant date of determination and which certifies that all necessary steps for the realization thereof have been taken or the U.S. Borrower reasonably anticipates that all necessary steps for the realization thereof will be taken within six months following such date of determination).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w:t>
      </w:r>
    </w:p>
    <w:p>
      <w:pPr>
        <w:spacing w:after="0" w:line="239" w:lineRule="exact"/>
        <w:rPr>
          <w:sz w:val="20"/>
          <w:szCs w:val="20"/>
          <w:color w:val="auto"/>
        </w:rPr>
      </w:pPr>
    </w:p>
    <w:p>
      <w:pPr>
        <w:jc w:val="both"/>
        <w:ind w:left="660" w:right="100" w:firstLine="644"/>
        <w:spacing w:after="0" w:line="264" w:lineRule="auto"/>
        <w:tabs>
          <w:tab w:leader="none" w:pos="1708" w:val="left"/>
        </w:tabs>
        <w:numPr>
          <w:ilvl w:val="0"/>
          <w:numId w:val="48"/>
        </w:numPr>
        <w:rPr>
          <w:rFonts w:ascii="Arial" w:cs="Arial" w:eastAsia="Arial" w:hAnsi="Arial"/>
          <w:sz w:val="20"/>
          <w:szCs w:val="20"/>
          <w:color w:val="auto"/>
        </w:rPr>
      </w:pPr>
      <w:r>
        <w:rPr>
          <w:rFonts w:ascii="Arial" w:cs="Arial" w:eastAsia="Arial" w:hAnsi="Arial"/>
          <w:sz w:val="18"/>
          <w:szCs w:val="18"/>
          <w:color w:val="auto"/>
        </w:rPr>
        <w:t>with respect to each U.S. Dollar Facility Lender at any time, a fraction (expressed as a percentage, carried out to the ninth decimal place), the numerator of which is the amount of the U.S. Dollar Facility Commitments of such Lender at such time and the denominator of which is the amount of the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773" w:right="359" w:bottom="1440" w:gutter="0" w:footer="0" w:header="0"/>
        </w:sectPr>
      </w:pPr>
    </w:p>
    <w:bookmarkStart w:id="105" w:name="page106"/>
    <w:bookmarkEnd w:id="105"/>
    <w:p>
      <w:pPr>
        <w:ind w:right="60"/>
        <w:spacing w:after="0" w:line="263" w:lineRule="auto"/>
        <w:rPr>
          <w:sz w:val="20"/>
          <w:szCs w:val="20"/>
          <w:color w:val="auto"/>
        </w:rPr>
      </w:pPr>
      <w:r>
        <w:rPr>
          <w:rFonts w:ascii="Arial" w:cs="Arial" w:eastAsia="Arial" w:hAnsi="Arial"/>
          <w:sz w:val="18"/>
          <w:szCs w:val="18"/>
          <w:color w:val="auto"/>
        </w:rPr>
        <w:t xml:space="preserve">Aggregate U.S. Dollar Facility Commitments at such time; provided that if such U.S. Dollar Facility Commitments have been terminated, then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each U.S. Dollar Facility Lender shall be determined based on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such Lender immediately prior to such termination and after giving effect to any subsequent assignments made pursuant to the terms hereof; and</w:t>
      </w:r>
    </w:p>
    <w:p>
      <w:pPr>
        <w:spacing w:after="0" w:line="197" w:lineRule="exact"/>
        <w:rPr>
          <w:sz w:val="20"/>
          <w:szCs w:val="20"/>
          <w:color w:val="auto"/>
        </w:rPr>
      </w:pPr>
    </w:p>
    <w:p>
      <w:pPr>
        <w:ind w:left="660" w:right="60" w:firstLine="644"/>
        <w:spacing w:after="0" w:line="265" w:lineRule="auto"/>
        <w:tabs>
          <w:tab w:leader="none" w:pos="1718" w:val="left"/>
        </w:tabs>
        <w:numPr>
          <w:ilvl w:val="0"/>
          <w:numId w:val="49"/>
        </w:numPr>
        <w:rPr>
          <w:rFonts w:ascii="Arial" w:cs="Arial" w:eastAsia="Arial" w:hAnsi="Arial"/>
          <w:sz w:val="20"/>
          <w:szCs w:val="20"/>
          <w:color w:val="auto"/>
        </w:rPr>
      </w:pPr>
      <w:r>
        <w:rPr>
          <w:rFonts w:ascii="Arial" w:cs="Arial" w:eastAsia="Arial" w:hAnsi="Arial"/>
          <w:sz w:val="18"/>
          <w:szCs w:val="18"/>
          <w:color w:val="auto"/>
        </w:rPr>
        <w:t xml:space="preserve">with respect to each Multicurrency Facility Lender at any time, a fraction (expressed as a percentage, carried out to the ninth decimal place), the numerator of which is the amount of the Multicurrency Facility Commitments of such Lender at such time and the denominator of which is the amount of the Aggregate Multicurrency Facility Commitments at such time; provided that if such Multicurrency Facility Commitments have been terminated, then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each Multicurrency Facility Lender shall be determined based on the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rata</w:t>
      </w:r>
      <w:r>
        <w:rPr>
          <w:rFonts w:ascii="Arial" w:cs="Arial" w:eastAsia="Arial" w:hAnsi="Arial"/>
          <w:sz w:val="18"/>
          <w:szCs w:val="18"/>
          <w:color w:val="auto"/>
        </w:rPr>
        <w:t xml:space="preserve"> Share of such Lender immediately prior to such termination and after giving effect to any subsequent assignments made pursuant to the terms hereof.</w:t>
      </w:r>
    </w:p>
    <w:p>
      <w:pPr>
        <w:spacing w:after="0" w:line="1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the property, the Improvements and all other property constituting the “Mortgaged Property,” as described in the Mortgage, or subject to a right, lien or security interest to secure the Loan pursuant to any other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Published CDOR Rate</w:t>
      </w:r>
      <w:r>
        <w:rPr>
          <w:rFonts w:ascii="Arial" w:cs="Arial" w:eastAsia="Arial" w:hAnsi="Arial"/>
          <w:sz w:val="18"/>
          <w:szCs w:val="18"/>
          <w:color w:val="auto"/>
        </w:rPr>
        <w:t>” has the meaning assigned to such term in the definition of CDOR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Published LIBOR Rate</w:t>
      </w:r>
      <w:r>
        <w:rPr>
          <w:rFonts w:ascii="Arial" w:cs="Arial" w:eastAsia="Arial" w:hAnsi="Arial"/>
          <w:sz w:val="18"/>
          <w:szCs w:val="18"/>
          <w:color w:val="auto"/>
        </w:rPr>
        <w:t>” has the meaning assigned to such term in the definition of Eurodollar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*“QFC”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*“QFC Credit Support” has the meaning assigned to it in Section 10.22.*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“Qualified Capital Stock</w:t>
      </w:r>
      <w:r>
        <w:rPr>
          <w:rFonts w:ascii="Arial" w:cs="Arial" w:eastAsia="Arial" w:hAnsi="Arial"/>
          <w:sz w:val="18"/>
          <w:szCs w:val="18"/>
          <w:color w:val="auto"/>
        </w:rPr>
        <w:t>” means, of any Person, any Equity Interests of such Person that are not Disqualified Capital Stock.</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ECP Guarantor</w:t>
      </w:r>
      <w:r>
        <w:rPr>
          <w:rFonts w:ascii="Arial" w:cs="Arial" w:eastAsia="Arial" w:hAnsi="Arial"/>
          <w:sz w:val="17"/>
          <w:szCs w:val="17"/>
          <w:color w:val="auto"/>
        </w:rPr>
        <w:t>” means, at any time, in respect of any Swap Obligation, each Guarantor that at the time the relevant guarantee or grant of the relevant security interest becomes effective with respect to such Swap Obligation has total assets exceeding $10,000,000 or such other amount specified under applicable law (including, without limitation, the Commodity Exchange Act) or that qualifies at such time as an “eligible contract participant” under the Commodity Exchange Act or any regulations promulgated thereunder and can cause another person to qualify as an “eligible contract participant” at such time by entering into a keepwell under §1a(18)(A)(v)(II) of the Commodity Exchange Act.</w:t>
      </w:r>
    </w:p>
    <w:p>
      <w:pPr>
        <w:spacing w:after="0" w:line="17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Rate Determination Date</w:t>
      </w:r>
      <w:r>
        <w:rPr>
          <w:rFonts w:ascii="Arial" w:cs="Arial" w:eastAsia="Arial" w:hAnsi="Arial"/>
          <w:sz w:val="17"/>
          <w:szCs w:val="17"/>
          <w:color w:val="auto"/>
        </w:rPr>
        <w:t>” means (i) in the case of any Loans based on the CDOR Rate, on the first day of such Interest Period and (ii) in all other cases, two (2) Business Days prior to the commencement of such Interest Period (or, in each case, such other day as is generally treated as the rate fixing day by market practice in such interbank market, as determined by the Administrative Agent in its reasonable discretion).</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means the refinancing in full and the termination of all the then outstanding obligations under the Existing Credit Agreement simultaneously with the execution of the Original Credit Agreement on October 15, 2010.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341" w:right="359" w:bottom="1440" w:gutter="0" w:footer="0" w:header="0"/>
        </w:sectPr>
      </w:pPr>
    </w:p>
    <w:bookmarkStart w:id="106" w:name="page107"/>
    <w:bookmarkEnd w:id="106"/>
    <w:p>
      <w:pPr>
        <w:ind w:right="7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Person, such Person’s Affiliates, successors and assigns and the partners, directors, officers, employees, agents, attorneys, accountants, trustees, advisors and other representatives of such Person and of such Person’s Affiliates.</w:t>
      </w:r>
    </w:p>
    <w:p>
      <w:pPr>
        <w:spacing w:after="0" w:line="124"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Release</w:t>
      </w:r>
      <w:r>
        <w:rPr>
          <w:rFonts w:ascii="Arial" w:cs="Arial" w:eastAsia="Arial" w:hAnsi="Arial"/>
          <w:sz w:val="17"/>
          <w:szCs w:val="17"/>
          <w:color w:val="auto"/>
        </w:rPr>
        <w:t>” means any spilling, leaking, seepage, pumping, pouring, emitting, emptying, discharging, injecting, escaping, leaching, dumping, disposing, depositing, dispersing, emanating or migrating of any Hazardous Material in, into, onto or through the Environment.</w:t>
      </w:r>
    </w:p>
    <w:p>
      <w:pPr>
        <w:spacing w:after="0" w:line="14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Rent Expense</w:t>
      </w:r>
      <w:r>
        <w:rPr>
          <w:rFonts w:ascii="Arial" w:cs="Arial" w:eastAsia="Arial" w:hAnsi="Arial"/>
          <w:sz w:val="16"/>
          <w:szCs w:val="16"/>
          <w:color w:val="auto"/>
        </w:rPr>
        <w:t>” means the consolidated rent expense of the U.S. Borrower and its Restricted Subsidiaries, as determined in accordance with GAAP, it being understood that common area maintenance charges, any other contingent rent and any other non-rent charges (including property taxes and insurance obligations) shall be excluded from the calculation of Rent Expense. For purposes of this Agreement, Rent Expense shall be calculated on a Pro forma Basis to give effect to Specified Transactions (other than any Permitted Acquisitions involving the payment of Acquisition Consideration of less than $1,000,000) consummated at any time on or after the first day of the relevant Test Period and on or prior to the calculation date as if (i) each Permitted Acquisition had been effected on the first day of such period, (ii) each Investment that resulted in a Person becoming a Restricted Subsidiary or any designation of a Subsidiary as a Restricted Subsidiary had been effected on the first day of such period and (iii) each such Asset Sale and designation of a Subsidiary as an Unrestricted Subsidiary had been consummated on the day prior to the first day of such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of Revolving Loans, a Borrowing, (b) with respect to an L/C Credit Extension, a Letter of Credit Application and (c) with respect to a Swing Line Loan, a Swing Line Loan Notice.</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more than 50% of the sum of the (a) aggregate Outstanding Amount of all Loans and L/C Obligations (with the aggregate amount of each Lender’s risk participation and funded participation in L/C Obligations and Swing Line Loans being deemed “held” by such Lender for purposes of this definition) and (b) aggregate unused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Commitment of, and the portion of the total Outstanding Amount held or deemed held by, any Defaulting Lender shall be excluded for purposes of making a determination of Required Lenders.</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Multicurrency Facility Lenders</w:t>
      </w:r>
      <w:r>
        <w:rPr>
          <w:rFonts w:ascii="Arial" w:cs="Arial" w:eastAsia="Arial" w:hAnsi="Arial"/>
          <w:sz w:val="17"/>
          <w:szCs w:val="17"/>
          <w:color w:val="auto"/>
        </w:rPr>
        <w:t xml:space="preserve">” means, as of any date of determination, Multicurrency Facility Lenders having more than 50% of the sum of the (a) aggregate Outstanding Amount of all Multicurrency Facility Revolving Loans and Multicurrency Facility L/C Obligations (with the aggregate amount of each Multicurrency Facility Lender’s risk participation and funded participation in Multicurrency Facility L/C Obligations and Multicurrency Facility Swing Line Loans being deemed “held” by such Lender for purposes of this definition) and (b) aggregate unused Multicurrency Facility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unused Multicurrency Facility Commitment of, and the portion of the total Outstanding Amount of Multicurrency Facility Revolving Loans, Multicurrency Facility L/C Obligations and Multicurrency Facility Swing Line Loans held or deemed held by, any Defaulting Lender shall be excluded for purposes of making a determination of Required Multicurrency Facility Lenders.</w:t>
      </w:r>
    </w:p>
    <w:p>
      <w:pPr>
        <w:spacing w:after="0" w:line="177" w:lineRule="exact"/>
        <w:rPr>
          <w:sz w:val="20"/>
          <w:szCs w:val="20"/>
          <w:color w:val="auto"/>
        </w:rPr>
      </w:pPr>
    </w:p>
    <w:p>
      <w:pPr>
        <w:ind w:right="3440" w:firstLine="648"/>
        <w:spacing w:after="0" w:line="277" w:lineRule="auto"/>
        <w:rPr>
          <w:sz w:val="20"/>
          <w:szCs w:val="20"/>
          <w:color w:val="auto"/>
        </w:rPr>
      </w:pPr>
      <w:r>
        <w:rPr>
          <w:rFonts w:ascii="Arial" w:cs="Arial" w:eastAsia="Arial" w:hAnsi="Arial"/>
          <w:sz w:val="18"/>
          <w:szCs w:val="18"/>
          <w:u w:val="single" w:color="auto"/>
          <w:color w:val="auto"/>
        </w:rPr>
        <w:t>*“Resolution Authority” means an EEA Resolution Authority or, with respect to any UK Financial Institution, a UK Resolution Authority.*</w:t>
      </w:r>
    </w:p>
    <w:p>
      <w:pPr>
        <w:spacing w:after="0" w:line="170"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Response</w:t>
      </w:r>
      <w:r>
        <w:rPr>
          <w:rFonts w:ascii="Arial" w:cs="Arial" w:eastAsia="Arial" w:hAnsi="Arial"/>
          <w:sz w:val="18"/>
          <w:szCs w:val="18"/>
          <w:color w:val="auto"/>
        </w:rPr>
        <w:t>” means (a) “response” as such term is defined in CERCLA, 42 U.S.C. § 9601(24), and (b) all other actions required by any Governmental Authority or voluntarily undertaken to (i) clean up, remove, treat, abate or in any other way address any Hazardous Material in the environment; (ii) prevent the Release or threat of Release, or minimize the further Release, of any Hazardous Material; or (iii) perform studies and investigations in connection with, or as a precondition to, clause (i) or (ii) above.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773" w:right="359" w:bottom="1440" w:gutter="0" w:footer="0" w:header="0"/>
        </w:sectPr>
      </w:pPr>
    </w:p>
    <w:bookmarkStart w:id="107" w:name="page108"/>
    <w:bookmarkEnd w:id="10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chief financial officer, treasurer or assistant treasurer of a Loan Party.</w:t>
      </w:r>
    </w:p>
    <w:p>
      <w:pPr>
        <w:spacing w:after="0" w:line="23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 any dividend or other distribution, direct or indirect, on account of any shares of any class of Equity Interests of the U.S. Borrower or any of its Restricted Subsidiaries now or hereafter outstanding, except a dividend payable solely in shares of that class of Equity Interests to the holders of that class; (b) any redemption, retirement, sinking fund or similar payment, purchase or other acquisition for value, direct or indirect, of any shares of any class of Equity Interests of the U.S. Borrower now or hereafter outstanding; and (c) any payment made to retire, or to obtain the surrender of, any outstanding warrants, options or other rights to acquire shares of any class of Equity Interests of the U.S. Borrower now or hereafter outstanding, except, in the case of the foregoing clauses (a), (b) or (c), a dividend or distribution payable or other payment made solely in (i) shares in any other class of Equity Interests not constituting Disqualified Capital Stock, with terms that are not materially more favorable, taken as a whole and in the good faith determination of the U.S. Borrower, than the Equity Interests with respect to which such dividend, distribution or other payment was made and (ii) shares of any class of common Equity Interests.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*“Restricted Period” means the period from and including the Amendment No. 2 Effective Date until the</w:t>
      </w:r>
    </w:p>
    <w:p>
      <w:pPr>
        <w:spacing w:after="0" w:line="23"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u w:val="single" w:color="auto"/>
          <w:color w:val="auto"/>
        </w:rPr>
        <w:t>delivery by the U.S. Borrower of financial statements and the related Compliance Certificate in respect of the third fiscal quarter of fiscal year 2021 pursuant to Sections 6.01(b) and 6.02(b), respectively.*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U.S. Borrower other than an Unrestricted Subsidiary.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xml:space="preserve">” means (a) with respect to any Multicurrency Facility Revolving Loan, each of the following: (i) each date of a Borrowing of a Eurodollar Rate Revolving Loan or Canadian Prime Rate Loan denominated in Canadian Dollars, a Eurodollar Rate Revolving Loan or Overnight LIBO Rate Loan denominated in Euros or Pounds Sterling or a Eurodollar Rate Revolving Loan denominated in an Alternative Currency, (ii) each date of a continuation or conversion of a Eurodollar Rate Revolving Loan or Canadian Prime Rate Loan denominated in Canadian Dollars, a Eurodollar Rate Revolving Loan or Overnight LIBO Rate Loan denominated in Euros or Pounds Sterling or a Eurodollar Rate Revolving Loan denominated in an Alternative Currency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and (iii) such additional dates as the applicable Facility Agent shall determine or the Required Multicurrency Facility Lenders shall require; (b) with respect to any Multicurrency Facility Letter of Credit, each of the following: (i) each date of issuance of a Multicurrency Facility Letter of Credit denominated in Canadian Dollars, Euros, Pounds Sterling or an Alternative Currency, (ii) each date of an amendment of any such Multicurrency Facility Letter of Credit having the effect of increasing the amount thereof (solely with respect to the increased amount), (iii) each date of any payment by the applicable Multicurrency Facility L/C Issuer under any Multicurrency Facility Letter of Credit denominated in Canadian Dollars, Euros, Pounds Sterling or an Alternative Currency, and (iv) such additional dates as the applicable Facility Agent or the applicable Multicurrency Facility L/C Issuer shall determine or the Required Multicurrency Facility Lenders shall require; and (c) with respect to any Multicurrency Facility Swing Line Loan, each of the following: (i) each date of a Borrowing of a Multicurrency Facility Swing Line Loan denominated in Canadian Dollars, Euros, Pounds Sterling or an Alternative Currency and (ii) such additional dates as the Administrative Agent or the Multicurrency Facility Swing Line Lender shall determine.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U.S. Dollar Facility Revolving Loan or a Multicurrency Facility Revolving Loan, as applicable.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Borrowing</w:t>
      </w:r>
      <w:r>
        <w:rPr>
          <w:rFonts w:ascii="Arial" w:cs="Arial" w:eastAsia="Arial" w:hAnsi="Arial"/>
          <w:sz w:val="18"/>
          <w:szCs w:val="18"/>
          <w:color w:val="auto"/>
        </w:rPr>
        <w:t>” means a U.S. Dollar Facility Revolving Loan Borrowing or a Multicurrency Facility Revolving Loan Borrowing, as applicable.</w:t>
      </w:r>
    </w:p>
    <w:p>
      <w:pPr>
        <w:spacing w:after="0" w:line="170" w:lineRule="exact"/>
        <w:rPr>
          <w:sz w:val="20"/>
          <w:szCs w:val="20"/>
          <w:color w:val="auto"/>
        </w:rPr>
      </w:pPr>
    </w:p>
    <w:p>
      <w:pPr>
        <w:ind w:right="3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Note</w:t>
      </w:r>
      <w:r>
        <w:rPr>
          <w:rFonts w:ascii="Arial" w:cs="Arial" w:eastAsia="Arial" w:hAnsi="Arial"/>
          <w:sz w:val="18"/>
          <w:szCs w:val="18"/>
          <w:color w:val="auto"/>
        </w:rPr>
        <w:t>” means a U.S. Dollar Facility Revolving Loan Note or a Multicurrency Facility Revolving Loan Note,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and any successor thereto.</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773" w:right="37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Canadian Dollars, Euros or Pounds Sterling, immediately available funds, and (b) with respect to disbursements and payments in an Alternative Currency, same day or other funds as may be determined by the applicable Facility Agent or the applicable Multicurrency Facility L/C Issuer,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the federal government of Canada or other sanctions authority.</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Crimea, Cuba, Iran, North Korea and Syria).</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the federal government of Canada or any similarly designated Person under other applicable Laws, including any “designated person”, “politically exposed foreign person” or “terrorist groups” under the Canadian Economic Sanctions and Export Control Laws and the regulations thereunder, (b) any Person operating, organized or resident in a Sanctioned Country or (c) any Person owned or controlled by any such Person or Persons described in the foregoing clauses (a) or (b).</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Amended and Restated Credit Agreement</w:t>
      </w:r>
      <w:r>
        <w:rPr>
          <w:rFonts w:ascii="Arial" w:cs="Arial" w:eastAsia="Arial" w:hAnsi="Arial"/>
          <w:sz w:val="18"/>
          <w:szCs w:val="18"/>
          <w:color w:val="auto"/>
        </w:rPr>
        <w:t>” has the meaning assigned to such term in the recitals hereto.</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u w:val="single" w:color="auto"/>
          <w:color w:val="auto"/>
        </w:rPr>
        <w:t>*“Second Amendment Transaction Costs” means the fees, costs and expenses payable by Holdings, the U.S. Borrower or any of their Subsidiaries in connection with the Second Amendment Transactions.*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u w:val="single" w:color="auto"/>
          <w:color w:val="auto"/>
        </w:rPr>
        <w:t>*“Second Amendment Transactions” means, collectively, Amendment No. 2 and the payment of the fees and expenses incurred in connection with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“Second Restatement Date</w:t>
      </w:r>
      <w:r>
        <w:rPr>
          <w:rFonts w:ascii="Arial" w:cs="Arial" w:eastAsia="Arial" w:hAnsi="Arial"/>
          <w:sz w:val="18"/>
          <w:szCs w:val="18"/>
          <w:color w:val="auto"/>
        </w:rPr>
        <w:t>” has the meaning assigned to such term in the recitals hereto.</w:t>
      </w:r>
    </w:p>
    <w:p>
      <w:pPr>
        <w:spacing w:after="0" w:line="225"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Obligations</w:t>
      </w:r>
      <w:r>
        <w:rPr>
          <w:rFonts w:ascii="Arial" w:cs="Arial" w:eastAsia="Arial" w:hAnsi="Arial"/>
          <w:sz w:val="16"/>
          <w:szCs w:val="16"/>
          <w:color w:val="auto"/>
        </w:rPr>
        <w:t>” means (a) the Obligations, (b) the due and punctual payment and performance of all obligations of the U.S. Borrower and the other Loan Parties under each Swap Contract permitted to be incurred pursuant to Section 7.03(n) entered into with any counterparty that is a Secured Party; provided that the Secured Obligations shall exclude any Excluded Swap Obligations and (c) the due and punctual payment and performance of all obligations in respect of any Treasury Management Agreement between any Loan Party and any Person that is a Secured Party.</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(a) the Administrative Agent, (b) the Collateral Agent, (c) each other Agent, (d) the Lenders, (e) the L/C Issuers, (f) the Swing Line Lenders, (g) each Hedge Bank and Treasury Management Bank and (h) solely with respect to Secured Obligations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10.04(b)</w:t>
      </w:r>
      <w:r>
        <w:rPr>
          <w:rFonts w:ascii="Arial" w:cs="Arial" w:eastAsia="Arial" w:hAnsi="Arial"/>
          <w:sz w:val="18"/>
          <w:szCs w:val="18"/>
          <w:color w:val="auto"/>
        </w:rPr>
        <w:t>, the other Indemnitees.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Collateral</w:t>
      </w:r>
      <w:r>
        <w:rPr>
          <w:rFonts w:ascii="Arial" w:cs="Arial" w:eastAsia="Arial" w:hAnsi="Arial"/>
          <w:sz w:val="18"/>
          <w:szCs w:val="18"/>
          <w:color w:val="auto"/>
        </w:rPr>
        <w:t>” has the meanings assigned to such term in the Security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773" w:right="339" w:bottom="1440" w:gutter="0" w:footer="0" w:header="0"/>
        </w:sectPr>
      </w:pPr>
    </w:p>
    <w:bookmarkStart w:id="109" w:name="page110"/>
    <w:bookmarkEnd w:id="109"/>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xml:space="preserve">” means a security agreement,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attached to the Third Amended and Restated Credit Agreement, among the Loan Parties (other than the Canadian Borrower and the Dutch Borrower) and the Collateral Agent for the benefit of the Secured Parties, as amended by that certain First Amendment to Security Agreement, dated as of the Fourth Amendment Restatement Date, by and among the Loan Parties (other than the Canadian Borrower and the Dutch Borrower) and the Collateral Agent.</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Collateral</w:t>
      </w:r>
      <w:r>
        <w:rPr>
          <w:rFonts w:ascii="Arial" w:cs="Arial" w:eastAsia="Arial" w:hAnsi="Arial"/>
          <w:sz w:val="18"/>
          <w:szCs w:val="18"/>
          <w:color w:val="auto"/>
        </w:rPr>
        <w:t xml:space="preserve">” means all property pledged or granted as collateral pursuant to the Security Agreement (a) on the Closing Date or (b) thereafter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the Security Agreement, the Mortgages, and each other security agreement, pledge agreement or other document or agreement delivered in accordance with applicable law to grant, or purport to grant, a security interest in any property as collateral for the Secured Obligations.</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has the meaning assigned to such term in Rule 1.02(w) of Regulation S-X under the Securities Act as in effect on the Closing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Skip Hop Acquisition</w:t>
      </w:r>
      <w:r>
        <w:rPr>
          <w:rFonts w:ascii="Arial" w:cs="Arial" w:eastAsia="Arial" w:hAnsi="Arial"/>
          <w:sz w:val="16"/>
          <w:szCs w:val="16"/>
          <w:color w:val="auto"/>
        </w:rPr>
        <w:t>” means the acquisition of Skip Hop Holdings, Inc., a Delaware corporation, by the U.S. Borrower, on February 22, 2017.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10.06(h)</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*“Specified Test Period” means each Test Period that ends after March 28, 2020 and prior to the last day of the first fiscal quarter of 2021.*</w:t>
      </w:r>
    </w:p>
    <w:p>
      <w:pPr>
        <w:spacing w:after="0" w:line="2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Investment that results in a Person becoming a Restricted Subsidiary, any designation of a Subsidiary as a Restricted Subsidiary or an Unrestricted Subsidiary, any Permitted Acquisition or any Asset Sale that results in a Restricted Subsidiary ceasing to be a Subsidiary of the Borrower or any Asset Sale with respect to a business unit, line of business or division of the Borrower or a Restricted Subsidiary, in each case whether by merger, consolidation, amalgamation or otherwise. For the avoidance of doubt, each of the Skip Hop Acquisition and the Mexico Acquisition shall be deemed a Specified Transaction hereunder.</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applicable Facility Agent or the applicable Multicurrency Facility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Facility Agent or the applicable Multicurrency Facility L/C Issuer, as applicable, may obtain such spot rate from another financial institution designated by the applicable Facility Agent or the applicable Multicurrency Facility L/C Issuer, as applicable, if the Person acting in such capacity does not have as of the date of determination a spot buying rate for any such currency; and provided further that such Multicurrency Facility L/C Issuer may use such spot rate quoted on the date as of which the foreign exchange computation is made in the case of any Multicurrency Facility Letter of Credit denominated in Canadian Dollars, Euros or Pounds Sterling; and provided further that a Multicurrency Facility L/C Issuer may use such spot rate quoted on the date as of which the foreign exchange computation is made in the case of any Letter of Credit denominated in an Alternative Currency.</w:t>
      </w:r>
    </w:p>
    <w:p>
      <w:pPr>
        <w:spacing w:after="0" w:line="18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Indebtedness of the U.S. Borrower or any other Loan Party (other than the Canadian Borrower and the Dutch Borrower) that is by its terms subordinated in right of payment to the Obligations of the U.S. Borrower and such other Loan Party (other than the Canadian Borrower and the Dutch Borrower), as applicable.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773" w:right="359" w:bottom="1440" w:gutter="0" w:footer="0" w:header="0"/>
        </w:sectPr>
      </w:pPr>
    </w:p>
    <w:bookmarkStart w:id="110" w:name="page111"/>
    <w:bookmarkEnd w:id="110"/>
    <w:p>
      <w:pPr>
        <w:ind w:right="2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other than any Affiliated Charitable Organization. Unless the context otherwise requires, all references herein to a “Subsidiary” or to “Subsidiaries” shall refer to a Subsidiary or Subsidiaries of the U.S. Borrower.</w:t>
      </w:r>
    </w:p>
    <w:p>
      <w:pPr>
        <w:spacing w:after="0" w:line="161"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xml:space="preserve">” means, collectively (x) each Restricted Subsidiary of U.S. Borrower that is, as of the Closing Date, a signatory to a Guarantee, and (y) each Restricted Subsidiary of U.S. Borrower that executes a joinder to the Guarantee pursuant to clause (ii) of the second paragraph of </w:t>
      </w:r>
      <w:r>
        <w:rPr>
          <w:rFonts w:ascii="Arial" w:cs="Arial" w:eastAsia="Arial" w:hAnsi="Arial"/>
          <w:sz w:val="17"/>
          <w:szCs w:val="17"/>
          <w:u w:val="single" w:color="auto"/>
          <w:color w:val="auto"/>
        </w:rPr>
        <w:t>Section 6.13(a)</w:t>
      </w:r>
      <w:r>
        <w:rPr>
          <w:rFonts w:ascii="Arial" w:cs="Arial" w:eastAsia="Arial" w:hAnsi="Arial"/>
          <w:sz w:val="17"/>
          <w:szCs w:val="17"/>
          <w:color w:val="auto"/>
        </w:rPr>
        <w:t xml:space="preserve">, other than, in each case, any Restricted Subsidiary that is released from the Guarantee pursuant to </w:t>
      </w:r>
      <w:r>
        <w:rPr>
          <w:rFonts w:ascii="Arial" w:cs="Arial" w:eastAsia="Arial" w:hAnsi="Arial"/>
          <w:sz w:val="17"/>
          <w:szCs w:val="17"/>
          <w:u w:val="single" w:color="auto"/>
          <w:color w:val="auto"/>
        </w:rPr>
        <w:t>Section 9.10(c)</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in no event shall the Canadian Borrower or the Dutch Borrower, or, in any case, of any other Foreign Subsidiary guaranty any Obligations, interest or fees thereon, or any indemnification or reimbursement obligations of U.S. Loan Parties.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Company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*“Supported QFC” has the meaning assigned to such term in Section 9.18.*</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u w:val="single" w:color="auto"/>
          <w:color w:val="auto"/>
        </w:rPr>
        <w:t>“Survey</w:t>
      </w:r>
      <w:r>
        <w:rPr>
          <w:rFonts w:ascii="Arial" w:cs="Arial" w:eastAsia="Arial" w:hAnsi="Arial"/>
          <w:sz w:val="17"/>
          <w:szCs w:val="17"/>
          <w:color w:val="auto"/>
        </w:rPr>
        <w:t>” means a survey of any Mortgaged Property (and all improvements thereon) which is (a) (i) prepared by a surveyor or engineer licensed to perform surveys in the jurisdiction where such Mortgaged Property is located, (ii) dated (or redated) not earlier than one year prior to the date of delivery thereof unless there shall have occurred within one year prior to such date of delivery any exterior construction on the site of such Mortgaged Property or any easement, or right of way or other interest in the Mortgaged Property has been granted or become effective through operation of law or otherwise with respect to such Mortgaged Property which, in either case, can be depicted on a survey, in which events, as applicable, such survey shall be dated (or redated) after the completion of such construction or if such construction shall not have been completed as of such date of delivery, not earlier than 20 days prior to such date of delivery, or after the grant or effectiveness of any such easement, right of way or other interest in the Mortgaged Property, (iii) certified by the surveyor (in a manner reasonably acceptable to the</w:t>
      </w:r>
    </w:p>
    <w:p>
      <w:pPr>
        <w:spacing w:after="0" w:line="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Administrative Agent) to the Administrative Agent, the Collateral Agent and the Title Company, (iv) complying in all material respects with the minimum detail requirements of the American Land Title Association as such requirements are in effect on the date of preparation of such survey and (v) sufficient for the Title Company to remove all standard survey exceptions from the title insurance policy (or commitment) relating to such Mortgaged Property and issue the endorsements of the type required under the definition of “Title Policy” hereunder or (b) otherwise reasonably acceptable to the Collateral Agent.</w:t>
      </w:r>
    </w:p>
    <w:p>
      <w:pPr>
        <w:spacing w:after="0" w:line="16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 (any such master agreement, together with any related schedules, a “Master Agreement”), including any such obligations or liabilities under any Master Agreement.</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773" w:right="339" w:bottom="1440" w:gutter="0" w:footer="0" w:header="0"/>
        </w:sectPr>
      </w:pPr>
    </w:p>
    <w:bookmarkStart w:id="111" w:name="page112"/>
    <w:bookmarkEnd w:id="111"/>
    <w:p>
      <w:pPr>
        <w:ind w:right="4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w:t>
      </w:r>
      <w:r>
        <w:rPr>
          <w:rFonts w:ascii="Arial" w:cs="Arial" w:eastAsia="Arial" w:hAnsi="Arial"/>
          <w:sz w:val="18"/>
          <w:szCs w:val="18"/>
          <w:color w:val="auto"/>
        </w:rPr>
        <w:t>” means U.S. Dollar Facility Swing Line or the Multicurrency Facility Swing Line.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Borrowing</w:t>
      </w:r>
      <w:r>
        <w:rPr>
          <w:rFonts w:ascii="Arial" w:cs="Arial" w:eastAsia="Arial" w:hAnsi="Arial"/>
          <w:sz w:val="17"/>
          <w:szCs w:val="17"/>
          <w:color w:val="auto"/>
        </w:rPr>
        <w:t>” means a U.S. Dollar Facility Swing Line Borrowing or a Multicurrency Facility Swing Line Borrowing, as applicable.</w:t>
      </w:r>
    </w:p>
    <w:p>
      <w:pPr>
        <w:spacing w:after="0" w:line="23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the U.S. Dollar Facility Swing Line Lender or the Multicurrency Facility Swing Line Lender, as applicable. Unless otherwise indicated, references to “the Swing Line Lender” shall be deemed to be a reference to each applicable Swing Line Lender.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means a U.S. Dollar Facility Swing Line Loan or a Multicurrency Facility Swing Line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Note</w:t>
      </w:r>
      <w:r>
        <w:rPr>
          <w:rFonts w:ascii="Arial" w:cs="Arial" w:eastAsia="Arial" w:hAnsi="Arial"/>
          <w:sz w:val="18"/>
          <w:szCs w:val="18"/>
          <w:color w:val="auto"/>
        </w:rPr>
        <w:t>” means a U.S. Dollar Facility Swing Line Loan Note or a Multicurrency Facility Swing Line Loan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means a U.S. Dollar Facility Swing Line Loan Notice or a Multicurrency Facility Swing Line Loan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Agents</w:t>
      </w:r>
      <w:r>
        <w:rPr>
          <w:rFonts w:ascii="Arial" w:cs="Arial" w:eastAsia="Arial" w:hAnsi="Arial"/>
          <w:sz w:val="18"/>
          <w:szCs w:val="18"/>
          <w:color w:val="auto"/>
        </w:rPr>
        <w:t>” has the meaning assigned to such term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all returns, statements, filings, attachments and other documents or certifications filed or required to be filed in respect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Status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3.01(e)(iii)</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assessments, fees or other charges imposed by any Governmental Authority, including any interest, additions to tax or penalties applicable thereto.</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 Period</w:t>
      </w:r>
      <w:r>
        <w:rPr>
          <w:rFonts w:ascii="Arial" w:cs="Arial" w:eastAsia="Arial" w:hAnsi="Arial"/>
          <w:sz w:val="16"/>
          <w:szCs w:val="16"/>
          <w:color w:val="auto"/>
        </w:rPr>
        <w:t xml:space="preserve">” means, at any time, the four consecutive fiscal quarters of the U.S. Borrower (taken as one accounting period) (x) in the case of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then last ended and (y) otherwise, for which financial statements have been or are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Amended and Restated Credit Agreement</w:t>
      </w:r>
      <w:r>
        <w:rPr>
          <w:rFonts w:ascii="Arial" w:cs="Arial" w:eastAsia="Arial" w:hAnsi="Arial"/>
          <w:sz w:val="18"/>
          <w:szCs w:val="18"/>
          <w:color w:val="auto"/>
        </w:rPr>
        <w:t>” has the meaning assigned to such term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Restatement Date</w:t>
      </w:r>
      <w:r>
        <w:rPr>
          <w:rFonts w:ascii="Arial" w:cs="Arial" w:eastAsia="Arial" w:hAnsi="Arial"/>
          <w:sz w:val="18"/>
          <w:szCs w:val="18"/>
          <w:color w:val="auto"/>
        </w:rPr>
        <w:t>” has the meaning assigned to such term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an amount not to exceed $65,000,000.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Title Company</w:t>
      </w:r>
      <w:r>
        <w:rPr>
          <w:rFonts w:ascii="Arial" w:cs="Arial" w:eastAsia="Arial" w:hAnsi="Arial"/>
          <w:sz w:val="16"/>
          <w:szCs w:val="16"/>
          <w:color w:val="auto"/>
        </w:rPr>
        <w:t>” means any title insurance company as shall be retained by the U.S. Borrower and reasonably acceptable to the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Title Policy</w:t>
      </w:r>
      <w:r>
        <w:rPr>
          <w:rFonts w:ascii="Arial" w:cs="Arial" w:eastAsia="Arial" w:hAnsi="Arial"/>
          <w:sz w:val="16"/>
          <w:szCs w:val="16"/>
          <w:color w:val="auto"/>
        </w:rPr>
        <w:t>” means a policy of title insurance (or commitment to issue such a policy having the effect of a policy of title insurance) issued by the Title Company insuring (or committing to insure) the Lien of such Mortgage as a valid and enforceable first priority mortgage Lien on the Mortgaged Property described therein, in an amount equal to the fair market value of such Mortgaged Property as reasonably determined, in good faith, by the U.S.</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320" w:top="773" w:right="399" w:bottom="1440" w:gutter="0" w:footer="0" w:header="0"/>
        </w:sectPr>
      </w:pPr>
    </w:p>
    <w:bookmarkStart w:id="112" w:name="page113"/>
    <w:bookmarkEnd w:id="112"/>
    <w:p>
      <w:pPr>
        <w:ind w:right="40"/>
        <w:spacing w:after="0" w:line="269" w:lineRule="auto"/>
        <w:rPr>
          <w:sz w:val="20"/>
          <w:szCs w:val="20"/>
          <w:color w:val="auto"/>
        </w:rPr>
      </w:pPr>
      <w:r>
        <w:rPr>
          <w:rFonts w:ascii="Arial" w:cs="Arial" w:eastAsia="Arial" w:hAnsi="Arial"/>
          <w:sz w:val="17"/>
          <w:szCs w:val="17"/>
          <w:color w:val="auto"/>
        </w:rPr>
        <w:t>Borrower and reasonably acceptable to the Administrative Agent to the extent permitted by the laws of the local jurisdiction and in compliance with the Title Company’s underwriting policies, which reasonably assures the Administrative Agent that the Mortgage on such Mortgaged Property is a valid and enforceable mortgage Lien on the subject Mortgaged Property, free and clear of all Liens except for Permitted Liens and such Title Policy shall otherwise be in form and substance reasonably satisfactory to the Administrative Agent and shall include, as appropriate, to the extent available at commercially reasonably rates, a “tie-in” or “cluster” endorsement, if available under applicable law (i.e., policies which insure against losses regardless of location or allocated value of the insured property up to a stated maximum coverage amount), and have been supplemented by such endorsements as shall be reasonably requested by the Administrative Agent, including endorsements on matters relating to usury, first loss, last dollar, zoning, contiguity, revolving credit, doing business, non-imputation, public road access, survey, variable rate, environmental lien, subdivision, separate tax lot revolving credit, so-called comprehensive coverage over covenants and restrictions and for any and all other matters that the Administrative Agent may reasonably request, in each case, if available in the appropriate jurisdiction at commercially reasonable rates.</w:t>
      </w:r>
    </w:p>
    <w:p>
      <w:pPr>
        <w:spacing w:after="0" w:line="185" w:lineRule="exact"/>
        <w:rPr>
          <w:sz w:val="20"/>
          <w:szCs w:val="20"/>
          <w:color w:val="auto"/>
        </w:rPr>
      </w:pPr>
    </w:p>
    <w:p>
      <w:pPr>
        <w:jc w:val="both"/>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means, collectively, (a) the Refinancing, (b) the initial funding of the Loans and the effectiveness of the Loan Documents and (c) the payment of the fees and expenses incurred in connection with any of the foregoing.</w:t>
      </w:r>
    </w:p>
    <w:p>
      <w:pPr>
        <w:spacing w:after="0" w:line="170"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Management Agreement</w:t>
      </w:r>
      <w:r>
        <w:rPr>
          <w:rFonts w:ascii="Arial" w:cs="Arial" w:eastAsia="Arial" w:hAnsi="Arial"/>
          <w:sz w:val="17"/>
          <w:szCs w:val="17"/>
          <w:color w:val="auto"/>
        </w:rPr>
        <w:t>” means any agreement governing the provision of treasury or cash management services, including netting services, deposit accounts, debit, purchase or credit cards, funds transfer, automated clearinghouse, zero balance accounts, returned check concentration, controlled disbursement, lockbox, cash pooling, account reconciliation and reporting and trade finance services.</w:t>
      </w:r>
    </w:p>
    <w:p>
      <w:pPr>
        <w:spacing w:after="0" w:line="16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Management Bank</w:t>
      </w:r>
      <w:r>
        <w:rPr>
          <w:rFonts w:ascii="Arial" w:cs="Arial" w:eastAsia="Arial" w:hAnsi="Arial"/>
          <w:sz w:val="18"/>
          <w:szCs w:val="18"/>
          <w:color w:val="auto"/>
        </w:rPr>
        <w:t xml:space="preserve">” means each counterparty to a Treasury Management Agreement with the U.S. Borrower, the Canadian Borrower, the Dutch Borrower or any Subsidiary Guarantor if at the date of entering into such Treasury Management Agreement such Person was a Lender or Affiliate of a Lender and such Person executes and delivers to the Administrative Agent a letter agreement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pursuant to which such Person (x) appoints the Collateral Agent as its agent under the applicable Loan Documents and (y) agrees to be bound by the provisions of </w:t>
      </w:r>
      <w:r>
        <w:rPr>
          <w:rFonts w:ascii="Arial" w:cs="Arial" w:eastAsia="Arial" w:hAnsi="Arial"/>
          <w:sz w:val="18"/>
          <w:szCs w:val="18"/>
          <w:u w:val="single" w:color="auto"/>
          <w:color w:val="auto"/>
        </w:rPr>
        <w:t>Sections 10.04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10.14</w:t>
      </w:r>
      <w:r>
        <w:rPr>
          <w:rFonts w:ascii="Arial" w:cs="Arial" w:eastAsia="Arial" w:hAnsi="Arial"/>
          <w:sz w:val="18"/>
          <w:szCs w:val="18"/>
          <w:color w:val="auto"/>
        </w:rPr>
        <w:t>. For the avoidance of doubt, Persons that were Treasury Management Banks under the Third Amended and Restated Credit Agreement immediately prior to the effectiveness of this Agreement shall not cease to be Treasury Management Banks solely by virtue of the effectiveness of this Agreement.</w:t>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Revolving Loan, its character as a Base Rate Loan, a Canadian U.S. Base Rate Loan, a Canadian Prime Rate Loan, an Overnight LIBO Rate Loan or a Eurodollar Rate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means the Uniform Commercial Code as in effect from time to time (except as otherwise specified) in any applicable state or jurisdiction.</w:t>
      </w:r>
    </w:p>
    <w:p>
      <w:pPr>
        <w:spacing w:after="0" w:line="24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u w:val="single" w:color="auto"/>
          <w:color w:val="auto"/>
        </w:rPr>
        <w:t>*“UK Financial Institution”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u w:val="single" w:color="auto"/>
          <w:color w:val="auto"/>
        </w:rPr>
        <w:t>*“UK Resolution Authority” means the Bank of England or any other public administrative authority having responsibility for the resolution of any UK Financial Institution.*</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u w:val="single" w:color="auto"/>
          <w:color w:val="auto"/>
        </w:rPr>
        <w:t>“Uniform Customs</w:t>
      </w:r>
      <w:r>
        <w:rPr>
          <w:rFonts w:ascii="Arial" w:cs="Arial" w:eastAsia="Arial" w:hAnsi="Arial"/>
          <w:sz w:val="16"/>
          <w:szCs w:val="16"/>
          <w:color w:val="auto"/>
        </w:rPr>
        <w:t>” or “</w:t>
      </w:r>
      <w:r>
        <w:rPr>
          <w:rFonts w:ascii="Arial" w:cs="Arial" w:eastAsia="Arial" w:hAnsi="Arial"/>
          <w:sz w:val="16"/>
          <w:szCs w:val="16"/>
          <w:u w:val="single" w:color="auto"/>
          <w:color w:val="auto"/>
        </w:rPr>
        <w:t>UCP</w:t>
      </w:r>
      <w:r>
        <w:rPr>
          <w:rFonts w:ascii="Arial" w:cs="Arial" w:eastAsia="Arial" w:hAnsi="Arial"/>
          <w:sz w:val="16"/>
          <w:szCs w:val="16"/>
          <w:color w:val="auto"/>
        </w:rPr>
        <w:t>” means, with respect to any Letter of Credit, the Uniform Customs and Practice for Documentary Credits (2007 Revision), International Chamber of Commerce Publication No. 600 (or such later version thereof as may be in effect at the time of issuance).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41" w:right="3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Unreimbursed Amount</w:t>
      </w:r>
      <w:r>
        <w:rPr>
          <w:rFonts w:ascii="Arial" w:cs="Arial" w:eastAsia="Arial" w:hAnsi="Arial"/>
          <w:sz w:val="16"/>
          <w:szCs w:val="16"/>
          <w:color w:val="auto"/>
        </w:rPr>
        <w:t>” means a U.S. Dollar Facility Unreimbursed Amount or a Multicurrency Facility Unreimbursed Amount, as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(a) any Subsidiary of the U.S. Borrower designated by the Board of</w:t>
      </w:r>
    </w:p>
    <w:p>
      <w:pPr>
        <w:spacing w:after="0" w:line="23" w:lineRule="exact"/>
        <w:rPr>
          <w:sz w:val="20"/>
          <w:szCs w:val="20"/>
          <w:color w:val="auto"/>
        </w:rPr>
      </w:pPr>
    </w:p>
    <w:p>
      <w:pPr>
        <w:jc w:val="both"/>
        <w:ind w:right="600"/>
        <w:spacing w:after="0" w:line="323" w:lineRule="auto"/>
        <w:rPr>
          <w:sz w:val="20"/>
          <w:szCs w:val="20"/>
          <w:color w:val="auto"/>
        </w:rPr>
      </w:pPr>
      <w:r>
        <w:rPr>
          <w:rFonts w:ascii="Arial" w:cs="Arial" w:eastAsia="Arial" w:hAnsi="Arial"/>
          <w:sz w:val="16"/>
          <w:szCs w:val="16"/>
          <w:color w:val="auto"/>
        </w:rPr>
        <w:t xml:space="preserve">Directors of the U.S. Borrower as an Unrestricted Subsidiary pursuant to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on or subsequent to the Fourth Restatement Date and (b) any Subsidiary of an Unrestricted Subsidiary. Neither the Canadian Borrower nor the Dutch Borrower may be designated as an Unrestricted Subsidiary.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w:t>
      </w:r>
      <w:r>
        <w:rPr>
          <w:rFonts w:ascii="Arial" w:cs="Arial" w:eastAsia="Arial" w:hAnsi="Arial"/>
          <w:sz w:val="18"/>
          <w:szCs w:val="18"/>
          <w:color w:val="auto"/>
        </w:rPr>
        <w:t>” has the meaning assigned to such term in the introductory paragraph hereto.</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Availability Period</w:t>
      </w:r>
      <w:r>
        <w:rPr>
          <w:rFonts w:ascii="Arial" w:cs="Arial" w:eastAsia="Arial" w:hAnsi="Arial"/>
          <w:sz w:val="18"/>
          <w:szCs w:val="18"/>
          <w:color w:val="auto"/>
        </w:rPr>
        <w:t xml:space="preserve">” means the period from and including the Closing Date to the earliest of (a) the fifth anniversary of the Fourth Restatement Date, (b) the date of termination of the Aggregate U.S. Dollar Facility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(b) the date of termination of the commitment of each U.S. Dollar Facility Lender (including each U.S. Dollar Facility Swing Line Lender) to make U.S. Dollar Facility Revolving Loans and U.S. Dollar Facility Swing Line Loans and of the obligation of the U.S. Dollar Facility L/C Issuer to make U.S. Dollar Facility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Commitment</w:t>
      </w:r>
      <w:r>
        <w:rPr>
          <w:rFonts w:ascii="Arial" w:cs="Arial" w:eastAsia="Arial" w:hAnsi="Arial"/>
          <w:sz w:val="18"/>
          <w:szCs w:val="18"/>
          <w:color w:val="auto"/>
        </w:rPr>
        <w:t xml:space="preserve">” means, as to each U.S. Dollar Facility Lender, its obligation to (a) make U.S. Dollar Facility Revolving Loans to the U.S. Borrower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(b) purchase participations in U.S. Dollar Facility L/C Obligations, and (c) purchase participations in U.S. Dollar Facility Swing Line Loans, in an aggregate principal amount at any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heading “U.S. Dollar Facility Commitment” or in the Assignment and Assumption pursuant to which such Lender becomes a party hereto, as applicable, as such amount may be adjusted from time to time in accordance with this Agreement. The aggregate U.S. Dollar Facility Commitments of all Lenders shall be $650,000,000 on the Fourth Restatement Date, as such amount may be adjusted from time to time in accordance with the terms of this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Commitment Increase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Dollar Facility L/C Advance</w:t>
      </w:r>
      <w:r>
        <w:rPr>
          <w:rFonts w:ascii="Arial" w:cs="Arial" w:eastAsia="Arial" w:hAnsi="Arial"/>
          <w:sz w:val="16"/>
          <w:szCs w:val="16"/>
          <w:color w:val="auto"/>
        </w:rPr>
        <w:t>” means, with respect to each U.S. Dollar Facility Lender, such Lender’s funding of its participation in any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Dollar Facility L/C Borrowing in accordance with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L/C Borrowing</w:t>
      </w:r>
      <w:r>
        <w:rPr>
          <w:rFonts w:ascii="Arial" w:cs="Arial" w:eastAsia="Arial" w:hAnsi="Arial"/>
          <w:sz w:val="18"/>
          <w:szCs w:val="18"/>
          <w:color w:val="auto"/>
        </w:rPr>
        <w:t>” means an extension of credit resulting from a drawing under any U.S. Dollar Facility Letter of Credit which has not been reimbursed on the date when made or refinanced as a U.S. Dollar Facility Revolving Loan Borrowing.</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L/C Credit Extension</w:t>
      </w:r>
      <w:r>
        <w:rPr>
          <w:rFonts w:ascii="Arial" w:cs="Arial" w:eastAsia="Arial" w:hAnsi="Arial"/>
          <w:sz w:val="18"/>
          <w:szCs w:val="18"/>
          <w:color w:val="auto"/>
        </w:rPr>
        <w:t>” means, with respect to any U.S. Dollar Facility Letter of Credit, the issuance thereof, extension of the expiry date thereof or the increase of the amount thereof.</w:t>
      </w:r>
    </w:p>
    <w:p>
      <w:pPr>
        <w:spacing w:after="0" w:line="170"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Dollar Facility L/C Issuer</w:t>
      </w:r>
      <w:r>
        <w:rPr>
          <w:rFonts w:ascii="Arial" w:cs="Arial" w:eastAsia="Arial" w:hAnsi="Arial"/>
          <w:sz w:val="17"/>
          <w:szCs w:val="17"/>
          <w:color w:val="auto"/>
        </w:rPr>
        <w:t>” means (a) JPMorgan Chase Bank, N.A., or any of its Affiliates or branches designated by it, and its permitted successors and assigns, as an issuer of U.S. Dollar Facility Letters of Credit hereunder, (b) Bank of America, N.A., or any of its Affiliates or branches designated by it, and its permitted successors and assigns, as an issuer of U.S. Dollar Facility Letters of Credit hereunder, and (c) any other U.S. Dollar Facility Lender approved by the Administrative Agent (such approval not to be unreasonably withheld) which agrees with the U.S. Borrower to act as an issuer of U.S. Dollar Facility Letters of Credit hereunder, in its capacity as a U.S. Dollar Facility L/C Issuer.</w:t>
      </w:r>
    </w:p>
    <w:p>
      <w:pPr>
        <w:spacing w:after="0" w:line="17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L/C Obligations</w:t>
      </w:r>
      <w:r>
        <w:rPr>
          <w:rFonts w:ascii="Arial" w:cs="Arial" w:eastAsia="Arial" w:hAnsi="Arial"/>
          <w:sz w:val="18"/>
          <w:szCs w:val="18"/>
          <w:color w:val="auto"/>
        </w:rPr>
        <w:t xml:space="preserve">” means, as at any date of determination, the aggregate amount available to be drawn under all outstanding U.S. Dollar Facility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U.S. Dollar Facility Unreimbursed Amounts, including all U.S. Dollar Facility L/C Borrowings. For purposes of computing the amount available to be drawn under any U.S. Dollar Facility Letter of Credit, the amount of such U.S. Dollar Facility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For all purposes of this Agreement, if on any date of determination a U.S. Dollar Facility Letter of Credit has expired by its terms but 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773" w:right="359" w:bottom="1440" w:gutter="0" w:footer="0" w:header="0"/>
        </w:sectPr>
      </w:pPr>
    </w:p>
    <w:bookmarkStart w:id="114" w:name="page115"/>
    <w:bookmarkEnd w:id="114"/>
    <w:p>
      <w:pPr>
        <w:ind w:right="200"/>
        <w:spacing w:after="0" w:line="277" w:lineRule="auto"/>
        <w:rPr>
          <w:sz w:val="20"/>
          <w:szCs w:val="20"/>
          <w:color w:val="auto"/>
        </w:rPr>
      </w:pPr>
      <w:r>
        <w:rPr>
          <w:rFonts w:ascii="Arial" w:cs="Arial" w:eastAsia="Arial" w:hAnsi="Arial"/>
          <w:sz w:val="18"/>
          <w:szCs w:val="18"/>
          <w:color w:val="auto"/>
        </w:rPr>
        <w:t>amount may still be drawn thereunder by reason of the operation of Rule 3.14 of the ISP, such U.S. Dollar Facility Letter of Credit shall be deemed to be “outstanding” in the amount so remaining available to be drawn.</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Lender</w:t>
      </w:r>
      <w:r>
        <w:rPr>
          <w:rFonts w:ascii="Arial" w:cs="Arial" w:eastAsia="Arial" w:hAnsi="Arial"/>
          <w:sz w:val="18"/>
          <w:szCs w:val="18"/>
          <w:color w:val="auto"/>
        </w:rPr>
        <w:t xml:space="preserve">” means each financial institution listed on the signature pages hereto as a Lender that has a U.S. Dollar Facility Commitment or holds U.S. Dollar Facility Revolving Loans, together with any Person that subsequently becomes a U.S. Dollar Facility Lender by way of assignment in accordance with the terms of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together with their respective successors, other than any Person that ceases to be a U.S. Dollar Facility Lender as a result of an assignment in accordance with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or an amendment of this Agreement and, as the context requires, includes the U.S. Dollar Facility L/C Issuer and the U.S. Dollar Facility Swing Line Lender.</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Letter of Credit</w:t>
      </w:r>
      <w:r>
        <w:rPr>
          <w:rFonts w:ascii="Arial" w:cs="Arial" w:eastAsia="Arial" w:hAnsi="Arial"/>
          <w:sz w:val="18"/>
          <w:szCs w:val="18"/>
          <w:color w:val="auto"/>
        </w:rPr>
        <w:t>” means any letter of credit issued hereunder (other than a Multicurrency Facility Letter of Credit) and shall include the Existing Letters of Credit. A U.S. Dollar Facility Letter of Credit may be a commercial letter of credit or a standby letter of credit and shall be denominated in Dollars. For the avoidance of doubt, a U.S. Dollar Facility Letter of Credit that is a commercial letter of credit shall not include a banker’s acceptance.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Letter of Credit Fee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Dollar Facility Letter of Credit Sublimit</w:t>
      </w:r>
      <w:r>
        <w:rPr>
          <w:rFonts w:ascii="Arial" w:cs="Arial" w:eastAsia="Arial" w:hAnsi="Arial"/>
          <w:sz w:val="17"/>
          <w:szCs w:val="17"/>
          <w:color w:val="auto"/>
        </w:rPr>
        <w:t>” means the lesser of (a) $100,000,000 and (b) the Aggregate U.S. Dollar Facility Commitments.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U.S. Dollar Facility Letter of Credit Sublimit is part of, and not in addition to, the Aggregate U.S. Dollar Facility Commitment.</w:t>
      </w:r>
    </w:p>
    <w:p>
      <w:pPr>
        <w:spacing w:after="0" w:line="21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Maturity Date</w:t>
      </w:r>
      <w:r>
        <w:rPr>
          <w:rFonts w:ascii="Arial" w:cs="Arial" w:eastAsia="Arial" w:hAnsi="Arial"/>
          <w:sz w:val="18"/>
          <w:szCs w:val="18"/>
          <w:color w:val="auto"/>
        </w:rPr>
        <w:t xml:space="preserve">” means the earlier of (i) the fifth anniversary of the Amendment No. 1 Effective Date and (ii) the date of termination in whole of the U.S. Dollar Facility Commitments, the U.S. Dollar Facility L/C Obligations, and the U.S. Dollar Facility Swing Line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Dollar Facility Revolving Loan” has the meaning assigned to such term in Section 2.01(a).</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Revolving Loan Borrowing</w:t>
      </w:r>
      <w:r>
        <w:rPr>
          <w:rFonts w:ascii="Arial" w:cs="Arial" w:eastAsia="Arial" w:hAnsi="Arial"/>
          <w:sz w:val="18"/>
          <w:szCs w:val="18"/>
          <w:color w:val="auto"/>
        </w:rPr>
        <w:t>” means a borrowing consisting of U.S. Dollar Facility Revolving Loans of the same Type, and, in the case of Eurodollar Rate Loans, having the same Interest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Dollar Facility Revolving Loan Note</w:t>
      </w:r>
      <w:r>
        <w:rPr>
          <w:rFonts w:ascii="Arial" w:cs="Arial" w:eastAsia="Arial" w:hAnsi="Arial"/>
          <w:sz w:val="16"/>
          <w:szCs w:val="16"/>
          <w:color w:val="auto"/>
        </w:rPr>
        <w:t>” means a promissory note made by the U.S. Borrower in favor of a Lender or its registered assigns,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substantially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evidencing U.S. Dollar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Revolving Loans made by such Lender to the U.S. Borrower.</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Swing Line</w:t>
      </w:r>
      <w:r>
        <w:rPr>
          <w:rFonts w:ascii="Arial" w:cs="Arial" w:eastAsia="Arial" w:hAnsi="Arial"/>
          <w:sz w:val="18"/>
          <w:szCs w:val="18"/>
          <w:color w:val="auto"/>
        </w:rPr>
        <w:t xml:space="preserve">” means the revolving credit facility made available by the U.S. Dollar Facility Swing Line Lender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Swing Line Borrowing</w:t>
      </w:r>
      <w:r>
        <w:rPr>
          <w:rFonts w:ascii="Arial" w:cs="Arial" w:eastAsia="Arial" w:hAnsi="Arial"/>
          <w:sz w:val="18"/>
          <w:szCs w:val="18"/>
          <w:color w:val="auto"/>
        </w:rPr>
        <w:t xml:space="preserve">” means a borrowing of a U.S. Dollar Facility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Swing Line Lender</w:t>
      </w:r>
      <w:r>
        <w:rPr>
          <w:rFonts w:ascii="Arial" w:cs="Arial" w:eastAsia="Arial" w:hAnsi="Arial"/>
          <w:sz w:val="18"/>
          <w:szCs w:val="18"/>
          <w:color w:val="auto"/>
        </w:rPr>
        <w:t>” has the meaning assigned to such term in the introductory paragraph hereof, or any successor swing line lender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Swing Line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2.04(a)(i)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Swing Line Loan Note</w:t>
      </w:r>
      <w:r>
        <w:rPr>
          <w:rFonts w:ascii="Arial" w:cs="Arial" w:eastAsia="Arial" w:hAnsi="Arial"/>
          <w:sz w:val="18"/>
          <w:szCs w:val="18"/>
          <w:color w:val="auto"/>
        </w:rPr>
        <w:t xml:space="preserve">” means a promissory note made by the U.S. Borrower in favor of the U.S. Dollar Facility Swing Line Lender or its registered assigns, in substantially the form of </w:t>
      </w:r>
      <w:r>
        <w:rPr>
          <w:rFonts w:ascii="Arial" w:cs="Arial" w:eastAsia="Arial" w:hAnsi="Arial"/>
          <w:sz w:val="18"/>
          <w:szCs w:val="18"/>
          <w:u w:val="single" w:color="auto"/>
          <w:color w:val="auto"/>
        </w:rPr>
        <w:t>Exhibit C-3</w:t>
      </w:r>
      <w:r>
        <w:rPr>
          <w:rFonts w:ascii="Arial" w:cs="Arial" w:eastAsia="Arial" w:hAnsi="Arial"/>
          <w:sz w:val="18"/>
          <w:szCs w:val="18"/>
          <w:color w:val="auto"/>
        </w:rPr>
        <w:t xml:space="preserve"> hereto, evidencing U.S. Dollar Facility Swing Line Loans made by the U.S. Dollar Facility Swing Line Lender.</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Swing Line Loan Notice</w:t>
      </w:r>
      <w:r>
        <w:rPr>
          <w:rFonts w:ascii="Arial" w:cs="Arial" w:eastAsia="Arial" w:hAnsi="Arial"/>
          <w:sz w:val="18"/>
          <w:szCs w:val="18"/>
          <w:color w:val="auto"/>
        </w:rPr>
        <w:t xml:space="preserve">” means a notice of a U.S. Dollar Facility Swing Line Borrowing pursuant to </w:t>
      </w:r>
      <w:r>
        <w:rPr>
          <w:rFonts w:ascii="Arial" w:cs="Arial" w:eastAsia="Arial" w:hAnsi="Arial"/>
          <w:sz w:val="18"/>
          <w:szCs w:val="18"/>
          <w:u w:val="single" w:color="auto"/>
          <w:color w:val="auto"/>
        </w:rPr>
        <w:t>Section 2.04(b)(ii)</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341" w:right="379" w:bottom="1440" w:gutter="0" w:footer="0" w:header="0"/>
        </w:sectPr>
      </w:pPr>
    </w:p>
    <w:bookmarkStart w:id="115" w:name="page116"/>
    <w:bookmarkEnd w:id="115"/>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Dollar Facility Swing Line Sublimit</w:t>
      </w:r>
      <w:r>
        <w:rPr>
          <w:rFonts w:ascii="Arial" w:cs="Arial" w:eastAsia="Arial" w:hAnsi="Arial"/>
          <w:sz w:val="17"/>
          <w:szCs w:val="17"/>
          <w:color w:val="auto"/>
        </w:rPr>
        <w:t>” means the lesser of (a) $70,000,000 and (b) the Aggregate U.S. Dollar Facility Commitments. The U.S. Dollar Facility Swing Line Sublimit is part of, and not in addition to, the Aggregate U.S. Dollar Facility Commitments.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Facility Unreimbursed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 Parties</w:t>
      </w:r>
      <w:r>
        <w:rPr>
          <w:rFonts w:ascii="Arial" w:cs="Arial" w:eastAsia="Arial" w:hAnsi="Arial"/>
          <w:sz w:val="18"/>
          <w:szCs w:val="18"/>
          <w:color w:val="auto"/>
        </w:rPr>
        <w:t>” means Holdings, the U.S. Borrower, and each Domestic Subsidiary that is a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*“U.S. Special Resolution Regime” has the meaning assigned to such term in Section 10.22.*</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any class or classes of Equity Interests pursuant to which the holders thereof have the general voting power under ordinary circumstances to elect at least a majority of the board of directors of such Person.</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means, as to any Person, (a) any corporation 100% of whose Equity Interests (other than directors’ qualifying shares or, in the case of a Foreign Subsidiary, nominal shares owned by foreign nationals as required by Law) is at the time owned by such Person and/or one or more Wholly-Owned Subsidiaries of such Person and (b) any partnership, association, joint venture, limited liability company or other entity in which such Person and/or one or more Wholly-Owned Subsidiaries of such Person have a 100% equity interest at such time. For the avoidance of doubt, a “</w:t>
      </w:r>
      <w:r>
        <w:rPr>
          <w:rFonts w:ascii="Arial" w:cs="Arial" w:eastAsia="Arial" w:hAnsi="Arial"/>
          <w:sz w:val="17"/>
          <w:szCs w:val="17"/>
          <w:u w:val="single" w:color="auto"/>
          <w:color w:val="auto"/>
        </w:rPr>
        <w:t>Wholly-Owned Domestic Restricted Subsidiary</w:t>
      </w:r>
      <w:r>
        <w:rPr>
          <w:rFonts w:ascii="Arial" w:cs="Arial" w:eastAsia="Arial" w:hAnsi="Arial"/>
          <w:sz w:val="17"/>
          <w:szCs w:val="17"/>
          <w:color w:val="auto"/>
        </w:rPr>
        <w:t>” shall mean a Wholly-Owned Subsidiary that is a Domestic Restricted Subsidiary, and “Wholly-Owned Foreign Restricted Subsidiary” shall mean a Wholly-Owned Subsidiary that is a Foreign Restricted Subsidiary.</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w:t>
      </w:r>
      <w:r>
        <w:rPr>
          <w:rFonts w:ascii="Arial" w:cs="Arial" w:eastAsia="Arial" w:hAnsi="Arial"/>
          <w:sz w:val="17"/>
          <w:szCs w:val="17"/>
          <w:color w:val="auto"/>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w:t>
      </w:r>
      <w:r>
        <w:rPr>
          <w:rFonts w:ascii="Arial" w:cs="Arial" w:eastAsia="Arial" w:hAnsi="Arial"/>
          <w:sz w:val="17"/>
          <w:szCs w:val="17"/>
          <w:u w:val="single" w:color="auto"/>
          <w:color w:val="auto"/>
        </w:rPr>
        <w:t>*and (b) with respect to the United Kingdom, any powers of the applicable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9" w:lineRule="exact"/>
        <w:rPr>
          <w:sz w:val="20"/>
          <w:szCs w:val="20"/>
          <w:color w:val="auto"/>
        </w:rPr>
      </w:pPr>
    </w:p>
    <w:p>
      <w:pPr>
        <w:ind w:right="140" w:firstLine="648"/>
        <w:spacing w:after="0" w:line="262" w:lineRule="auto"/>
        <w:rPr>
          <w:sz w:val="20"/>
          <w:szCs w:val="20"/>
          <w:color w:val="auto"/>
        </w:rPr>
      </w:pPr>
      <w:r>
        <w:rPr>
          <w:rFonts w:ascii="Arial" w:cs="Arial" w:eastAsia="Arial" w:hAnsi="Arial"/>
          <w:sz w:val="20"/>
          <w:szCs w:val="20"/>
          <w:b w:val="1"/>
          <w:bCs w:val="1"/>
          <w:color w:val="auto"/>
        </w:rPr>
        <w:t xml:space="preserve">1.02 </w:t>
      </w:r>
      <w:r>
        <w:rPr>
          <w:rFonts w:ascii="Arial" w:cs="Arial" w:eastAsia="Arial" w:hAnsi="Arial"/>
          <w:sz w:val="17"/>
          <w:szCs w:val="17"/>
          <w:b w:val="1"/>
          <w:bCs w:val="1"/>
          <w:u w:val="single" w:color="auto"/>
          <w:color w:val="auto"/>
        </w:rPr>
        <w:t>Other Interpretive Provisions</w:t>
      </w:r>
      <w:r>
        <w:rPr>
          <w:rFonts w:ascii="Arial" w:cs="Arial" w:eastAsia="Arial" w:hAnsi="Arial"/>
          <w:sz w:val="17"/>
          <w:szCs w:val="17"/>
          <w:color w:val="auto"/>
        </w:rPr>
        <w:t>. With reference to this Agreement and each other Loan Document, unless otherwise specified herein or in</w:t>
      </w:r>
      <w:r>
        <w:rPr>
          <w:rFonts w:ascii="Arial" w:cs="Arial" w:eastAsia="Arial" w:hAnsi="Arial"/>
          <w:sz w:val="20"/>
          <w:szCs w:val="20"/>
          <w:b w:val="1"/>
          <w:bCs w:val="1"/>
          <w:color w:val="auto"/>
        </w:rPr>
        <w:t xml:space="preserve"> </w:t>
      </w:r>
      <w:r>
        <w:rPr>
          <w:rFonts w:ascii="Arial" w:cs="Arial" w:eastAsia="Arial" w:hAnsi="Arial"/>
          <w:sz w:val="17"/>
          <w:szCs w:val="17"/>
          <w:color w:val="auto"/>
        </w:rPr>
        <w:t>such other Loan Document:</w:t>
      </w:r>
    </w:p>
    <w:p>
      <w:pPr>
        <w:spacing w:after="0" w:line="195" w:lineRule="exact"/>
        <w:rPr>
          <w:sz w:val="20"/>
          <w:szCs w:val="20"/>
          <w:color w:val="auto"/>
        </w:rPr>
      </w:pPr>
    </w:p>
    <w:p>
      <w:pPr>
        <w:ind w:left="660" w:firstLine="644"/>
        <w:spacing w:after="0" w:line="282" w:lineRule="auto"/>
        <w:tabs>
          <w:tab w:leader="none" w:pos="1704" w:val="left"/>
        </w:tabs>
        <w:numPr>
          <w:ilvl w:val="0"/>
          <w:numId w:val="50"/>
        </w:numPr>
        <w:rPr>
          <w:rFonts w:ascii="Arial" w:cs="Arial" w:eastAsia="Arial" w:hAnsi="Arial"/>
          <w:sz w:val="19"/>
          <w:szCs w:val="19"/>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permitted successors and assigns, (iii) the words “herein,” “hereof,” “hereto”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“asset”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773" w:right="339" w:bottom="1440" w:gutter="0" w:footer="0" w:header="0"/>
        </w:sectPr>
      </w:pPr>
    </w:p>
    <w:bookmarkStart w:id="116" w:name="page117"/>
    <w:bookmarkEnd w:id="116"/>
    <w:p>
      <w:pPr>
        <w:ind w:right="320"/>
        <w:spacing w:after="0" w:line="277" w:lineRule="auto"/>
        <w:rPr>
          <w:sz w:val="20"/>
          <w:szCs w:val="20"/>
          <w:color w:val="auto"/>
        </w:rPr>
      </w:pPr>
      <w:r>
        <w:rPr>
          <w:rFonts w:ascii="Arial" w:cs="Arial" w:eastAsia="Arial" w:hAnsi="Arial"/>
          <w:sz w:val="18"/>
          <w:szCs w:val="18"/>
          <w:color w:val="auto"/>
        </w:rPr>
        <w:t>and “property” shall be construed to have the same meaning and effect and to refer to any and all tangible and intangible assets and properties, including cash, securities, accounts and contract rights.</w:t>
      </w:r>
    </w:p>
    <w:p>
      <w:pPr>
        <w:spacing w:after="0" w:line="184" w:lineRule="exact"/>
        <w:rPr>
          <w:sz w:val="20"/>
          <w:szCs w:val="20"/>
          <w:color w:val="auto"/>
        </w:rPr>
      </w:pPr>
    </w:p>
    <w:p>
      <w:pPr>
        <w:ind w:right="160" w:firstLine="644"/>
        <w:spacing w:after="0" w:line="266" w:lineRule="auto"/>
        <w:tabs>
          <w:tab w:leader="none" w:pos="1058" w:val="left"/>
        </w:tabs>
        <w:numPr>
          <w:ilvl w:val="0"/>
          <w:numId w:val="51"/>
        </w:numPr>
        <w:rPr>
          <w:rFonts w:ascii="Arial" w:cs="Arial" w:eastAsia="Arial" w:hAnsi="Arial"/>
          <w:sz w:val="20"/>
          <w:szCs w:val="20"/>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90" w:lineRule="exact"/>
        <w:rPr>
          <w:rFonts w:ascii="Arial" w:cs="Arial" w:eastAsia="Arial" w:hAnsi="Arial"/>
          <w:sz w:val="20"/>
          <w:szCs w:val="20"/>
          <w:color w:val="auto"/>
        </w:rPr>
      </w:pPr>
    </w:p>
    <w:p>
      <w:pPr>
        <w:ind w:right="280" w:firstLine="644"/>
        <w:spacing w:after="0" w:line="266" w:lineRule="auto"/>
        <w:tabs>
          <w:tab w:leader="none" w:pos="1048" w:val="left"/>
        </w:tabs>
        <w:numPr>
          <w:ilvl w:val="0"/>
          <w:numId w:val="51"/>
        </w:numPr>
        <w:rPr>
          <w:rFonts w:ascii="Arial" w:cs="Arial" w:eastAsia="Arial" w:hAnsi="Arial"/>
          <w:sz w:val="20"/>
          <w:szCs w:val="20"/>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90" w:lineRule="exact"/>
        <w:rPr>
          <w:rFonts w:ascii="Arial" w:cs="Arial" w:eastAsia="Arial" w:hAnsi="Arial"/>
          <w:sz w:val="20"/>
          <w:szCs w:val="20"/>
          <w:color w:val="auto"/>
        </w:rPr>
      </w:pPr>
    </w:p>
    <w:p>
      <w:pPr>
        <w:ind w:right="200" w:firstLine="644"/>
        <w:spacing w:after="0" w:line="266" w:lineRule="auto"/>
        <w:tabs>
          <w:tab w:leader="none" w:pos="1058" w:val="left"/>
        </w:tabs>
        <w:numPr>
          <w:ilvl w:val="0"/>
          <w:numId w:val="51"/>
        </w:numPr>
        <w:rPr>
          <w:rFonts w:ascii="Arial" w:cs="Arial" w:eastAsia="Arial" w:hAnsi="Arial"/>
          <w:sz w:val="20"/>
          <w:szCs w:val="20"/>
          <w:color w:val="auto"/>
        </w:rPr>
      </w:pPr>
      <w:r>
        <w:rPr>
          <w:rFonts w:ascii="Arial" w:cs="Arial" w:eastAsia="Arial" w:hAnsi="Arial"/>
          <w:sz w:val="18"/>
          <w:szCs w:val="18"/>
          <w:color w:val="auto"/>
        </w:rPr>
        <w:t xml:space="preserve">On the Fourth Restatement Date, </w:t>
      </w:r>
      <w:r>
        <w:rPr>
          <w:rFonts w:ascii="Arial" w:cs="Arial" w:eastAsia="Arial" w:hAnsi="Arial"/>
          <w:sz w:val="18"/>
          <w:szCs w:val="18"/>
          <w:u w:val="single" w:color="auto"/>
          <w:color w:val="auto"/>
        </w:rPr>
        <w:t>Schedules 1.01(b)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10.06</w:t>
      </w:r>
      <w:r>
        <w:rPr>
          <w:rFonts w:ascii="Arial" w:cs="Arial" w:eastAsia="Arial" w:hAnsi="Arial"/>
          <w:sz w:val="18"/>
          <w:szCs w:val="18"/>
          <w:color w:val="auto"/>
        </w:rPr>
        <w:t xml:space="preserve"> to the Third Amended and Restated Credit Agreement shall be replaced in their entirety with </w:t>
      </w:r>
      <w:r>
        <w:rPr>
          <w:rFonts w:ascii="Arial" w:cs="Arial" w:eastAsia="Arial" w:hAnsi="Arial"/>
          <w:sz w:val="18"/>
          <w:szCs w:val="18"/>
          <w:u w:val="single" w:color="auto"/>
          <w:color w:val="auto"/>
        </w:rPr>
        <w:t>Schedules 1.01(b)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10.06</w:t>
      </w:r>
      <w:r>
        <w:rPr>
          <w:rFonts w:ascii="Arial" w:cs="Arial" w:eastAsia="Arial" w:hAnsi="Arial"/>
          <w:sz w:val="18"/>
          <w:szCs w:val="18"/>
          <w:color w:val="auto"/>
        </w:rPr>
        <w:t xml:space="preserve"> to this Agreement.</w:t>
      </w:r>
    </w:p>
    <w:p>
      <w:pPr>
        <w:spacing w:after="0" w:line="190" w:lineRule="exact"/>
        <w:rPr>
          <w:rFonts w:ascii="Arial" w:cs="Arial" w:eastAsia="Arial" w:hAnsi="Arial"/>
          <w:sz w:val="20"/>
          <w:szCs w:val="20"/>
          <w:color w:val="auto"/>
        </w:rPr>
      </w:pPr>
    </w:p>
    <w:p>
      <w:pPr>
        <w:ind w:right="540" w:firstLine="644"/>
        <w:spacing w:after="0" w:line="266" w:lineRule="auto"/>
        <w:tabs>
          <w:tab w:leader="none" w:pos="1048" w:val="left"/>
        </w:tabs>
        <w:numPr>
          <w:ilvl w:val="0"/>
          <w:numId w:val="51"/>
        </w:numPr>
        <w:rPr>
          <w:rFonts w:ascii="Arial" w:cs="Arial" w:eastAsia="Arial" w:hAnsi="Arial"/>
          <w:sz w:val="20"/>
          <w:szCs w:val="20"/>
          <w:color w:val="auto"/>
        </w:rPr>
      </w:pPr>
      <w:r>
        <w:rPr>
          <w:rFonts w:ascii="Arial" w:cs="Arial" w:eastAsia="Arial" w:hAnsi="Arial"/>
          <w:sz w:val="18"/>
          <w:szCs w:val="18"/>
          <w:color w:val="auto"/>
        </w:rPr>
        <w:t>On the Fourth Restatement Date, all Exhibits to the Third Amended and Restated Credit Agreement shall be replaced in their entirety with the Exhibits to this Agreement.</w:t>
      </w:r>
    </w:p>
    <w:p>
      <w:pPr>
        <w:spacing w:after="0" w:line="190" w:lineRule="exact"/>
        <w:rPr>
          <w:rFonts w:ascii="Arial" w:cs="Arial" w:eastAsia="Arial" w:hAnsi="Arial"/>
          <w:sz w:val="20"/>
          <w:szCs w:val="20"/>
          <w:color w:val="auto"/>
        </w:rPr>
      </w:pPr>
    </w:p>
    <w:p>
      <w:pPr>
        <w:ind w:right="100" w:firstLine="644"/>
        <w:spacing w:after="0" w:line="265" w:lineRule="auto"/>
        <w:tabs>
          <w:tab w:leader="none" w:pos="1026" w:val="left"/>
        </w:tabs>
        <w:numPr>
          <w:ilvl w:val="0"/>
          <w:numId w:val="51"/>
        </w:numPr>
        <w:rPr>
          <w:rFonts w:ascii="Arial" w:cs="Arial" w:eastAsia="Arial" w:hAnsi="Arial"/>
          <w:sz w:val="20"/>
          <w:szCs w:val="20"/>
          <w:color w:val="auto"/>
        </w:rPr>
      </w:pPr>
      <w:r>
        <w:rPr>
          <w:rFonts w:ascii="Arial" w:cs="Arial" w:eastAsia="Arial" w:hAnsi="Arial"/>
          <w:sz w:val="18"/>
          <w:szCs w:val="18"/>
          <w:color w:val="auto"/>
        </w:rPr>
        <w:t>Each reference to a “Revolving Loan Note”, the “Borrower”, and a “Revolving Loan” set forth in each Revolving Loan Note (as defined in the Original Credit Agreement) that is outstanding as of the Fourth Restatement Date shall be deemed to be a reference to a “U.S. Dollar Facility Revolving Loan Note”, the “U.S. Borrower” and a “U.S. Dollar Facility Revolving Loan”, respectively, automatically and without any requirement of for any holder of such Revolving Loan Note to exchange its Revolving Loan Note for a U.S. Dollar Facility Revolving Loan Note.</w:t>
      </w:r>
    </w:p>
    <w:p>
      <w:pPr>
        <w:spacing w:after="0" w:line="195" w:lineRule="exact"/>
        <w:rPr>
          <w:rFonts w:ascii="Arial" w:cs="Arial" w:eastAsia="Arial" w:hAnsi="Arial"/>
          <w:sz w:val="20"/>
          <w:szCs w:val="20"/>
          <w:color w:val="auto"/>
        </w:rPr>
      </w:pPr>
    </w:p>
    <w:p>
      <w:pPr>
        <w:ind w:left="1060" w:hanging="416"/>
        <w:spacing w:after="0"/>
        <w:tabs>
          <w:tab w:leader="none" w:pos="1060" w:val="left"/>
        </w:tabs>
        <w:numPr>
          <w:ilvl w:val="0"/>
          <w:numId w:val="51"/>
        </w:numPr>
        <w:rPr>
          <w:rFonts w:ascii="Arial" w:cs="Arial" w:eastAsia="Arial" w:hAnsi="Arial"/>
          <w:sz w:val="20"/>
          <w:szCs w:val="20"/>
          <w:color w:val="auto"/>
        </w:rPr>
      </w:pPr>
      <w:r>
        <w:rPr>
          <w:rFonts w:ascii="Arial" w:cs="Arial" w:eastAsia="Arial" w:hAnsi="Arial"/>
          <w:sz w:val="18"/>
          <w:szCs w:val="18"/>
          <w:color w:val="auto"/>
        </w:rPr>
        <w:t>In this Agreement, where it relates to a Dutch entity, a reference to:</w:t>
      </w:r>
    </w:p>
    <w:p>
      <w:pPr>
        <w:spacing w:after="0" w:line="215" w:lineRule="exact"/>
        <w:rPr>
          <w:rFonts w:ascii="Arial" w:cs="Arial" w:eastAsia="Arial" w:hAnsi="Arial"/>
          <w:sz w:val="20"/>
          <w:szCs w:val="20"/>
          <w:color w:val="auto"/>
        </w:rPr>
      </w:pPr>
    </w:p>
    <w:p>
      <w:pPr>
        <w:ind w:left="640" w:right="80" w:firstLine="652"/>
        <w:spacing w:after="0" w:line="264" w:lineRule="auto"/>
        <w:tabs>
          <w:tab w:leader="none" w:pos="1655" w:val="left"/>
        </w:tabs>
        <w:numPr>
          <w:ilvl w:val="1"/>
          <w:numId w:val="51"/>
        </w:numPr>
        <w:rPr>
          <w:rFonts w:ascii="Arial" w:cs="Arial" w:eastAsia="Arial" w:hAnsi="Arial"/>
          <w:sz w:val="20"/>
          <w:szCs w:val="20"/>
          <w:color w:val="auto"/>
        </w:rPr>
      </w:pPr>
      <w:r>
        <w:rPr>
          <w:rFonts w:ascii="Arial" w:cs="Arial" w:eastAsia="Arial" w:hAnsi="Arial"/>
          <w:sz w:val="18"/>
          <w:szCs w:val="18"/>
          <w:color w:val="auto"/>
        </w:rPr>
        <w:t>a necessary corporate or other organizational action, where applicable, includes without limitation: (A) any action required to comply with the Dutch Works Council Act (</w:t>
      </w:r>
      <w:r>
        <w:rPr>
          <w:rFonts w:ascii="Arial" w:cs="Arial" w:eastAsia="Arial" w:hAnsi="Arial"/>
          <w:sz w:val="18"/>
          <w:szCs w:val="18"/>
          <w:i w:val="1"/>
          <w:iCs w:val="1"/>
          <w:color w:val="auto"/>
        </w:rPr>
        <w:t>Wet op de ondernemingsraden</w:t>
      </w:r>
      <w:r>
        <w:rPr>
          <w:rFonts w:ascii="Arial" w:cs="Arial" w:eastAsia="Arial" w:hAnsi="Arial"/>
          <w:sz w:val="18"/>
          <w:szCs w:val="18"/>
          <w:color w:val="auto"/>
        </w:rPr>
        <w:t>) and (B) obtaining unconditional positive advice (</w:t>
      </w:r>
      <w:r>
        <w:rPr>
          <w:rFonts w:ascii="Arial" w:cs="Arial" w:eastAsia="Arial" w:hAnsi="Arial"/>
          <w:sz w:val="18"/>
          <w:szCs w:val="18"/>
          <w:i w:val="1"/>
          <w:iCs w:val="1"/>
          <w:color w:val="auto"/>
        </w:rPr>
        <w:t>advies</w:t>
      </w:r>
      <w:r>
        <w:rPr>
          <w:rFonts w:ascii="Arial" w:cs="Arial" w:eastAsia="Arial" w:hAnsi="Arial"/>
          <w:sz w:val="18"/>
          <w:szCs w:val="18"/>
          <w:color w:val="auto"/>
        </w:rPr>
        <w:t>) from each competent works council;</w:t>
      </w:r>
    </w:p>
    <w:p>
      <w:pPr>
        <w:spacing w:after="0" w:line="196" w:lineRule="exact"/>
        <w:rPr>
          <w:rFonts w:ascii="Arial" w:cs="Arial" w:eastAsia="Arial" w:hAnsi="Arial"/>
          <w:sz w:val="20"/>
          <w:szCs w:val="20"/>
          <w:color w:val="auto"/>
        </w:rPr>
      </w:pPr>
    </w:p>
    <w:p>
      <w:pPr>
        <w:ind w:left="1720" w:hanging="428"/>
        <w:spacing w:after="0"/>
        <w:tabs>
          <w:tab w:leader="none" w:pos="1720" w:val="left"/>
        </w:tabs>
        <w:numPr>
          <w:ilvl w:val="1"/>
          <w:numId w:val="51"/>
        </w:numPr>
        <w:rPr>
          <w:rFonts w:ascii="Arial" w:cs="Arial" w:eastAsia="Arial" w:hAnsi="Arial"/>
          <w:sz w:val="19"/>
          <w:szCs w:val="19"/>
          <w:color w:val="auto"/>
        </w:rPr>
      </w:pPr>
      <w:r>
        <w:rPr>
          <w:rFonts w:ascii="Arial" w:cs="Arial" w:eastAsia="Arial" w:hAnsi="Arial"/>
          <w:sz w:val="17"/>
          <w:szCs w:val="17"/>
          <w:color w:val="auto"/>
        </w:rPr>
        <w:t>a dissolution includes a Dutch entity being (A) declared bankrupt (</w:t>
      </w:r>
      <w:r>
        <w:rPr>
          <w:rFonts w:ascii="Arial" w:cs="Arial" w:eastAsia="Arial" w:hAnsi="Arial"/>
          <w:sz w:val="17"/>
          <w:szCs w:val="17"/>
          <w:i w:val="1"/>
          <w:iCs w:val="1"/>
          <w:color w:val="auto"/>
        </w:rPr>
        <w:t>failliet verklaard</w:t>
      </w:r>
      <w:r>
        <w:rPr>
          <w:rFonts w:ascii="Arial" w:cs="Arial" w:eastAsia="Arial" w:hAnsi="Arial"/>
          <w:sz w:val="17"/>
          <w:szCs w:val="17"/>
          <w:color w:val="auto"/>
        </w:rPr>
        <w:t>) and/or (B) dissolved (</w:t>
      </w:r>
      <w:r>
        <w:rPr>
          <w:rFonts w:ascii="Arial" w:cs="Arial" w:eastAsia="Arial" w:hAnsi="Arial"/>
          <w:sz w:val="17"/>
          <w:szCs w:val="17"/>
          <w:i w:val="1"/>
          <w:iCs w:val="1"/>
          <w:color w:val="auto"/>
        </w:rPr>
        <w:t>ontbonden</w:t>
      </w:r>
      <w:r>
        <w:rPr>
          <w:rFonts w:ascii="Arial" w:cs="Arial" w:eastAsia="Arial" w:hAnsi="Arial"/>
          <w:sz w:val="17"/>
          <w:szCs w:val="17"/>
          <w:color w:val="auto"/>
        </w:rPr>
        <w:t>);</w:t>
      </w:r>
    </w:p>
    <w:p>
      <w:pPr>
        <w:spacing w:after="0" w:line="227" w:lineRule="exact"/>
        <w:rPr>
          <w:rFonts w:ascii="Arial" w:cs="Arial" w:eastAsia="Arial" w:hAnsi="Arial"/>
          <w:sz w:val="19"/>
          <w:szCs w:val="19"/>
          <w:color w:val="auto"/>
        </w:rPr>
      </w:pPr>
    </w:p>
    <w:p>
      <w:pPr>
        <w:ind w:left="1760" w:hanging="468"/>
        <w:spacing w:after="0"/>
        <w:tabs>
          <w:tab w:leader="none" w:pos="1760" w:val="left"/>
        </w:tabs>
        <w:numPr>
          <w:ilvl w:val="1"/>
          <w:numId w:val="51"/>
        </w:numPr>
        <w:rPr>
          <w:rFonts w:ascii="Arial" w:cs="Arial" w:eastAsia="Arial" w:hAnsi="Arial"/>
          <w:sz w:val="20"/>
          <w:szCs w:val="20"/>
          <w:color w:val="auto"/>
        </w:rPr>
      </w:pPr>
      <w:r>
        <w:rPr>
          <w:rFonts w:ascii="Arial" w:cs="Arial" w:eastAsia="Arial" w:hAnsi="Arial"/>
          <w:sz w:val="18"/>
          <w:szCs w:val="18"/>
          <w:color w:val="auto"/>
        </w:rPr>
        <w:t xml:space="preserve">a moratorium includes surseance van betaling and granted a moratorium includes </w:t>
      </w:r>
      <w:r>
        <w:rPr>
          <w:rFonts w:ascii="Arial" w:cs="Arial" w:eastAsia="Arial" w:hAnsi="Arial"/>
          <w:sz w:val="18"/>
          <w:szCs w:val="18"/>
          <w:i w:val="1"/>
          <w:iCs w:val="1"/>
          <w:color w:val="auto"/>
        </w:rPr>
        <w:t>surseance verleend</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1760" w:hanging="468"/>
        <w:spacing w:after="0"/>
        <w:tabs>
          <w:tab w:leader="none" w:pos="1760" w:val="left"/>
        </w:tabs>
        <w:numPr>
          <w:ilvl w:val="1"/>
          <w:numId w:val="51"/>
        </w:numPr>
        <w:rPr>
          <w:rFonts w:ascii="Arial" w:cs="Arial" w:eastAsia="Arial" w:hAnsi="Arial"/>
          <w:sz w:val="20"/>
          <w:szCs w:val="20"/>
          <w:color w:val="auto"/>
        </w:rPr>
      </w:pPr>
      <w:r>
        <w:rPr>
          <w:rFonts w:ascii="Arial" w:cs="Arial" w:eastAsia="Arial" w:hAnsi="Arial"/>
          <w:sz w:val="18"/>
          <w:szCs w:val="18"/>
          <w:color w:val="auto"/>
        </w:rPr>
        <w:t xml:space="preserve">a liquidator or a trustee includes a </w:t>
      </w:r>
      <w:r>
        <w:rPr>
          <w:rFonts w:ascii="Arial" w:cs="Arial" w:eastAsia="Arial" w:hAnsi="Arial"/>
          <w:sz w:val="18"/>
          <w:szCs w:val="18"/>
          <w:i w:val="1"/>
          <w:iCs w:val="1"/>
          <w:color w:val="auto"/>
        </w:rPr>
        <w:t>curator</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1700" w:hanging="408"/>
        <w:spacing w:after="0"/>
        <w:tabs>
          <w:tab w:leader="none" w:pos="1700" w:val="left"/>
        </w:tabs>
        <w:numPr>
          <w:ilvl w:val="1"/>
          <w:numId w:val="51"/>
        </w:numPr>
        <w:rPr>
          <w:rFonts w:ascii="Arial" w:cs="Arial" w:eastAsia="Arial" w:hAnsi="Arial"/>
          <w:sz w:val="20"/>
          <w:szCs w:val="20"/>
          <w:color w:val="auto"/>
        </w:rPr>
      </w:pPr>
      <w:r>
        <w:rPr>
          <w:rFonts w:ascii="Arial" w:cs="Arial" w:eastAsia="Arial" w:hAnsi="Arial"/>
          <w:sz w:val="18"/>
          <w:szCs w:val="18"/>
          <w:color w:val="auto"/>
        </w:rPr>
        <w:t xml:space="preserve">an interim receiver or an administrator includes a </w:t>
      </w:r>
      <w:r>
        <w:rPr>
          <w:rFonts w:ascii="Arial" w:cs="Arial" w:eastAsia="Arial" w:hAnsi="Arial"/>
          <w:sz w:val="18"/>
          <w:szCs w:val="18"/>
          <w:i w:val="1"/>
          <w:iCs w:val="1"/>
          <w:color w:val="auto"/>
        </w:rPr>
        <w:t>bewindvoerder</w:t>
      </w:r>
      <w:r>
        <w:rPr>
          <w:rFonts w:ascii="Arial" w:cs="Arial" w:eastAsia="Arial" w:hAnsi="Arial"/>
          <w:sz w:val="18"/>
          <w:szCs w:val="18"/>
          <w:color w:val="auto"/>
        </w:rPr>
        <w:t>; and</w:t>
      </w:r>
    </w:p>
    <w:p>
      <w:pPr>
        <w:spacing w:after="0" w:line="215" w:lineRule="exact"/>
        <w:rPr>
          <w:rFonts w:ascii="Arial" w:cs="Arial" w:eastAsia="Arial" w:hAnsi="Arial"/>
          <w:sz w:val="20"/>
          <w:szCs w:val="20"/>
          <w:color w:val="auto"/>
        </w:rPr>
      </w:pPr>
    </w:p>
    <w:p>
      <w:pPr>
        <w:ind w:left="1760" w:hanging="468"/>
        <w:spacing w:after="0"/>
        <w:tabs>
          <w:tab w:leader="none" w:pos="1760" w:val="left"/>
        </w:tabs>
        <w:numPr>
          <w:ilvl w:val="1"/>
          <w:numId w:val="51"/>
        </w:numPr>
        <w:rPr>
          <w:rFonts w:ascii="Arial" w:cs="Arial" w:eastAsia="Arial" w:hAnsi="Arial"/>
          <w:sz w:val="20"/>
          <w:szCs w:val="20"/>
          <w:color w:val="auto"/>
        </w:rPr>
      </w:pPr>
      <w:r>
        <w:rPr>
          <w:rFonts w:ascii="Arial" w:cs="Arial" w:eastAsia="Arial" w:hAnsi="Arial"/>
          <w:sz w:val="18"/>
          <w:szCs w:val="18"/>
          <w:color w:val="auto"/>
        </w:rPr>
        <w:t xml:space="preserve">an attachment includes a </w:t>
      </w:r>
      <w:r>
        <w:rPr>
          <w:rFonts w:ascii="Arial" w:cs="Arial" w:eastAsia="Arial" w:hAnsi="Arial"/>
          <w:sz w:val="18"/>
          <w:szCs w:val="18"/>
          <w:i w:val="1"/>
          <w:iCs w:val="1"/>
          <w:color w:val="auto"/>
        </w:rPr>
        <w:t>beslag</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firstLine="644"/>
        <w:spacing w:after="0" w:line="283" w:lineRule="auto"/>
        <w:tabs>
          <w:tab w:leader="none" w:pos="1049" w:val="left"/>
        </w:tabs>
        <w:numPr>
          <w:ilvl w:val="0"/>
          <w:numId w:val="51"/>
        </w:numPr>
        <w:rPr>
          <w:rFonts w:ascii="Arial" w:cs="Arial" w:eastAsia="Arial" w:hAnsi="Arial"/>
          <w:sz w:val="19"/>
          <w:szCs w:val="19"/>
          <w:color w:val="auto"/>
        </w:rPr>
      </w:pPr>
      <w:r>
        <w:rPr>
          <w:rFonts w:ascii="Arial" w:cs="Arial" w:eastAsia="Arial" w:hAnsi="Arial"/>
          <w:sz w:val="17"/>
          <w:szCs w:val="17"/>
          <w:color w:val="auto"/>
        </w:rPr>
        <w:t>Any reference in this Agreement or any other Loan Document to a merger, transfer, conveyance, disposal, consolidation, amalgamation, consolidation, assignment, sale, disposition or transfer, or similar term, shall be deemed to apply to a division of or by a limited liability company, corporation or partnership, or an allocation of assets to a series of a limited liability companies, partnerships or corporations (or the unwinding of such a division or allocation), as if it were a merger, transfer, disposal, conveyance, consolidation, amalgamation, consolidation, assignment, sale or transfer, or similar term, as applicable, to, of or with a separate Person. Any division of a limited liability company, corporation or partnership shall be deemed to constitute the formation of a separate Person, and any such division shall constitute a separate Person hereunder and under the other Loan Documents (and each division of any limited liability company that is a Subsidiary, joint venture or any other like term shall also constitute such a Person or entity).</w:t>
      </w:r>
    </w:p>
    <w:p>
      <w:pPr>
        <w:spacing w:after="0" w:line="38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80"/>
          </w:cols>
          <w:pgMar w:left="980" w:top="773" w:right="339" w:bottom="1440" w:gutter="0" w:footer="0" w:header="0"/>
        </w:sectPr>
      </w:pPr>
    </w:p>
    <w:bookmarkStart w:id="117" w:name="page118"/>
    <w:bookmarkEnd w:id="117"/>
    <w:p>
      <w:pPr>
        <w:ind w:left="660"/>
        <w:spacing w:after="0"/>
        <w:tabs>
          <w:tab w:leader="none" w:pos="116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6"/>
          <w:szCs w:val="16"/>
          <w:b w:val="1"/>
          <w:bCs w:val="1"/>
          <w:u w:val="single" w:color="auto"/>
          <w:color w:val="auto"/>
        </w:rPr>
        <w:t>Accounting Terms</w:t>
      </w:r>
      <w:r>
        <w:rPr>
          <w:rFonts w:ascii="Arial" w:cs="Arial" w:eastAsia="Arial" w:hAnsi="Arial"/>
          <w:sz w:val="16"/>
          <w:szCs w:val="16"/>
          <w:color w:val="auto"/>
        </w:rPr>
        <w:t>.</w:t>
      </w:r>
    </w:p>
    <w:p>
      <w:pPr>
        <w:spacing w:after="0" w:line="238" w:lineRule="exact"/>
        <w:rPr>
          <w:sz w:val="20"/>
          <w:szCs w:val="20"/>
          <w:color w:val="auto"/>
        </w:rPr>
      </w:pPr>
    </w:p>
    <w:p>
      <w:pPr>
        <w:ind w:right="100" w:firstLine="656"/>
        <w:spacing w:after="0" w:line="282" w:lineRule="auto"/>
        <w:tabs>
          <w:tab w:leader="none" w:pos="1048" w:val="left"/>
        </w:tabs>
        <w:numPr>
          <w:ilvl w:val="0"/>
          <w:numId w:val="52"/>
        </w:numPr>
        <w:rPr>
          <w:rFonts w:ascii="Arial" w:cs="Arial" w:eastAsia="Arial" w:hAnsi="Arial"/>
          <w:sz w:val="19"/>
          <w:szCs w:val="19"/>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1.03(b)</w:t>
      </w:r>
      <w:r>
        <w:rPr>
          <w:rFonts w:ascii="Arial" w:cs="Arial" w:eastAsia="Arial" w:hAnsi="Arial"/>
          <w:sz w:val="17"/>
          <w:szCs w:val="17"/>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(i) for purposes of determining compliance with any covenant (including the computation of any financial covenant) contained herein, Indebtedness of the U.S. Borrower and its Restricted Subsidiaries shall be deemed to be carried at 100% of the outstanding principal amount thereof, and the effects of FASB ASC 825 and FASB ASC 470-20 on financial liabilities shall be disregarded and (ii) each lease that is classified and accounted for as an operating lease under GAAP as in effect on the Closing Date shall continue to be classified and accounted for as an operating lease (instead of being classified and accounted for as a capital lease) for purposes of all financial computations and covenants under this Agreement notwithstanding that such lease may be classified and accounted for as a capital lease after the Closing Date under GAAP</w:t>
      </w:r>
    </w:p>
    <w:p>
      <w:pPr>
        <w:spacing w:after="0" w:line="187" w:lineRule="exact"/>
        <w:rPr>
          <w:rFonts w:ascii="Arial" w:cs="Arial" w:eastAsia="Arial" w:hAnsi="Arial"/>
          <w:sz w:val="19"/>
          <w:szCs w:val="19"/>
          <w:color w:val="auto"/>
        </w:rPr>
      </w:pPr>
    </w:p>
    <w:p>
      <w:pPr>
        <w:ind w:firstLine="656"/>
        <w:spacing w:after="0" w:line="302" w:lineRule="auto"/>
        <w:tabs>
          <w:tab w:leader="none" w:pos="1058" w:val="left"/>
        </w:tabs>
        <w:numPr>
          <w:ilvl w:val="0"/>
          <w:numId w:val="52"/>
        </w:numPr>
        <w:rPr>
          <w:rFonts w:ascii="Arial" w:cs="Arial" w:eastAsia="Arial" w:hAnsi="Arial"/>
          <w:sz w:val="18"/>
          <w:szCs w:val="18"/>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xml:space="preserve">. If at any time any change in GAAP would affect the computation of any financial ratio, covenant or requirement set forth in any Loan Document, and either the U.S. Borrower or the Required Lenders shall so request, the Administrative Agent, the Lenders and the U.S. Borrower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U.S. Borrower shall provide to the Administrative Agent and the Lenders financial statements and other documents required under this Agreement or as reasonably requested hereunder setting forth a reconciliation between calculations of such ratio, covenant or requirement made before and after giving effect to such change in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reconciliation shall be required to be provided only for the four fiscal quarters following such change or such longer period as may be reasonably requested by the Administrative Agent.</w:t>
      </w:r>
    </w:p>
    <w:p>
      <w:pPr>
        <w:spacing w:after="0" w:line="149"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20"/>
          <w:szCs w:val="20"/>
          <w:b w:val="1"/>
          <w:bCs w:val="1"/>
          <w:color w:val="auto"/>
        </w:rPr>
        <w:t xml:space="preserve">1.04 </w:t>
      </w:r>
      <w:r>
        <w:rPr>
          <w:rFonts w:ascii="Arial" w:cs="Arial" w:eastAsia="Arial" w:hAnsi="Arial"/>
          <w:sz w:val="17"/>
          <w:szCs w:val="17"/>
          <w:b w:val="1"/>
          <w:bCs w:val="1"/>
          <w:u w:val="single" w:color="auto"/>
          <w:color w:val="auto"/>
        </w:rPr>
        <w:t>Rounding</w:t>
      </w:r>
      <w:r>
        <w:rPr>
          <w:rFonts w:ascii="Arial" w:cs="Arial" w:eastAsia="Arial" w:hAnsi="Arial"/>
          <w:sz w:val="17"/>
          <w:szCs w:val="17"/>
          <w:color w:val="auto"/>
        </w:rPr>
        <w:t>. Any financial ratios required to be maintained by the U.S. Borrower pursuant to this Agreement shall be calculated by dividing</w:t>
      </w:r>
      <w:r>
        <w:rPr>
          <w:rFonts w:ascii="Arial" w:cs="Arial" w:eastAsia="Arial" w:hAnsi="Arial"/>
          <w:sz w:val="20"/>
          <w:szCs w:val="20"/>
          <w:b w:val="1"/>
          <w:bCs w:val="1"/>
          <w:color w:val="auto"/>
        </w:rPr>
        <w:t xml:space="preserve"> </w:t>
      </w:r>
      <w:r>
        <w:rPr>
          <w:rFonts w:ascii="Arial" w:cs="Arial" w:eastAsia="Arial" w:hAnsi="Arial"/>
          <w:sz w:val="17"/>
          <w:szCs w:val="17"/>
          <w:color w:val="auto"/>
        </w:rPr>
        <w:t>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4" w:lineRule="exact"/>
        <w:rPr>
          <w:sz w:val="20"/>
          <w:szCs w:val="20"/>
          <w:color w:val="auto"/>
        </w:rPr>
      </w:pPr>
    </w:p>
    <w:p>
      <w:pPr>
        <w:jc w:val="both"/>
        <w:ind w:right="60" w:firstLine="648"/>
        <w:spacing w:after="0" w:line="262" w:lineRule="auto"/>
        <w:rPr>
          <w:sz w:val="20"/>
          <w:szCs w:val="20"/>
          <w:color w:val="auto"/>
        </w:rPr>
      </w:pPr>
      <w:r>
        <w:rPr>
          <w:rFonts w:ascii="Arial" w:cs="Arial" w:eastAsia="Arial" w:hAnsi="Arial"/>
          <w:sz w:val="20"/>
          <w:szCs w:val="20"/>
          <w:b w:val="1"/>
          <w:bCs w:val="1"/>
          <w:color w:val="auto"/>
        </w:rPr>
        <w:t xml:space="preserve">1.05 </w:t>
      </w:r>
      <w:r>
        <w:rPr>
          <w:rFonts w:ascii="Arial" w:cs="Arial" w:eastAsia="Arial" w:hAnsi="Arial"/>
          <w:sz w:val="17"/>
          <w:szCs w:val="17"/>
          <w:b w:val="1"/>
          <w:bCs w:val="1"/>
          <w:u w:val="single" w:color="auto"/>
          <w:color w:val="auto"/>
        </w:rPr>
        <w:t>Times of Day</w:t>
      </w:r>
      <w:r>
        <w:rPr>
          <w:rFonts w:ascii="Arial" w:cs="Arial" w:eastAsia="Arial" w:hAnsi="Arial"/>
          <w:sz w:val="17"/>
          <w:szCs w:val="17"/>
          <w:color w:val="auto"/>
        </w:rPr>
        <w:t>. Unless otherwise specified, all references herein to times of day shall be references to Eastern time (daylight or standard, as</w:t>
      </w:r>
      <w:r>
        <w:rPr>
          <w:rFonts w:ascii="Arial" w:cs="Arial" w:eastAsia="Arial" w:hAnsi="Arial"/>
          <w:sz w:val="20"/>
          <w:szCs w:val="20"/>
          <w:b w:val="1"/>
          <w:bCs w:val="1"/>
          <w:color w:val="auto"/>
        </w:rPr>
        <w:t xml:space="preserve"> </w:t>
      </w:r>
      <w:r>
        <w:rPr>
          <w:rFonts w:ascii="Arial" w:cs="Arial" w:eastAsia="Arial" w:hAnsi="Arial"/>
          <w:sz w:val="17"/>
          <w:szCs w:val="17"/>
          <w:color w:val="auto"/>
        </w:rPr>
        <w:t>applicable).</w:t>
      </w:r>
    </w:p>
    <w:p>
      <w:pPr>
        <w:spacing w:after="0" w:line="173" w:lineRule="exact"/>
        <w:rPr>
          <w:sz w:val="20"/>
          <w:szCs w:val="20"/>
          <w:color w:val="auto"/>
        </w:rPr>
      </w:pPr>
    </w:p>
    <w:p>
      <w:pPr>
        <w:ind w:right="100" w:firstLine="648"/>
        <w:spacing w:after="0" w:line="274" w:lineRule="auto"/>
        <w:rPr>
          <w:sz w:val="20"/>
          <w:szCs w:val="20"/>
          <w:color w:val="auto"/>
        </w:rPr>
      </w:pPr>
      <w:r>
        <w:rPr>
          <w:rFonts w:ascii="Arial" w:cs="Arial" w:eastAsia="Arial" w:hAnsi="Arial"/>
          <w:sz w:val="20"/>
          <w:szCs w:val="20"/>
          <w:b w:val="1"/>
          <w:bCs w:val="1"/>
          <w:color w:val="auto"/>
        </w:rPr>
        <w:t xml:space="preserve">1.06 </w:t>
      </w:r>
      <w:r>
        <w:rPr>
          <w:rFonts w:ascii="Arial" w:cs="Arial" w:eastAsia="Arial" w:hAnsi="Arial"/>
          <w:sz w:val="17"/>
          <w:szCs w:val="17"/>
          <w:b w:val="1"/>
          <w:bCs w:val="1"/>
          <w:u w:val="single" w:color="auto"/>
          <w:color w:val="auto"/>
        </w:rPr>
        <w:t>Letter of Credit Amounts</w:t>
      </w:r>
      <w:r>
        <w:rPr>
          <w:rFonts w:ascii="Arial" w:cs="Arial" w:eastAsia="Arial" w:hAnsi="Arial"/>
          <w:sz w:val="17"/>
          <w:szCs w:val="17"/>
          <w:color w:val="auto"/>
        </w:rPr>
        <w:t>. Unless otherwise specified herein, the amount of a Letter of Credit at any time shall be deemed to be the</w:t>
      </w:r>
      <w:r>
        <w:rPr>
          <w:rFonts w:ascii="Arial" w:cs="Arial" w:eastAsia="Arial" w:hAnsi="Arial"/>
          <w:sz w:val="20"/>
          <w:szCs w:val="20"/>
          <w:b w:val="1"/>
          <w:bCs w:val="1"/>
          <w:color w:val="auto"/>
        </w:rPr>
        <w:t xml:space="preserve"> </w:t>
      </w:r>
      <w:r>
        <w:rPr>
          <w:rFonts w:ascii="Arial" w:cs="Arial" w:eastAsia="Arial" w:hAnsi="Arial"/>
          <w:sz w:val="17"/>
          <w:szCs w:val="17"/>
          <w:color w:val="auto"/>
        </w:rPr>
        <w:t>Dollar Equivalent of the stated amount of such Letter of Credit in effect at such time; provided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9" w:lineRule="exact"/>
        <w:rPr>
          <w:sz w:val="20"/>
          <w:szCs w:val="20"/>
          <w:color w:val="auto"/>
        </w:rPr>
      </w:pPr>
    </w:p>
    <w:p>
      <w:pPr>
        <w:ind w:right="160" w:firstLine="648"/>
        <w:spacing w:after="0" w:line="272" w:lineRule="auto"/>
        <w:rPr>
          <w:sz w:val="20"/>
          <w:szCs w:val="20"/>
          <w:color w:val="auto"/>
        </w:rPr>
      </w:pPr>
      <w:r>
        <w:rPr>
          <w:rFonts w:ascii="Arial" w:cs="Arial" w:eastAsia="Arial" w:hAnsi="Arial"/>
          <w:sz w:val="20"/>
          <w:szCs w:val="20"/>
          <w:b w:val="1"/>
          <w:bCs w:val="1"/>
          <w:color w:val="auto"/>
        </w:rPr>
        <w:t xml:space="preserve">1.07 </w:t>
      </w:r>
      <w:r>
        <w:rPr>
          <w:rFonts w:ascii="Arial" w:cs="Arial" w:eastAsia="Arial" w:hAnsi="Arial"/>
          <w:sz w:val="17"/>
          <w:szCs w:val="17"/>
          <w:b w:val="1"/>
          <w:bCs w:val="1"/>
          <w:u w:val="single" w:color="auto"/>
          <w:color w:val="auto"/>
        </w:rPr>
        <w:t>Resolution of Drafting Ambiguities</w:t>
      </w:r>
      <w:r>
        <w:rPr>
          <w:rFonts w:ascii="Arial" w:cs="Arial" w:eastAsia="Arial" w:hAnsi="Arial"/>
          <w:sz w:val="17"/>
          <w:szCs w:val="17"/>
          <w:color w:val="auto"/>
        </w:rPr>
        <w:t>. The U.S. Borrower acknowledges and agrees that it was represented by counsel in connection with</w:t>
      </w:r>
      <w:r>
        <w:rPr>
          <w:rFonts w:ascii="Arial" w:cs="Arial" w:eastAsia="Arial" w:hAnsi="Arial"/>
          <w:sz w:val="20"/>
          <w:szCs w:val="20"/>
          <w:b w:val="1"/>
          <w:bCs w:val="1"/>
          <w:color w:val="auto"/>
        </w:rPr>
        <w:t xml:space="preserve"> </w:t>
      </w:r>
      <w:r>
        <w:rPr>
          <w:rFonts w:ascii="Arial" w:cs="Arial" w:eastAsia="Arial" w:hAnsi="Arial"/>
          <w:sz w:val="17"/>
          <w:szCs w:val="17"/>
          <w:color w:val="auto"/>
        </w:rPr>
        <w:t>the execution and delivery of the Loan Documents, that it and its counsel reviewed and participated in the preparation and negotiation of the Loan Documents and that any rule of construction to the effect that ambiguities are to be resolved against the drafting party shall not be employed in the interpretation of the Loan Documents.</w:t>
      </w:r>
    </w:p>
    <w:p>
      <w:pPr>
        <w:spacing w:after="0" w:line="17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1.08</w:t>
      </w:r>
      <w:r>
        <w:rPr>
          <w:sz w:val="20"/>
          <w:szCs w:val="20"/>
          <w:color w:val="auto"/>
        </w:rPr>
        <w:tab/>
      </w:r>
      <w:r>
        <w:rPr>
          <w:rFonts w:ascii="Arial" w:cs="Arial" w:eastAsia="Arial" w:hAnsi="Arial"/>
          <w:sz w:val="16"/>
          <w:szCs w:val="16"/>
          <w:b w:val="1"/>
          <w:bCs w:val="1"/>
          <w:u w:val="single" w:color="auto"/>
          <w:color w:val="auto"/>
        </w:rPr>
        <w:t>Exchange Rates; Currency Equivalents; Reduction of Commitments</w:t>
      </w:r>
      <w:r>
        <w:rPr>
          <w:rFonts w:ascii="Arial" w:cs="Arial" w:eastAsia="Arial" w:hAnsi="Arial"/>
          <w:sz w:val="16"/>
          <w:szCs w:val="16"/>
          <w:color w:val="auto"/>
        </w:rPr>
        <w:t>.</w:t>
      </w:r>
    </w:p>
    <w:p>
      <w:pPr>
        <w:spacing w:after="0" w:line="238" w:lineRule="exact"/>
        <w:rPr>
          <w:sz w:val="20"/>
          <w:szCs w:val="20"/>
          <w:color w:val="auto"/>
        </w:rPr>
      </w:pPr>
    </w:p>
    <w:p>
      <w:pPr>
        <w:ind w:right="20" w:firstLine="656"/>
        <w:spacing w:after="0" w:line="310" w:lineRule="auto"/>
        <w:tabs>
          <w:tab w:leader="none" w:pos="1044" w:val="left"/>
        </w:tabs>
        <w:numPr>
          <w:ilvl w:val="0"/>
          <w:numId w:val="53"/>
        </w:numPr>
        <w:rPr>
          <w:rFonts w:ascii="Arial" w:cs="Arial" w:eastAsia="Arial" w:hAnsi="Arial"/>
          <w:sz w:val="18"/>
          <w:szCs w:val="18"/>
          <w:color w:val="auto"/>
        </w:rPr>
      </w:pPr>
      <w:r>
        <w:rPr>
          <w:rFonts w:ascii="Arial" w:cs="Arial" w:eastAsia="Arial" w:hAnsi="Arial"/>
          <w:sz w:val="16"/>
          <w:szCs w:val="16"/>
          <w:color w:val="auto"/>
        </w:rPr>
        <w:t>The Canadian Agent or the applicable Multicurrency Facility L/C Issuer, as applicable, shall determine the Spot Rates as of each Revaluation Date to be used for calculating Dollar Equivalent amounts of Credit Extensions and Outstanding Amounts denominated in Canadian Dollars, the European Agent or the applicable Multicurrency Facility L/C Issuer, as applicable, shall determine the Spot Rates as of each Revaluation Date to be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765" w:right="339" w:bottom="1440" w:gutter="0" w:footer="0" w:header="0"/>
        </w:sectPr>
      </w:pPr>
    </w:p>
    <w:bookmarkStart w:id="118" w:name="page119"/>
    <w:bookmarkEnd w:id="118"/>
    <w:p>
      <w:pPr>
        <w:ind w:right="20"/>
        <w:spacing w:after="0" w:line="254" w:lineRule="auto"/>
        <w:rPr>
          <w:sz w:val="20"/>
          <w:szCs w:val="20"/>
          <w:color w:val="auto"/>
        </w:rPr>
      </w:pPr>
      <w:r>
        <w:rPr>
          <w:rFonts w:ascii="Arial" w:cs="Arial" w:eastAsia="Arial" w:hAnsi="Arial"/>
          <w:sz w:val="18"/>
          <w:szCs w:val="18"/>
          <w:color w:val="auto"/>
        </w:rPr>
        <w:t>used for calculating Dollar Equivalent amounts of Credit Extensions and Outstanding Amounts denominated in Euros or Pounds Sterling, and the applicable Facility Agent or the applicable Multicurrency Facility L/C Issuer, as the case may be, shall determine the Spot Rates as of each Revaluation Date to be used for calculating Dollar Equivalent amounts of Credit Extensions and Outstanding Amounts denominated in an Alternative Currency.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applicable Facility Agent or the applicable Multicurrency Facility L/C Issuer, as applicable.</w:t>
      </w:r>
    </w:p>
    <w:p>
      <w:pPr>
        <w:spacing w:after="0" w:line="205" w:lineRule="exact"/>
        <w:rPr>
          <w:sz w:val="20"/>
          <w:szCs w:val="20"/>
          <w:color w:val="auto"/>
        </w:rPr>
      </w:pPr>
    </w:p>
    <w:p>
      <w:pPr>
        <w:ind w:firstLine="656"/>
        <w:spacing w:after="0" w:line="283" w:lineRule="auto"/>
        <w:tabs>
          <w:tab w:leader="none" w:pos="1055" w:val="left"/>
        </w:tabs>
        <w:numPr>
          <w:ilvl w:val="0"/>
          <w:numId w:val="54"/>
        </w:numPr>
        <w:rPr>
          <w:rFonts w:ascii="Arial" w:cs="Arial" w:eastAsia="Arial" w:hAnsi="Arial"/>
          <w:sz w:val="19"/>
          <w:szCs w:val="19"/>
          <w:color w:val="auto"/>
        </w:rPr>
      </w:pPr>
      <w:r>
        <w:rPr>
          <w:rFonts w:ascii="Arial" w:cs="Arial" w:eastAsia="Arial" w:hAnsi="Arial"/>
          <w:sz w:val="17"/>
          <w:szCs w:val="17"/>
          <w:color w:val="auto"/>
        </w:rPr>
        <w:t>Wherever in this Agreement in connection with a Borrowing, conversion, continuation or prepayment of a Eurodollar Rate Revolving Loan or the issuance, amendment or extension of a Letter of Credit, an amount, such as a required minimum or multiple amount, is expressed in Dollars, but such Borrowing, Eurodollar Rate Revolving Loan or Letter of Credit is denominated in Canadian Dollars, Euros, Pounds Sterling or in an Alternative Currency, such amount shall be the relevant Canadian Dollar Equivalent, Euro Equivalent, Pounds Sterling Equivalent or Alternative Currency Equivalent, as applicable, of such Dollar amount (rounded to the nearest unit of such currency, with 0.5 of a unit being rounded upward, as applicable), as determined by the applicable Facility Agent or the applicable Multicurrency Facility L/C Issuer, as the case may be.</w:t>
      </w:r>
    </w:p>
    <w:p>
      <w:pPr>
        <w:spacing w:after="0" w:line="182" w:lineRule="exact"/>
        <w:rPr>
          <w:rFonts w:ascii="Arial" w:cs="Arial" w:eastAsia="Arial" w:hAnsi="Arial"/>
          <w:sz w:val="19"/>
          <w:szCs w:val="19"/>
          <w:color w:val="auto"/>
        </w:rPr>
      </w:pPr>
    </w:p>
    <w:p>
      <w:pPr>
        <w:ind w:right="280" w:firstLine="656"/>
        <w:spacing w:after="0" w:line="284" w:lineRule="auto"/>
        <w:tabs>
          <w:tab w:leader="none" w:pos="1048" w:val="left"/>
        </w:tabs>
        <w:numPr>
          <w:ilvl w:val="0"/>
          <w:numId w:val="54"/>
        </w:numPr>
        <w:rPr>
          <w:rFonts w:ascii="Arial" w:cs="Arial" w:eastAsia="Arial" w:hAnsi="Arial"/>
          <w:sz w:val="19"/>
          <w:szCs w:val="19"/>
          <w:color w:val="auto"/>
        </w:rPr>
      </w:pPr>
      <w:r>
        <w:rPr>
          <w:rFonts w:ascii="Arial" w:cs="Arial" w:eastAsia="Arial" w:hAnsi="Arial"/>
          <w:sz w:val="17"/>
          <w:szCs w:val="17"/>
          <w:color w:val="auto"/>
        </w:rPr>
        <w:t xml:space="preserve">Notwithstanding the foregoing, for purposes of determining compliance with </w:t>
      </w:r>
      <w:r>
        <w:rPr>
          <w:rFonts w:ascii="Arial" w:cs="Arial" w:eastAsia="Arial" w:hAnsi="Arial"/>
          <w:sz w:val="17"/>
          <w:szCs w:val="17"/>
          <w:u w:val="single" w:color="auto"/>
          <w:color w:val="auto"/>
        </w:rPr>
        <w:t>Sections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t>
      </w:r>
      <w:r>
        <w:rPr>
          <w:rFonts w:ascii="Arial" w:cs="Arial" w:eastAsia="Arial" w:hAnsi="Arial"/>
          <w:sz w:val="17"/>
          <w:szCs w:val="17"/>
          <w:u w:val="single" w:color="auto"/>
          <w:color w:val="auto"/>
        </w:rPr>
        <w:t>7.05</w:t>
      </w:r>
      <w:r>
        <w:rPr>
          <w:rFonts w:ascii="Arial" w:cs="Arial" w:eastAsia="Arial" w:hAnsi="Arial"/>
          <w:sz w:val="17"/>
          <w:szCs w:val="17"/>
          <w:color w:val="auto"/>
        </w:rPr>
        <w:t xml:space="preserve">, </w:t>
      </w:r>
      <w:r>
        <w:rPr>
          <w:rFonts w:ascii="Arial" w:cs="Arial" w:eastAsia="Arial" w:hAnsi="Arial"/>
          <w:sz w:val="17"/>
          <w:szCs w:val="17"/>
          <w:u w:val="single" w:color="auto"/>
          <w:color w:val="auto"/>
        </w:rPr>
        <w:t>7.06</w:t>
      </w:r>
      <w:r>
        <w:rPr>
          <w:rFonts w:ascii="Arial" w:cs="Arial" w:eastAsia="Arial" w:hAnsi="Arial"/>
          <w:sz w:val="17"/>
          <w:szCs w:val="17"/>
          <w:color w:val="auto"/>
        </w:rPr>
        <w:t xml:space="preserve">, </w:t>
      </w:r>
      <w:r>
        <w:rPr>
          <w:rFonts w:ascii="Arial" w:cs="Arial" w:eastAsia="Arial" w:hAnsi="Arial"/>
          <w:sz w:val="17"/>
          <w:szCs w:val="17"/>
          <w:u w:val="single" w:color="auto"/>
          <w:color w:val="auto"/>
        </w:rPr>
        <w:t>7.09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7.15</w:t>
      </w:r>
      <w:r>
        <w:rPr>
          <w:rFonts w:ascii="Arial" w:cs="Arial" w:eastAsia="Arial" w:hAnsi="Arial"/>
          <w:sz w:val="17"/>
          <w:szCs w:val="17"/>
          <w:color w:val="auto"/>
        </w:rPr>
        <w:t>, with respect to any Indebtedness, Investment, Restricted Payment, Lien, Asset Sale, Attributable Indebtedness, sale leaseback or prepayment of Indebtedness (each, a “</w:t>
      </w:r>
      <w:r>
        <w:rPr>
          <w:rFonts w:ascii="Arial" w:cs="Arial" w:eastAsia="Arial" w:hAnsi="Arial"/>
          <w:sz w:val="17"/>
          <w:szCs w:val="17"/>
          <w:u w:val="single" w:color="auto"/>
          <w:color w:val="auto"/>
        </w:rPr>
        <w:t>Covenant Transaction</w:t>
      </w:r>
      <w:r>
        <w:rPr>
          <w:rFonts w:ascii="Arial" w:cs="Arial" w:eastAsia="Arial" w:hAnsi="Arial"/>
          <w:sz w:val="17"/>
          <w:szCs w:val="17"/>
          <w:color w:val="auto"/>
        </w:rPr>
        <w:t>”) in a currency other than Dollars, no Default or Event of Default shall be deemed to have occurred solely as a result of changes in rates of exchange occurring after the time such Covenant Transaction is incurred or made.</w:t>
      </w:r>
    </w:p>
    <w:p>
      <w:pPr>
        <w:spacing w:after="0" w:line="181" w:lineRule="exact"/>
        <w:rPr>
          <w:rFonts w:ascii="Arial" w:cs="Arial" w:eastAsia="Arial" w:hAnsi="Arial"/>
          <w:sz w:val="19"/>
          <w:szCs w:val="19"/>
          <w:color w:val="auto"/>
        </w:rPr>
      </w:pPr>
    </w:p>
    <w:p>
      <w:pPr>
        <w:ind w:right="120" w:firstLine="656"/>
        <w:spacing w:after="0" w:line="265" w:lineRule="auto"/>
        <w:tabs>
          <w:tab w:leader="none" w:pos="1058" w:val="left"/>
        </w:tabs>
        <w:numPr>
          <w:ilvl w:val="0"/>
          <w:numId w:val="54"/>
        </w:numPr>
        <w:rPr>
          <w:rFonts w:ascii="Arial" w:cs="Arial" w:eastAsia="Arial" w:hAnsi="Arial"/>
          <w:sz w:val="20"/>
          <w:szCs w:val="20"/>
          <w:color w:val="auto"/>
        </w:rPr>
      </w:pPr>
      <w:r>
        <w:rPr>
          <w:rFonts w:ascii="Arial" w:cs="Arial" w:eastAsia="Arial" w:hAnsi="Arial"/>
          <w:sz w:val="18"/>
          <w:szCs w:val="18"/>
          <w:color w:val="auto"/>
        </w:rPr>
        <w:t xml:space="preserve">For purposes of determining compliance with the Lease Adjusted Leverage Ratio, the amount of any Indebtedness denominated in any currency other than Dollars will be converted into Dollars based on the relevant currency exchange rate in effect on the date of the financial statements on which the applicable Consolidated Indebtedness is calculated. For purposes of determining compliance with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w:t>
      </w:r>
      <w:r>
        <w:rPr>
          <w:rFonts w:ascii="Arial" w:cs="Arial" w:eastAsia="Arial" w:hAnsi="Arial"/>
          <w:sz w:val="18"/>
          <w:szCs w:val="18"/>
          <w:u w:val="single" w:color="auto"/>
          <w:color w:val="auto"/>
        </w:rPr>
        <w:t>7.09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7.15</w:t>
      </w:r>
      <w:r>
        <w:rPr>
          <w:rFonts w:ascii="Arial" w:cs="Arial" w:eastAsia="Arial" w:hAnsi="Arial"/>
          <w:sz w:val="18"/>
          <w:szCs w:val="18"/>
          <w:color w:val="auto"/>
        </w:rPr>
        <w:t>, with respect to the amount of any Covenant Transaction in a currency other than Dollars, such amount will be converted into Dollars based on the relevant currency exchange rate in effect on the date such Covenant Transaction is incurred or made and such basket will be measured at the time such Covenant Transaction is incurred or made.</w:t>
      </w:r>
    </w:p>
    <w:p>
      <w:pPr>
        <w:spacing w:after="0" w:line="196" w:lineRule="exact"/>
        <w:rPr>
          <w:rFonts w:ascii="Arial" w:cs="Arial" w:eastAsia="Arial" w:hAnsi="Arial"/>
          <w:sz w:val="20"/>
          <w:szCs w:val="20"/>
          <w:color w:val="auto"/>
        </w:rPr>
      </w:pPr>
    </w:p>
    <w:p>
      <w:pPr>
        <w:ind w:right="60" w:firstLine="656"/>
        <w:spacing w:after="0" w:line="265" w:lineRule="auto"/>
        <w:tabs>
          <w:tab w:leader="none" w:pos="1048" w:val="left"/>
        </w:tabs>
        <w:numPr>
          <w:ilvl w:val="0"/>
          <w:numId w:val="54"/>
        </w:numPr>
        <w:rPr>
          <w:rFonts w:ascii="Arial" w:cs="Arial" w:eastAsia="Arial" w:hAnsi="Arial"/>
          <w:sz w:val="20"/>
          <w:szCs w:val="20"/>
          <w:color w:val="auto"/>
        </w:rPr>
      </w:pPr>
      <w:r>
        <w:rPr>
          <w:rFonts w:ascii="Arial" w:cs="Arial" w:eastAsia="Arial" w:hAnsi="Arial"/>
          <w:sz w:val="18"/>
          <w:szCs w:val="18"/>
          <w:color w:val="auto"/>
        </w:rPr>
        <w:t>For the avoidance of doubt, in the case of a Multicurrency Facility Revolving Loan or Multicurrency Facility Swing Line Loan denominated in Canadian Dollars, Euros, Pounds Sterling or in an Alternative Currency, except as expressly provided herein, all interest and fees shall accrue and be payable thereon based on the actual amount outstanding in Canadian Dollars, Euros, Pounds Sterling or such Alternative Currency (without any translation into the Dollar Equivalent thereof), as applicable.</w:t>
      </w:r>
    </w:p>
    <w:p>
      <w:pPr>
        <w:spacing w:after="0" w:line="194" w:lineRule="exact"/>
        <w:rPr>
          <w:rFonts w:ascii="Arial" w:cs="Arial" w:eastAsia="Arial" w:hAnsi="Arial"/>
          <w:sz w:val="20"/>
          <w:szCs w:val="20"/>
          <w:color w:val="auto"/>
        </w:rPr>
      </w:pPr>
    </w:p>
    <w:p>
      <w:pPr>
        <w:ind w:right="20" w:firstLine="656"/>
        <w:spacing w:after="0" w:line="265" w:lineRule="auto"/>
        <w:tabs>
          <w:tab w:leader="none" w:pos="1026" w:val="left"/>
        </w:tabs>
        <w:numPr>
          <w:ilvl w:val="0"/>
          <w:numId w:val="54"/>
        </w:numPr>
        <w:rPr>
          <w:rFonts w:ascii="Arial" w:cs="Arial" w:eastAsia="Arial" w:hAnsi="Arial"/>
          <w:sz w:val="20"/>
          <w:szCs w:val="20"/>
          <w:color w:val="auto"/>
        </w:rPr>
      </w:pPr>
      <w:r>
        <w:rPr>
          <w:rFonts w:ascii="Arial" w:cs="Arial" w:eastAsia="Arial" w:hAnsi="Arial"/>
          <w:sz w:val="18"/>
          <w:szCs w:val="18"/>
          <w:color w:val="auto"/>
        </w:rPr>
        <w:t>In connection with this Agreement, it is understood and agreed that the commitments under the Third Amended and Restated Credit Agreement are being reduced on a non-pro rata basis on the Fourth Restatement Date and that any requirement under the Third Amended and Restated Credit Agreement or this Agreement that (x) notice be provided by any Borrower of a reduction in commitments under the Third Amended and Restated Credit Agreement is waived, (y) any reduction of the commitments be reduced ratably among the lenders under the Third Amended and Restated Credit Agreement is waived and (z) notice be provided by any Borrower of a prepayment of any amounts outstanding under the Third Amended and Restated Credit Agreement is waived, in each case, with respect to that (and only that) commitment reduction or prepayment taking effect on the Fourth Restatement Date.</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1.09</w:t>
      </w:r>
      <w:r>
        <w:rPr>
          <w:sz w:val="20"/>
          <w:szCs w:val="20"/>
          <w:color w:val="auto"/>
        </w:rPr>
        <w:tab/>
      </w:r>
      <w:r>
        <w:rPr>
          <w:rFonts w:ascii="Arial" w:cs="Arial" w:eastAsia="Arial" w:hAnsi="Arial"/>
          <w:sz w:val="16"/>
          <w:szCs w:val="16"/>
          <w:b w:val="1"/>
          <w:bCs w:val="1"/>
          <w:u w:val="single" w:color="auto"/>
          <w:color w:val="auto"/>
        </w:rPr>
        <w:t>Alternative Currencies</w:t>
      </w:r>
      <w:r>
        <w:rPr>
          <w:rFonts w:ascii="Arial" w:cs="Arial" w:eastAsia="Arial" w:hAnsi="Arial"/>
          <w:sz w:val="16"/>
          <w:szCs w:val="16"/>
          <w:color w:val="auto"/>
        </w:rPr>
        <w:t>.</w:t>
      </w:r>
    </w:p>
    <w:p>
      <w:pPr>
        <w:spacing w:after="0" w:line="238" w:lineRule="exact"/>
        <w:rPr>
          <w:sz w:val="20"/>
          <w:szCs w:val="20"/>
          <w:color w:val="auto"/>
        </w:rPr>
      </w:pPr>
    </w:p>
    <w:p>
      <w:pPr>
        <w:ind w:firstLine="656"/>
        <w:spacing w:after="0" w:line="264" w:lineRule="auto"/>
        <w:tabs>
          <w:tab w:leader="none" w:pos="1044" w:val="left"/>
        </w:tabs>
        <w:numPr>
          <w:ilvl w:val="0"/>
          <w:numId w:val="55"/>
        </w:numPr>
        <w:rPr>
          <w:rFonts w:ascii="Arial" w:cs="Arial" w:eastAsia="Arial" w:hAnsi="Arial"/>
          <w:sz w:val="20"/>
          <w:szCs w:val="20"/>
          <w:color w:val="auto"/>
        </w:rPr>
      </w:pPr>
      <w:r>
        <w:rPr>
          <w:rFonts w:ascii="Arial" w:cs="Arial" w:eastAsia="Arial" w:hAnsi="Arial"/>
          <w:sz w:val="18"/>
          <w:szCs w:val="18"/>
          <w:color w:val="auto"/>
        </w:rPr>
        <w:t xml:space="preserve">The Borrower may from time to time request that Eurodollar Rate Loans be made and/or Multicurrency Facility Letters of Credit be issued in a currency other than Dollars, Canadian Dollars, Euros and Pounds Sterling;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requested currency is a lawful currency that is readily available and freely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773" w:right="339" w:bottom="1440" w:gutter="0" w:footer="0" w:header="0"/>
        </w:sectPr>
      </w:pPr>
    </w:p>
    <w:bookmarkStart w:id="119" w:name="page120"/>
    <w:bookmarkEnd w:id="119"/>
    <w:p>
      <w:pPr>
        <w:ind w:right="20"/>
        <w:spacing w:after="0" w:line="311" w:lineRule="auto"/>
        <w:rPr>
          <w:sz w:val="20"/>
          <w:szCs w:val="20"/>
          <w:color w:val="auto"/>
        </w:rPr>
      </w:pPr>
      <w:r>
        <w:rPr>
          <w:rFonts w:ascii="Arial" w:cs="Arial" w:eastAsia="Arial" w:hAnsi="Arial"/>
          <w:sz w:val="16"/>
          <w:szCs w:val="16"/>
          <w:color w:val="auto"/>
        </w:rPr>
        <w:t>transferable and convertible into Dollars. In the case of any such request with respect to the making of Eurodollar Rate Loans, such request shall be subject to the approval of the Administrative Agent and the Multicurrency Facility Lenders; and in the case of any such request with respect to the issuance of Letters of Credit, such request shall be subject to the approval of the Administrative Agent and the applicable Multicurrency Facility L/C Issuer.</w:t>
      </w:r>
    </w:p>
    <w:p>
      <w:pPr>
        <w:spacing w:after="0" w:line="162" w:lineRule="exact"/>
        <w:rPr>
          <w:sz w:val="20"/>
          <w:szCs w:val="20"/>
          <w:color w:val="auto"/>
        </w:rPr>
      </w:pPr>
    </w:p>
    <w:p>
      <w:pPr>
        <w:ind w:right="40" w:firstLine="656"/>
        <w:spacing w:after="0" w:line="283" w:lineRule="auto"/>
        <w:tabs>
          <w:tab w:leader="none" w:pos="1049" w:val="left"/>
        </w:tabs>
        <w:numPr>
          <w:ilvl w:val="0"/>
          <w:numId w:val="56"/>
        </w:numPr>
        <w:rPr>
          <w:rFonts w:ascii="Arial" w:cs="Arial" w:eastAsia="Arial" w:hAnsi="Arial"/>
          <w:sz w:val="19"/>
          <w:szCs w:val="19"/>
          <w:color w:val="auto"/>
        </w:rPr>
      </w:pPr>
      <w:r>
        <w:rPr>
          <w:rFonts w:ascii="Arial" w:cs="Arial" w:eastAsia="Arial" w:hAnsi="Arial"/>
          <w:sz w:val="17"/>
          <w:szCs w:val="17"/>
          <w:color w:val="auto"/>
        </w:rPr>
        <w:t>Any such request shall be made to the Administrative Agent not later than 11:00 a.m.,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Eurodollar Rate Loans, the Administrative Agent shall promptly notify each Multicurrency Facility Lender thereof; and in the case of any such request pertaining to Letters of Credit, the L/C Issuer shall promptly notify the applicable Multicurrency Facility L/C Issuer thereof. Each Multicurrency Facility Lender (in the case of any such request pertaining to Eurodollar Rate Loans) or the applicable Multicurrency Facility L/C Issuer (in the case of a request pertaining to Letters of Credit) shall notify the Administrative Agent, not later than 11:00 a.m., ten Business Days after receipt of such request whether it consents, in its sole discretion, to the making of Eurodollar Rate Loans or the issuance of Letters of Credit, as the case may be, in such requested currency.</w:t>
      </w:r>
    </w:p>
    <w:p>
      <w:pPr>
        <w:spacing w:after="0" w:line="180" w:lineRule="exact"/>
        <w:rPr>
          <w:rFonts w:ascii="Arial" w:cs="Arial" w:eastAsia="Arial" w:hAnsi="Arial"/>
          <w:sz w:val="19"/>
          <w:szCs w:val="19"/>
          <w:color w:val="auto"/>
        </w:rPr>
      </w:pPr>
    </w:p>
    <w:p>
      <w:pPr>
        <w:ind w:firstLine="656"/>
        <w:spacing w:after="0" w:line="302" w:lineRule="auto"/>
        <w:tabs>
          <w:tab w:leader="none" w:pos="1038" w:val="left"/>
        </w:tabs>
        <w:numPr>
          <w:ilvl w:val="0"/>
          <w:numId w:val="56"/>
        </w:numPr>
        <w:rPr>
          <w:rFonts w:ascii="Arial" w:cs="Arial" w:eastAsia="Arial" w:hAnsi="Arial"/>
          <w:sz w:val="18"/>
          <w:szCs w:val="18"/>
          <w:color w:val="auto"/>
        </w:rPr>
      </w:pPr>
      <w:r>
        <w:rPr>
          <w:rFonts w:ascii="Arial" w:cs="Arial" w:eastAsia="Arial" w:hAnsi="Arial"/>
          <w:sz w:val="16"/>
          <w:szCs w:val="16"/>
          <w:color w:val="auto"/>
        </w:rPr>
        <w:t xml:space="preserve">Any failure by a Multicurrency Facility Lender or the applicable Multicurrency Facility L/C Issuer, as the case may be, to respond to such request within the time period specified in the preceding sentence shall be deemed to be a refusal by such Multicurrency Facility Lender or the applicable Multicurrency Facility L/C Issuer, as the case may be, to permit Eurodollar Rate Loans to be made or Letters of Credit to be issued in such requested currency. If the Administrative Agent and all the Multicurrency Facility Lenders consent to making Eurodollar Rate Loans in such requested currency, the Administrative Agent shall so notify the Borrower and such currency shall thereupon be deemed for all purposes to be an Alternative Currency hereunder for purposes of any borrowings of Eurodollar Rate Loans; and if the Administrative Agent and the applicable Multicurrency Facility L/C Issuer consents to the issuance of Letters of Credit in such requested currency, the Administrative Agent shall so notify the U.S. Borrower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6"/>
          <w:szCs w:val="16"/>
          <w:u w:val="single" w:color="auto"/>
          <w:color w:val="auto"/>
        </w:rPr>
        <w:t>Section 1.09</w:t>
      </w:r>
      <w:r>
        <w:rPr>
          <w:rFonts w:ascii="Arial" w:cs="Arial" w:eastAsia="Arial" w:hAnsi="Arial"/>
          <w:sz w:val="16"/>
          <w:szCs w:val="16"/>
          <w:color w:val="auto"/>
        </w:rPr>
        <w:t>, the Administrative Agent shall promptly so notify the U.S. Borrower.</w:t>
      </w:r>
    </w:p>
    <w:p>
      <w:pPr>
        <w:spacing w:after="0" w:line="168" w:lineRule="exact"/>
        <w:rPr>
          <w:rFonts w:ascii="Arial" w:cs="Arial" w:eastAsia="Arial" w:hAnsi="Arial"/>
          <w:sz w:val="18"/>
          <w:szCs w:val="18"/>
          <w:color w:val="auto"/>
        </w:rPr>
      </w:pPr>
    </w:p>
    <w:p>
      <w:pPr>
        <w:ind w:right="80" w:firstLine="656"/>
        <w:spacing w:after="0" w:line="265" w:lineRule="auto"/>
        <w:tabs>
          <w:tab w:leader="none" w:pos="1055" w:val="left"/>
        </w:tabs>
        <w:numPr>
          <w:ilvl w:val="0"/>
          <w:numId w:val="56"/>
        </w:numPr>
        <w:rPr>
          <w:rFonts w:ascii="Arial" w:cs="Arial" w:eastAsia="Arial" w:hAnsi="Arial"/>
          <w:sz w:val="20"/>
          <w:szCs w:val="20"/>
          <w:color w:val="auto"/>
        </w:rPr>
      </w:pPr>
      <w:r>
        <w:rPr>
          <w:rFonts w:ascii="Arial" w:cs="Arial" w:eastAsia="Arial" w:hAnsi="Arial"/>
          <w:sz w:val="18"/>
          <w:szCs w:val="18"/>
          <w:color w:val="auto"/>
        </w:rPr>
        <w:t xml:space="preserve">The Administrative Agent and the U.S. Borrower, may, without the consent of any Lenders, effect such amendments to this Agreement and the other Loan Documents as may be necessary or appropriate, in the reasonable opinion of the Administrative Agent and the U.S. Borrower, to effect the provisions of this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and for the avoidance of doubt, this </w:t>
      </w:r>
      <w:r>
        <w:rPr>
          <w:rFonts w:ascii="Arial" w:cs="Arial" w:eastAsia="Arial" w:hAnsi="Arial"/>
          <w:sz w:val="18"/>
          <w:szCs w:val="18"/>
          <w:u w:val="single" w:color="auto"/>
          <w:color w:val="auto"/>
        </w:rPr>
        <w:t>Section 1.09(d)</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Sections 1.09(b)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 (other than </w:t>
      </w:r>
      <w:r>
        <w:rPr>
          <w:rFonts w:ascii="Arial" w:cs="Arial" w:eastAsia="Arial" w:hAnsi="Arial"/>
          <w:sz w:val="18"/>
          <w:szCs w:val="18"/>
          <w:u w:val="single" w:color="auto"/>
          <w:color w:val="auto"/>
        </w:rPr>
        <w:t>Section 10.01(h)</w:t>
      </w:r>
      <w:r>
        <w:rPr>
          <w:rFonts w:ascii="Arial" w:cs="Arial" w:eastAsia="Arial" w:hAnsi="Arial"/>
          <w:sz w:val="18"/>
          <w:szCs w:val="18"/>
          <w:color w:val="auto"/>
        </w:rPr>
        <w:t xml:space="preserve">), but no such amendment shall curtail any right specifically granted to any Lender under </w:t>
      </w:r>
      <w:r>
        <w:rPr>
          <w:rFonts w:ascii="Arial" w:cs="Arial" w:eastAsia="Arial" w:hAnsi="Arial"/>
          <w:sz w:val="18"/>
          <w:szCs w:val="18"/>
          <w:u w:val="single" w:color="auto"/>
          <w:color w:val="auto"/>
        </w:rPr>
        <w:t>Section 1.09(a)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7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6"/>
          <w:szCs w:val="16"/>
          <w:b w:val="1"/>
          <w:bCs w:val="1"/>
          <w:u w:val="single" w:color="auto"/>
          <w:color w:val="auto"/>
        </w:rPr>
        <w:t>Change of Currency</w:t>
      </w:r>
      <w:r>
        <w:rPr>
          <w:rFonts w:ascii="Arial" w:cs="Arial" w:eastAsia="Arial" w:hAnsi="Arial"/>
          <w:sz w:val="16"/>
          <w:szCs w:val="16"/>
          <w:color w:val="auto"/>
        </w:rPr>
        <w:t>.</w:t>
      </w:r>
    </w:p>
    <w:p>
      <w:pPr>
        <w:spacing w:after="0" w:line="238" w:lineRule="exact"/>
        <w:rPr>
          <w:sz w:val="20"/>
          <w:szCs w:val="20"/>
          <w:color w:val="auto"/>
        </w:rPr>
      </w:pPr>
    </w:p>
    <w:p>
      <w:pPr>
        <w:ind w:right="20" w:firstLine="656"/>
        <w:spacing w:after="0" w:line="283" w:lineRule="auto"/>
        <w:tabs>
          <w:tab w:leader="none" w:pos="1048" w:val="left"/>
        </w:tabs>
        <w:numPr>
          <w:ilvl w:val="0"/>
          <w:numId w:val="57"/>
        </w:numPr>
        <w:rPr>
          <w:rFonts w:ascii="Arial" w:cs="Arial" w:eastAsia="Arial" w:hAnsi="Arial"/>
          <w:sz w:val="19"/>
          <w:szCs w:val="19"/>
          <w:color w:val="auto"/>
        </w:rPr>
      </w:pPr>
      <w:r>
        <w:rPr>
          <w:rFonts w:ascii="Arial" w:cs="Arial" w:eastAsia="Arial" w:hAnsi="Arial"/>
          <w:sz w:val="17"/>
          <w:szCs w:val="17"/>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1" w:lineRule="exact"/>
        <w:rPr>
          <w:rFonts w:ascii="Arial" w:cs="Arial" w:eastAsia="Arial" w:hAnsi="Arial"/>
          <w:sz w:val="19"/>
          <w:szCs w:val="19"/>
          <w:color w:val="auto"/>
        </w:rPr>
      </w:pPr>
    </w:p>
    <w:p>
      <w:pPr>
        <w:ind w:right="60" w:firstLine="656"/>
        <w:spacing w:after="0" w:line="264" w:lineRule="auto"/>
        <w:tabs>
          <w:tab w:leader="none" w:pos="1058" w:val="left"/>
        </w:tabs>
        <w:numPr>
          <w:ilvl w:val="0"/>
          <w:numId w:val="57"/>
        </w:numPr>
        <w:rPr>
          <w:rFonts w:ascii="Arial" w:cs="Arial" w:eastAsia="Arial" w:hAnsi="Arial"/>
          <w:sz w:val="20"/>
          <w:szCs w:val="20"/>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773" w:right="379" w:bottom="1440" w:gutter="0" w:footer="0" w:header="0"/>
        </w:sectPr>
      </w:pPr>
    </w:p>
    <w:bookmarkStart w:id="120" w:name="page121"/>
    <w:bookmarkEnd w:id="120"/>
    <w:p>
      <w:pPr>
        <w:ind w:firstLine="656"/>
        <w:spacing w:after="0" w:line="264" w:lineRule="auto"/>
        <w:tabs>
          <w:tab w:leader="none" w:pos="1048" w:val="left"/>
        </w:tabs>
        <w:numPr>
          <w:ilvl w:val="0"/>
          <w:numId w:val="58"/>
        </w:numPr>
        <w:rPr>
          <w:rFonts w:ascii="Arial" w:cs="Arial" w:eastAsia="Arial" w:hAnsi="Arial"/>
          <w:sz w:val="20"/>
          <w:szCs w:val="20"/>
          <w:color w:val="auto"/>
        </w:rPr>
      </w:pPr>
      <w:r>
        <w:rPr>
          <w:rFonts w:ascii="Arial" w:cs="Arial" w:eastAsia="Arial" w:hAnsi="Arial"/>
          <w:sz w:val="18"/>
          <w:szCs w:val="18"/>
          <w:color w:val="auto"/>
        </w:rPr>
        <w:t>Each provision of this Agreement also shall be subject to such reasonable changes of construction as the Administrative Agent may from time to time specify to be appropriate to reflect a change in currency of any country and any relevant market conventions or practices relating to the change in currency.</w:t>
      </w:r>
    </w:p>
    <w:p>
      <w:pPr>
        <w:spacing w:after="0" w:line="174"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ARTICLE II</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22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2.01</w:t>
      </w:r>
      <w:r>
        <w:rPr>
          <w:sz w:val="20"/>
          <w:szCs w:val="20"/>
          <w:color w:val="auto"/>
        </w:rPr>
        <w:tab/>
      </w:r>
      <w:r>
        <w:rPr>
          <w:rFonts w:ascii="Arial" w:cs="Arial" w:eastAsia="Arial" w:hAnsi="Arial"/>
          <w:sz w:val="16"/>
          <w:szCs w:val="16"/>
          <w:b w:val="1"/>
          <w:bCs w:val="1"/>
          <w:u w:val="single" w:color="auto"/>
          <w:color w:val="auto"/>
        </w:rPr>
        <w:t>Revolving Loans</w:t>
      </w:r>
      <w:r>
        <w:rPr>
          <w:rFonts w:ascii="Arial" w:cs="Arial" w:eastAsia="Arial" w:hAnsi="Arial"/>
          <w:sz w:val="16"/>
          <w:szCs w:val="16"/>
          <w:color w:val="auto"/>
        </w:rPr>
        <w:t>.</w:t>
      </w:r>
    </w:p>
    <w:p>
      <w:pPr>
        <w:spacing w:after="0" w:line="238" w:lineRule="exact"/>
        <w:rPr>
          <w:sz w:val="20"/>
          <w:szCs w:val="20"/>
          <w:color w:val="auto"/>
        </w:rPr>
      </w:pPr>
    </w:p>
    <w:p>
      <w:pPr>
        <w:ind w:right="20" w:firstLine="656"/>
        <w:spacing w:after="0" w:line="282" w:lineRule="auto"/>
        <w:tabs>
          <w:tab w:leader="none" w:pos="1048" w:val="left"/>
        </w:tabs>
        <w:numPr>
          <w:ilvl w:val="0"/>
          <w:numId w:val="59"/>
        </w:numPr>
        <w:rPr>
          <w:rFonts w:ascii="Arial" w:cs="Arial" w:eastAsia="Arial" w:hAnsi="Arial"/>
          <w:sz w:val="19"/>
          <w:szCs w:val="19"/>
          <w:color w:val="auto"/>
        </w:rPr>
      </w:pPr>
      <w:r>
        <w:rPr>
          <w:rFonts w:ascii="Arial" w:cs="Arial" w:eastAsia="Arial" w:hAnsi="Arial"/>
          <w:sz w:val="17"/>
          <w:szCs w:val="17"/>
          <w:color w:val="auto"/>
        </w:rPr>
        <w:t>Subject to the terms and conditions set forth herein, each U.S. Dollar Facility Lender severally agrees to make loans (each such loan, a “</w:t>
      </w:r>
      <w:r>
        <w:rPr>
          <w:rFonts w:ascii="Arial" w:cs="Arial" w:eastAsia="Arial" w:hAnsi="Arial"/>
          <w:sz w:val="17"/>
          <w:szCs w:val="17"/>
          <w:u w:val="single" w:color="auto"/>
          <w:color w:val="auto"/>
        </w:rPr>
        <w:t>U.S.</w:t>
      </w:r>
      <w:r>
        <w:rPr>
          <w:rFonts w:ascii="Arial" w:cs="Arial" w:eastAsia="Arial" w:hAnsi="Arial"/>
          <w:sz w:val="17"/>
          <w:szCs w:val="17"/>
          <w:color w:val="auto"/>
        </w:rPr>
        <w:t xml:space="preserve"> </w:t>
      </w:r>
      <w:r>
        <w:rPr>
          <w:rFonts w:ascii="Arial" w:cs="Arial" w:eastAsia="Arial" w:hAnsi="Arial"/>
          <w:sz w:val="17"/>
          <w:szCs w:val="17"/>
          <w:u w:val="single" w:color="auto"/>
          <w:color w:val="auto"/>
        </w:rPr>
        <w:t>Dollar Facility Revolving Loan</w:t>
      </w:r>
      <w:r>
        <w:rPr>
          <w:rFonts w:ascii="Arial" w:cs="Arial" w:eastAsia="Arial" w:hAnsi="Arial"/>
          <w:sz w:val="17"/>
          <w:szCs w:val="17"/>
          <w:color w:val="auto"/>
        </w:rPr>
        <w:t xml:space="preserve">”) to the U.S. Borrower from time to time, on any Business Day during the U.S. Dollar Facility Availability Period, in an aggregate amount not to exceed at any time outstanding the amount of such Lender’s U.S. Dollar Facility Commitment as set forth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borrowing of U.S. Dollar Facility Revolving Loans, the Outstanding Amount of the U.S. Dollar Facility Revolving Loans of any Lender, plus such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the Outstanding Amount of all U.S. Dollar Facility L/C Obligations, plus such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the Outstanding Amount of all U.S. Dollar Facility Swing Line Loans shall not exceed such Lender’s U.S. Dollar Facility Commitment. Within the limits of each U.S. Dollar Facility Lender’s U.S. Dollar Facility Commitment, and subject to the other terms and conditions hereof, the U.S. Borrower may 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U.S. Dollar Facility Revolving Loans may be Base Rate Loans or Eurodollar Rate Loans, as further provided herein.</w:t>
      </w:r>
    </w:p>
    <w:p>
      <w:pPr>
        <w:spacing w:after="0" w:line="187" w:lineRule="exact"/>
        <w:rPr>
          <w:rFonts w:ascii="Arial" w:cs="Arial" w:eastAsia="Arial" w:hAnsi="Arial"/>
          <w:sz w:val="19"/>
          <w:szCs w:val="19"/>
          <w:color w:val="auto"/>
        </w:rPr>
      </w:pPr>
    </w:p>
    <w:p>
      <w:pPr>
        <w:ind w:left="1060" w:hanging="40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6"/>
          <w:szCs w:val="16"/>
          <w:color w:val="auto"/>
        </w:rPr>
        <w:t>Subject to the terms and conditions set forth herein, each Multicurrency Facility Lender severally agrees to make loans (each such loan, a</w:t>
      </w:r>
    </w:p>
    <w:p>
      <w:pPr>
        <w:spacing w:after="0" w:line="2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Facility Revolving Loan</w:t>
      </w:r>
      <w:r>
        <w:rPr>
          <w:rFonts w:ascii="Arial" w:cs="Arial" w:eastAsia="Arial" w:hAnsi="Arial"/>
          <w:sz w:val="16"/>
          <w:szCs w:val="16"/>
          <w:color w:val="auto"/>
        </w:rPr>
        <w:t>”) to each Borrower from time to time, on any Business Day during the Multicurrency Facility Availability Period, in an aggregate amount not to exceed at any time outstanding the amount of such Lender’s Multicurrency Facility Commitment as set forth on Schedule</w:t>
      </w:r>
    </w:p>
    <w:p>
      <w:pPr>
        <w:spacing w:after="0" w:line="1"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 xml:space="preserve">2.01; provided that after giving effect to any borrowing of Multicurrency Facility Revolving Loans, the Outstanding Amount of the Multicurrency Facility Revolving Loans of any Lender, plus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Outstanding Amount of all Multicurrency Facility L/C Obligations, plus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Outstanding Amount of all Multicurrency Facility Swing Line Loans shall not exceed such Lender’s Multicurrency Facility Commitment;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after giving effect to any borrowing of Multicurrency Facility Revolving Loans in an Alternative Currency, the aggregate Outstanding Amount of all Multicurrency Facility Revolving Loans of any Lender denominated in Alternative Currencies, plus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Outstanding Amount of all Multicurrency Facility L/C Obligations denominated in Alternative Currencies shall not exceed the Alternative Currency Sublimit. Within the limits of each Multicurrency Facility Lender’s Multicurrency Facility Commitment, and subject to the other terms and conditions hereof, each Borrower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Multicurrency Facility Revolving Loans denominated in Dollars may be Canadian U.S. Base Rate Loans or Eurodollar Rate Loans, Multicurrency Facility Revolving Loans denominated in Canadian Dollars may be Canadian Prime Rate Loans or Eurodollar Rate Loans and Multicurrency Facility Revolving Loans denominated in Euros or Pounds Sterling may be Overnight LIBO Rate Loans or Eurodollar Rate Loans, in each case as further provided herein. Multicurrency Facility Revolving Loans denominated in an Alternative Currency must be Eurodollar Rate Loans.</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6"/>
          <w:szCs w:val="16"/>
          <w:b w:val="1"/>
          <w:bCs w:val="1"/>
          <w:u w:val="single" w:color="auto"/>
          <w:color w:val="auto"/>
        </w:rPr>
        <w:t>Borrowings, Conversions and Continuations of Revolving Loans</w:t>
      </w:r>
      <w:r>
        <w:rPr>
          <w:rFonts w:ascii="Arial" w:cs="Arial" w:eastAsia="Arial" w:hAnsi="Arial"/>
          <w:sz w:val="16"/>
          <w:szCs w:val="16"/>
          <w:color w:val="auto"/>
        </w:rPr>
        <w:t>.</w:t>
      </w:r>
    </w:p>
    <w:p>
      <w:pPr>
        <w:spacing w:after="0" w:line="238" w:lineRule="exact"/>
        <w:rPr>
          <w:sz w:val="20"/>
          <w:szCs w:val="20"/>
          <w:color w:val="auto"/>
        </w:rPr>
      </w:pPr>
    </w:p>
    <w:p>
      <w:pPr>
        <w:ind w:right="60" w:firstLine="656"/>
        <w:spacing w:after="0" w:line="283" w:lineRule="auto"/>
        <w:tabs>
          <w:tab w:leader="none" w:pos="1048" w:val="left"/>
        </w:tabs>
        <w:numPr>
          <w:ilvl w:val="0"/>
          <w:numId w:val="60"/>
        </w:numPr>
        <w:rPr>
          <w:rFonts w:ascii="Arial" w:cs="Arial" w:eastAsia="Arial" w:hAnsi="Arial"/>
          <w:sz w:val="19"/>
          <w:szCs w:val="19"/>
          <w:color w:val="auto"/>
        </w:rPr>
      </w:pPr>
      <w:r>
        <w:rPr>
          <w:rFonts w:ascii="Arial" w:cs="Arial" w:eastAsia="Arial" w:hAnsi="Arial"/>
          <w:sz w:val="17"/>
          <w:szCs w:val="17"/>
          <w:color w:val="auto"/>
        </w:rPr>
        <w:t>Each borrowing of Loans, each conversion of Loans from one Type to the other, and each continuation of Eurodollar Rate Loans shall be made upon the applicable Borrower’s irrevocable notice to, in the case of U.S. Dollar Facility Revolving Loans, the Administrative Agent and, in the case of Multicurrency Facility Revolving Loans, the applicable Facility Agent, in each case by submitting a Borrowing or Conversion Notice. Each such notice must be received by the applicable Facility Agent not later than (i) 1:00 p.m., three Business Days prior to the requested date of any borrowing of, conversion to or continuation of Eurodollar Rate Loans (excluding any Eurodollar Rate Loans denominated in Euros or Pounds Sterling) or of any conversion of Eurodollar Rate Loans to Base Rate Loans, Canadian U.S. Base Rate Loans, Canadian Prime Rate Loans or Overnight LIBO Rate Loans, as applicable, (ii) 4:00 p.m., one Business Day prior to the requested date of any borrowing of Overnight LIBO Rate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787" w:right="379" w:bottom="1440" w:gutter="0" w:footer="0" w:header="0"/>
        </w:sectPr>
      </w:pPr>
    </w:p>
    <w:bookmarkStart w:id="121" w:name="page122"/>
    <w:bookmarkEnd w:id="121"/>
    <w:p>
      <w:pPr>
        <w:spacing w:after="0" w:line="285" w:lineRule="auto"/>
        <w:rPr>
          <w:sz w:val="20"/>
          <w:szCs w:val="20"/>
          <w:color w:val="auto"/>
        </w:rPr>
      </w:pPr>
      <w:r>
        <w:rPr>
          <w:rFonts w:ascii="Arial" w:cs="Arial" w:eastAsia="Arial" w:hAnsi="Arial"/>
          <w:sz w:val="16"/>
          <w:szCs w:val="16"/>
          <w:color w:val="auto"/>
        </w:rPr>
        <w:t xml:space="preserve">Loans, (iii) 11:00 a.m., on the Business Day of the requested date of any borrowing of Base Rate Loans, Canadian U.S. Base Rate Loans, or Canadian Prime Rate Loans, (iv) 1:00 p.m., London Time, four Business Days prior to the requested date of any Borrowing or continuation of Eurodollar Rate Loans denominated in Euros or Pounds Sterling and (v) four Business Days (or five Business Days in the case of a Special Notice Currency) prior to the requested date of any Borrowing or continuation of Eurodollar Rate Loans denominated in Alternative Currencies. Each Borrowing or Conversion Notice in respect of U.S. Dollar Facility Revolving Loans by the U.S.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appropriately completed and signed by a Responsible Officer of the U.S. Borrower. Each Borrowing or Conversion Notice in respect of Multicurrency Facility Revolving Loans by the applicable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appropriately completed and signed by a Responsible Officer of the applicable Borrower. Each borrowing of, conversion to or continuation of Eurodollar Rate Loans denominated in Dollars or Canadian Dollars shall be in an amount equal to $1,000,000 or C$1,000,000, as applicable, or a whole multiple of $500,000 or C$500,000, as applicable, in excess thereof. Each borrowing of, conversion to or continuation of Eurodollar Rate Loans denominated in Euros, Pounds Sterling or an Alternative Currency shall be in an amount equal to the Euro Equivalent, Pounds Sterling Equivalent or Alternative Currency Equivalent, as applicable, of $1,000,000 or a whole multiple of $500,000 of such equivalent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(i) each borrowing of or conversion to Base Rate Loans, Canadian U.S. Base Rate Loans or Canadian Prime Rate Loans (other than Swing Line Loans) shall be in a principal amount of $200,000 or C$200,000, as applicable, or a whole multiple of $100,000 or C$100,000, as applicable, in excess thereof, and (ii) each borrowing of or conversion to Overnight LIBO Rate Loans (other than Swing Line Loans) shall be in a principal amount of the Euro Equivalent or Pounds Sterling Equivalent, as applicable, of $200,000 or a whole multiple of $100,000 of such equivalent in excess thereof. Each Borrowing or Conversion Notice shall specify (i) whether the requested borrowing is to be a U.S. Dollar Facility Revolving Loan Borrowing or a Multicurrency</w:t>
      </w:r>
    </w:p>
    <w:p>
      <w:pPr>
        <w:spacing w:after="0" w:line="19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Facility Revolving Loan Borrowing, a conversion of Loans from one Type to the other, or a continuation of Eurodollar Rate Loans, (ii) the requested date of the borrowing, conversion or continuation, as the case may be (which shall be a Business Day), (iii) the principal amount of Revolving Loans to be borrowed, converted, continued or rolled over, (iv) if applicable, the Type of Loans to be borrowed or to which existing Loans are to be converted, (v) if applicable, the duration of the Interest Period with respect thereto, (vi) in the case of the Multicurrency Facility Commitments, whether such requested Loans are to be denominated in Dollars, Canadian Dollars, Euros, Pounds Sterling or an Alternative Currency and (vii) in the case of the Multicurrency Facility Commitments, whether such Loans are to be borrowed by the U.S. Borrower, the Canadian Borrower or the Dutch Borrower. If the U.S. Borrower fails to specify a Type of U.S. Dollar Facility Revolving Loan in a Borrowing or Conversion Notice or if the U.S. Borrower fails to give a timely notice requesting a conversion or continuation, then the U.S. Dollar Facility Revolving Loan, shall be made as, or converted to, a Base Rate Loan. If any Borrower fails to specify a Type of Multicurrency Facility Revolving Loan in a Borrowing or Conversion Notice or if any Borrower fails to give a timely notice requesting a conversion or continuation, then the Multicurrency Facility Revolving Loan shall be made as, or converted to, a Canadian U.S. Base Rate Loan (if such Loan is denominated in Dollars), a Canadian Prime Rate Loan (if such Loan is denominated in Canadian Dollars) or an Overnight LIBO Rate Loan (if such Loan is denominated in Euros or Pounds Sterling);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failure to timely request a continuation of Multicurrency Facility Revolving Loans denominated in an Alternative Currency, such Loans shall be continued as Eurodollar Rate Loans in their original currency with an Interest Period of one month. Any such automatic conversion to Base Rate Loans, Canadian U.S. Base Rate Loans, Canadian Prime Rate Loans or Overnight LIBO Rate Loans shall be effective as of the last day of the Interest Period then in effect with respect to the applicable Eurodollar Rate Loans. If a Borrower requests a borrowing of, conversion to, or continuation of Eurodollar Rate Loans in any such Borrowing or Conversion Notice, but fails to specify an Interest Period, it will be deemed to have specified an Interest Period of one month.</w:t>
      </w:r>
    </w:p>
    <w:p>
      <w:pPr>
        <w:spacing w:after="0" w:line="186" w:lineRule="exact"/>
        <w:rPr>
          <w:sz w:val="20"/>
          <w:szCs w:val="20"/>
          <w:color w:val="auto"/>
        </w:rPr>
      </w:pPr>
    </w:p>
    <w:p>
      <w:pPr>
        <w:ind w:right="40" w:firstLine="656"/>
        <w:spacing w:after="0" w:line="284" w:lineRule="auto"/>
        <w:tabs>
          <w:tab w:leader="none" w:pos="1058" w:val="left"/>
        </w:tabs>
        <w:numPr>
          <w:ilvl w:val="0"/>
          <w:numId w:val="61"/>
        </w:numPr>
        <w:rPr>
          <w:rFonts w:ascii="Arial" w:cs="Arial" w:eastAsia="Arial" w:hAnsi="Arial"/>
          <w:sz w:val="19"/>
          <w:szCs w:val="19"/>
          <w:color w:val="auto"/>
        </w:rPr>
      </w:pPr>
      <w:r>
        <w:rPr>
          <w:rFonts w:ascii="Arial" w:cs="Arial" w:eastAsia="Arial" w:hAnsi="Arial"/>
          <w:sz w:val="17"/>
          <w:szCs w:val="17"/>
          <w:color w:val="auto"/>
        </w:rPr>
        <w:t xml:space="preserve">Following receipt of a Borrowing or Conversion Notice of U.S. Dollar Facility Revolving Loans or Multicurrency Facility Revolving Loans, the applicable Facility Agent shall promptly notify each applicable Lender of the amount of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the Loans, and if no timely notice of a conversion or continuation is provided by a Borrower, the applicable Facility Agent shall notify each applicable Lender of the details of any automatic conversion to Base Rate Loans, Canadian U.S. Base Rate Loans, Canadian Prime Rate Loans or Overnight LIBO Rate Loans or continuation described in </w:t>
      </w:r>
      <w:r>
        <w:rPr>
          <w:rFonts w:ascii="Arial" w:cs="Arial" w:eastAsia="Arial" w:hAnsi="Arial"/>
          <w:sz w:val="17"/>
          <w:szCs w:val="17"/>
          <w:u w:val="single" w:color="auto"/>
          <w:color w:val="auto"/>
        </w:rPr>
        <w:t>Section 2.02(a)</w:t>
      </w:r>
      <w:r>
        <w:rPr>
          <w:rFonts w:ascii="Arial" w:cs="Arial" w:eastAsia="Arial" w:hAnsi="Arial"/>
          <w:sz w:val="17"/>
          <w:szCs w:val="17"/>
          <w:color w:val="auto"/>
        </w:rPr>
        <w:t>. In the case of each borrowing of U.S. Dollar Facility Revolving Loans, each U.S. Dollar Facility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41" w:right="339" w:bottom="1440" w:gutter="0" w:footer="0" w:header="0"/>
        </w:sectPr>
      </w:pPr>
    </w:p>
    <w:bookmarkStart w:id="122" w:name="page123"/>
    <w:bookmarkEnd w:id="122"/>
    <w:p>
      <w:pPr>
        <w:spacing w:after="0" w:line="253" w:lineRule="auto"/>
        <w:rPr>
          <w:sz w:val="20"/>
          <w:szCs w:val="20"/>
          <w:color w:val="auto"/>
        </w:rPr>
      </w:pPr>
      <w:r>
        <w:rPr>
          <w:rFonts w:ascii="Arial" w:cs="Arial" w:eastAsia="Arial" w:hAnsi="Arial"/>
          <w:sz w:val="18"/>
          <w:szCs w:val="18"/>
          <w:color w:val="auto"/>
        </w:rPr>
        <w:t>Lender shall make the amount of its U.S. Dollar Facility Revolving Loan available to the Administrative Agent in Dollars in immediately available funds at the Administrative Agent’s Office not later than 1:00 p.m. on the Business Day specified in the applicable Borrowing or Conversion Notice. In the case of each borrowing of Multicurrency Facility Revolving Loans by any Borrower, each Multicurrency Facility Lender shall make the amount of its Multicurrency Facility Revolving Loan available to the applicable Facility Agent in Dollars, Canadian Dollars, Euros, Pounds Sterling or an Alternative Currency, as applicable, in</w:t>
      </w:r>
    </w:p>
    <w:p>
      <w:pPr>
        <w:spacing w:after="0" w:line="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immediately available funds at the applicable Facility Agent’s Office not later than 1:00 p.m. and not later than the Applicable Time specified by the applicable Facility Agent in the case of any Multicurrency Facility Revolving Loans denominated in an Alternative Currency, in each case on the Business Day specified in the applicable Borrowing or Conversion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applicable Facility Agent shall make all funds so received available to the applicable Borrower in like funds as received by such Facility Agent, either by (i) crediting the account of such Borrower on the books of JPMCB, JPMorgan Chase Bank, N.A., Toronto Branch, J.P. Morgan Europe Limited or any other applicable Facility Agent with the amount of such funds or (ii) wire transfer of such funds, in each case in accordance with instructions provided to (and reasonably acceptable to) the applicable Facility Agent by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the date the Borrowing or Conversion Notice with respect to such Borrowing of U.S. Dollar Facility Revolving Loans is given by the U.S. Borrower, there are U.S. Dollar Facility Swing Line Loans or U.S. Dollar Facility L/C Borrowings outstanding, then the proceeds of such Borrowing shall be applied, first, to the payment in full of any such U.S. Dollar Facility L/C Borrowings, and second, to the payment in full of any such U.S. Dollar Facility Swing Line Loans, and third, to the U.S. Borrower as provided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on the date the Borrowing or Conversion Notice with respect to such Borrowing of Multicurrency Facility Revolving Loans (including Multicurrency Facility Revolving Loans denominated in an Alternative Currency) is given by a Borrower, there are Multicurrency Facility Swing Line Loans or Multicurrency Facility L/C Borrowings (including Multicurrency Facility L/C Borrowings denominated in an Alternative Currency) outstanding, then the proceeds of such Borrowing shall be applied, first, to the payment in full of any such Multicurrency Facility L/C Borrowings, and second, to the payment in full of any such Multicurrency Facility Swing Line Loans, and third, to the applicable Borrower as provided above.</w:t>
      </w:r>
    </w:p>
    <w:p>
      <w:pPr>
        <w:spacing w:after="0" w:line="189" w:lineRule="exact"/>
        <w:rPr>
          <w:sz w:val="20"/>
          <w:szCs w:val="20"/>
          <w:color w:val="auto"/>
        </w:rPr>
      </w:pPr>
    </w:p>
    <w:p>
      <w:pPr>
        <w:ind w:right="160" w:firstLine="656"/>
        <w:spacing w:after="0" w:line="284" w:lineRule="auto"/>
        <w:tabs>
          <w:tab w:leader="none" w:pos="1048" w:val="left"/>
        </w:tabs>
        <w:numPr>
          <w:ilvl w:val="0"/>
          <w:numId w:val="62"/>
        </w:numPr>
        <w:rPr>
          <w:rFonts w:ascii="Arial" w:cs="Arial" w:eastAsia="Arial" w:hAnsi="Arial"/>
          <w:sz w:val="19"/>
          <w:szCs w:val="19"/>
          <w:color w:val="auto"/>
        </w:rPr>
      </w:pPr>
      <w:r>
        <w:rPr>
          <w:rFonts w:ascii="Arial" w:cs="Arial" w:eastAsia="Arial" w:hAnsi="Arial"/>
          <w:sz w:val="17"/>
          <w:szCs w:val="17"/>
          <w:color w:val="auto"/>
        </w:rPr>
        <w:t>Except as otherwise provided herein, a Eurodollar Rate Loan may be continued or converted only on the last day of an Interest Period for such Eurodollar Rate Loan. During the existence of a Default, no U.S. Dollar Facility Revolving Loans may be requested as, converted to or continued as Eurodollar Rate Loans without the consent of the Required Lenders. During the existence of a Default, no Multicurrency Facility Revolving Loans (whether in Dollars, Canadian Dollars, Euros or Pounds Sterling or in any Alternative Currency) may be requested as, converted to or continued as Eurodollar Rate Loans without the consent of the Required Multicurrency Facility Lenders.</w:t>
      </w:r>
    </w:p>
    <w:p>
      <w:pPr>
        <w:spacing w:after="0" w:line="179" w:lineRule="exact"/>
        <w:rPr>
          <w:rFonts w:ascii="Arial" w:cs="Arial" w:eastAsia="Arial" w:hAnsi="Arial"/>
          <w:sz w:val="19"/>
          <w:szCs w:val="19"/>
          <w:color w:val="auto"/>
        </w:rPr>
      </w:pPr>
    </w:p>
    <w:p>
      <w:pPr>
        <w:ind w:firstLine="656"/>
        <w:spacing w:after="0" w:line="303" w:lineRule="auto"/>
        <w:tabs>
          <w:tab w:leader="none" w:pos="1055" w:val="left"/>
        </w:tabs>
        <w:numPr>
          <w:ilvl w:val="0"/>
          <w:numId w:val="62"/>
        </w:numPr>
        <w:rPr>
          <w:rFonts w:ascii="Arial" w:cs="Arial" w:eastAsia="Arial" w:hAnsi="Arial"/>
          <w:sz w:val="18"/>
          <w:szCs w:val="18"/>
          <w:color w:val="auto"/>
        </w:rPr>
      </w:pPr>
      <w:r>
        <w:rPr>
          <w:rFonts w:ascii="Arial" w:cs="Arial" w:eastAsia="Arial" w:hAnsi="Arial"/>
          <w:sz w:val="16"/>
          <w:szCs w:val="16"/>
          <w:color w:val="auto"/>
        </w:rPr>
        <w:t>The applicable Facility Agent shall promptly notify the applicable Borrowers and the applicable Lenders of the interest rate applicable to any Interest Period for Eurodollar Rate Loans upon determination of such interest rate. At any time that Base Rate Loans are outstanding, the Administrative Agent shall notify the Borrowers and the Lenders of any change in the Administrative Agent’s prime rate used in determining the Base Rate promptly following the public announcement of such change. At any time that Canadian Prime Rate Loans or Canadian U.S. Base Rate Loans are outstanding, the Canadian Agent shall notify the Borrowers and the Multicurrency Facility Lenders of any change in the Canadian Agent’s prime rate used or other rate of interest used in determining the Canadian Prime Rate or Canadian U.S. Base Rate promptly following the public announcement of such change.</w:t>
      </w:r>
    </w:p>
    <w:p>
      <w:pPr>
        <w:spacing w:after="0" w:line="170" w:lineRule="exact"/>
        <w:rPr>
          <w:rFonts w:ascii="Arial" w:cs="Arial" w:eastAsia="Arial" w:hAnsi="Arial"/>
          <w:sz w:val="18"/>
          <w:szCs w:val="18"/>
          <w:color w:val="auto"/>
        </w:rPr>
      </w:pPr>
    </w:p>
    <w:p>
      <w:pPr>
        <w:ind w:right="160" w:firstLine="656"/>
        <w:spacing w:after="0" w:line="266" w:lineRule="auto"/>
        <w:tabs>
          <w:tab w:leader="none" w:pos="1038" w:val="left"/>
        </w:tabs>
        <w:numPr>
          <w:ilvl w:val="0"/>
          <w:numId w:val="62"/>
        </w:numPr>
        <w:rPr>
          <w:rFonts w:ascii="Arial" w:cs="Arial" w:eastAsia="Arial" w:hAnsi="Arial"/>
          <w:sz w:val="20"/>
          <w:szCs w:val="20"/>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Interest Periods in effect with respect to Loans.</w:t>
      </w:r>
    </w:p>
    <w:p>
      <w:pPr>
        <w:spacing w:after="0" w:line="190" w:lineRule="exact"/>
        <w:rPr>
          <w:rFonts w:ascii="Arial" w:cs="Arial" w:eastAsia="Arial" w:hAnsi="Arial"/>
          <w:sz w:val="20"/>
          <w:szCs w:val="20"/>
          <w:color w:val="auto"/>
        </w:rPr>
      </w:pPr>
    </w:p>
    <w:p>
      <w:pPr>
        <w:jc w:val="both"/>
        <w:ind w:right="120" w:firstLine="656"/>
        <w:spacing w:after="0" w:line="264" w:lineRule="auto"/>
        <w:tabs>
          <w:tab w:leader="none" w:pos="1022" w:val="left"/>
        </w:tabs>
        <w:numPr>
          <w:ilvl w:val="0"/>
          <w:numId w:val="62"/>
        </w:numPr>
        <w:rPr>
          <w:rFonts w:ascii="Arial" w:cs="Arial" w:eastAsia="Arial" w:hAnsi="Arial"/>
          <w:sz w:val="20"/>
          <w:szCs w:val="20"/>
          <w:color w:val="auto"/>
        </w:rPr>
      </w:pPr>
      <w:r>
        <w:rPr>
          <w:rFonts w:ascii="Arial" w:cs="Arial" w:eastAsia="Arial" w:hAnsi="Arial"/>
          <w:sz w:val="18"/>
          <w:szCs w:val="18"/>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341" w:right="359" w:bottom="1440" w:gutter="0" w:footer="0" w:header="0"/>
        </w:sectPr>
      </w:pPr>
    </w:p>
    <w:bookmarkStart w:id="123" w:name="page124"/>
    <w:bookmarkEnd w:id="123"/>
    <w:p>
      <w:pPr>
        <w:ind w:left="640"/>
        <w:spacing w:after="0"/>
        <w:tabs>
          <w:tab w:leader="none" w:pos="1140" w:val="left"/>
        </w:tabs>
        <w:rPr>
          <w:sz w:val="20"/>
          <w:szCs w:val="20"/>
          <w:color w:val="auto"/>
        </w:rPr>
      </w:pPr>
      <w:r>
        <w:rPr>
          <w:rFonts w:ascii="Arial" w:cs="Arial" w:eastAsia="Arial" w:hAnsi="Arial"/>
          <w:sz w:val="20"/>
          <w:szCs w:val="20"/>
          <w:b w:val="1"/>
          <w:bCs w:val="1"/>
          <w:color w:val="auto"/>
        </w:rPr>
        <w:t>2.03</w:t>
      </w:r>
      <w:r>
        <w:rPr>
          <w:sz w:val="20"/>
          <w:szCs w:val="20"/>
          <w:color w:val="auto"/>
        </w:rPr>
        <w:tab/>
      </w:r>
      <w:r>
        <w:rPr>
          <w:rFonts w:ascii="Arial" w:cs="Arial" w:eastAsia="Arial" w:hAnsi="Arial"/>
          <w:sz w:val="16"/>
          <w:szCs w:val="16"/>
          <w:b w:val="1"/>
          <w:bCs w:val="1"/>
          <w:u w:val="single" w:color="auto"/>
          <w:color w:val="auto"/>
        </w:rPr>
        <w:t>Letters of Credit</w:t>
      </w:r>
      <w:r>
        <w:rPr>
          <w:rFonts w:ascii="Arial" w:cs="Arial" w:eastAsia="Arial" w:hAnsi="Arial"/>
          <w:sz w:val="16"/>
          <w:szCs w:val="16"/>
          <w:color w:val="auto"/>
        </w:rPr>
        <w:t>.</w:t>
      </w:r>
    </w:p>
    <w:p>
      <w:pPr>
        <w:spacing w:after="0" w:line="238" w:lineRule="exact"/>
        <w:rPr>
          <w:sz w:val="20"/>
          <w:szCs w:val="20"/>
          <w:color w:val="auto"/>
        </w:rPr>
      </w:pPr>
    </w:p>
    <w:p>
      <w:pPr>
        <w:ind w:left="1040" w:hanging="404"/>
        <w:spacing w:after="0"/>
        <w:tabs>
          <w:tab w:leader="none" w:pos="1040" w:val="left"/>
        </w:tabs>
        <w:numPr>
          <w:ilvl w:val="0"/>
          <w:numId w:val="63"/>
        </w:numPr>
        <w:rPr>
          <w:rFonts w:ascii="Arial" w:cs="Arial" w:eastAsia="Arial" w:hAnsi="Arial"/>
          <w:sz w:val="20"/>
          <w:szCs w:val="20"/>
          <w:color w:val="auto"/>
        </w:rPr>
      </w:pPr>
      <w:r>
        <w:rPr>
          <w:rFonts w:ascii="Arial" w:cs="Arial" w:eastAsia="Arial" w:hAnsi="Arial"/>
          <w:sz w:val="18"/>
          <w:szCs w:val="18"/>
          <w:color w:val="auto"/>
        </w:rPr>
        <w:t>The Letter of Credit Commitment.</w:t>
      </w:r>
    </w:p>
    <w:p>
      <w:pPr>
        <w:spacing w:after="0" w:line="216" w:lineRule="exact"/>
        <w:rPr>
          <w:sz w:val="20"/>
          <w:szCs w:val="20"/>
          <w:color w:val="auto"/>
        </w:rPr>
      </w:pPr>
    </w:p>
    <w:p>
      <w:pPr>
        <w:ind w:left="-20" w:firstLine="656"/>
        <w:spacing w:after="0" w:line="300" w:lineRule="auto"/>
        <w:tabs>
          <w:tab w:leader="none" w:pos="995" w:val="left"/>
        </w:tabs>
        <w:numPr>
          <w:ilvl w:val="0"/>
          <w:numId w:val="64"/>
        </w:numPr>
        <w:rPr>
          <w:rFonts w:ascii="Arial" w:cs="Arial" w:eastAsia="Arial" w:hAnsi="Arial"/>
          <w:sz w:val="18"/>
          <w:szCs w:val="18"/>
          <w:color w:val="auto"/>
        </w:rPr>
      </w:pPr>
      <w:r>
        <w:rPr>
          <w:rFonts w:ascii="Arial" w:cs="Arial" w:eastAsia="Arial" w:hAnsi="Arial"/>
          <w:sz w:val="16"/>
          <w:szCs w:val="16"/>
          <w:color w:val="auto"/>
        </w:rPr>
        <w:t xml:space="preserve">Subject to the terms and conditions set forth herein, (A) each L/C Issuer agrees,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the applicable Letter of Credit Expiration Date, to issue Letters of Credit for the account of (x) the U.S. Borrower, (y) Holdings (so long as such Letter of Credit is directly related to the business of U.S. Borrower or any of its Subsidiaries) or (z) any Subsidiary of the U.S. Borrower (so long as in the case of clauses (y) and (z), (A) with respect to any Letter of Credit denominated in Dollars, the U.S. Borrower is a joint and several co-applicant, (B) with respect to any Letter of Credit denominated in Canadian Dollars, the U.S. Borrower and the Canadian Borrower are joint and several co-applicants and references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deemed to include Holdings or such Subsidiary, (C) with respect to any Letter of Credit denominated in Euros or Pounds Sterling, the U.S. Borrower and the Dutch Borrower are joint and several co-applicants and references under this Section 2.03 shall be deemed to include Holdings or such Subsidiary and (D) with respect to any Letter of Credit denominated in an Alternative Currency, the U.S. Borrower is the applicant or a joint and several co-applicant) and to amend or extend Letters of Credit previously issued by it, in accordance with subsection (b) below, and (2) to honor drawings under the Letters of Credit; and (B) the Lenders severally agree to participate in Letters of Credit issued for the account of Holdings, the applicable Borrower or such Subsidiary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U.S. Dollar Facility L/C Credit Extension with respect to any U.S. Dollar Facility Letter of Credit, (x) the Outstanding Amount of the U.S. Dollar Facility Revolving Loans of any U.S. Dollar Facility Lender, plus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Outstanding Amount of all U.S. Dollar Facility L/C Obligations, plus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Outstanding Amount of all U.S. Dollar Facility Swing Line Loans shall not exceed such Lender’s U.S. Dollar Facility Commitment and (y) the Outstanding Amount of the U.S. Dollar Facility L/C Obligations shall not exceed the U.S. Dollar Facility Letter of Credit Sublimit;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after giving effect to any Multicurrency Facility L/C Credit Extension with respect to any Multicurrency Facility Letter of Credit, (x) the Outstanding Amount of the Multicurrency Facility Revolving Loans of any Multicurrency Facility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Outstanding Amount of all Multicurrency Facility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Outstanding Amount of all Multicurrency Facility Swing Line Loans shall not exceed such Lender’s Multicurrency Facility Commitment and (y) the Outstanding Amount of the Multicurrency Facility L/C Obligations shall not exceed the Multicurrency Facility Letter of Credit Sublimit. Within the foregoing limits, and subject to the terms and conditions hereof, each Borrower’s ability to obtain Letters of Credit shall be fully revolving, and accordingly each Borrower may, during the foregoing period, obtain Letters of Credit to replace Letters of Credit that have expired or that have been drawn upon and reimbursed. All Existing Letters of Credit shall be deemed to have been issued pursuant hereto, and from and after the Fourth Restatement Date shall be subject to and governed by the terms and conditions hereof. Notwithstanding that a Letter of Credit issued or outstanding hereunder is in support of any obligations of, or is for the account of, a Subsidiary that is not a Loan Party, the U.S. Borrower, the Canadian Borrower and the Dutch Borrower, as applicable, shall be obligated to reimburse the applicable L/C Issuer hereunder for any and all drawings under such Letter of Credit. The U.S. Borrower, the Canadian Borrower and the Dutch Borrower hereby acknowledge that the issuance of Letters of Credit for the account of Subsidiaries (other than Loan Parties) inures to the benefit of the U.S. Borrower the Canadian Borrower and the Dutch Borrower, as applicable, and the business of the U.S. Borrower, the Canadian Borrower and the Dutch Borrower derives substantial benefits from the businesses of such Subsidiaries.</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20"/>
          <w:szCs w:val="20"/>
          <w:color w:val="auto"/>
        </w:rPr>
      </w:pPr>
      <w:r>
        <w:rPr>
          <w:rFonts w:ascii="Arial" w:cs="Arial" w:eastAsia="Arial" w:hAnsi="Arial"/>
          <w:sz w:val="18"/>
          <w:szCs w:val="18"/>
          <w:color w:val="auto"/>
        </w:rPr>
        <w:t>(A) No U.S. Dollar Facility L/C Issuer shall be under any obligation to issue any U.S. Dollar Facility Letter of Credit, if:</w:t>
      </w:r>
    </w:p>
    <w:p>
      <w:pPr>
        <w:spacing w:after="0" w:line="216" w:lineRule="exact"/>
        <w:rPr>
          <w:sz w:val="20"/>
          <w:szCs w:val="20"/>
          <w:color w:val="auto"/>
        </w:rPr>
      </w:pPr>
    </w:p>
    <w:p>
      <w:pPr>
        <w:ind w:left="-20" w:right="320" w:firstLine="656"/>
        <w:spacing w:after="0" w:line="266" w:lineRule="auto"/>
        <w:tabs>
          <w:tab w:leader="none" w:pos="875" w:val="left"/>
        </w:tabs>
        <w:numPr>
          <w:ilvl w:val="0"/>
          <w:numId w:val="65"/>
        </w:numPr>
        <w:rPr>
          <w:rFonts w:ascii="Arial" w:cs="Arial" w:eastAsia="Arial" w:hAnsi="Arial"/>
          <w:sz w:val="20"/>
          <w:szCs w:val="20"/>
          <w:color w:val="auto"/>
        </w:rPr>
      </w:pPr>
      <w:r>
        <w:rPr>
          <w:rFonts w:ascii="Arial" w:cs="Arial" w:eastAsia="Arial" w:hAnsi="Arial"/>
          <w:sz w:val="18"/>
          <w:szCs w:val="18"/>
          <w:color w:val="auto"/>
        </w:rPr>
        <w:t>subject to Section 2.03(b)(iii), the expiry date of such requested U.S. Dollar Facility Letter of Credit would occur more than twelve months after the date of issuance or last extension, unless the Required Lenders have approved such expiry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40" w:top="765" w:right="339" w:bottom="1440" w:gutter="0" w:footer="0" w:header="0"/>
        </w:sectPr>
      </w:pPr>
    </w:p>
    <w:bookmarkStart w:id="124" w:name="page125"/>
    <w:bookmarkEnd w:id="124"/>
    <w:p>
      <w:pPr>
        <w:ind w:firstLine="656"/>
        <w:spacing w:after="0" w:line="266" w:lineRule="auto"/>
        <w:tabs>
          <w:tab w:leader="none" w:pos="961" w:val="left"/>
        </w:tabs>
        <w:numPr>
          <w:ilvl w:val="0"/>
          <w:numId w:val="66"/>
        </w:numPr>
        <w:rPr>
          <w:rFonts w:ascii="Arial" w:cs="Arial" w:eastAsia="Arial" w:hAnsi="Arial"/>
          <w:sz w:val="20"/>
          <w:szCs w:val="20"/>
          <w:color w:val="auto"/>
        </w:rPr>
      </w:pPr>
      <w:r>
        <w:rPr>
          <w:rFonts w:ascii="Arial" w:cs="Arial" w:eastAsia="Arial" w:hAnsi="Arial"/>
          <w:sz w:val="18"/>
          <w:szCs w:val="18"/>
          <w:color w:val="auto"/>
        </w:rPr>
        <w:t>the expiry date of such requested U.S. Dollar Facility Letter of Credit would occur after the Letter of Credit Expiration Date applicable to U.S. Dollar Facility Letters of Credit, unless all the Lenders have approved such expiry date;</w:t>
      </w:r>
    </w:p>
    <w:p>
      <w:pPr>
        <w:spacing w:after="0" w:line="191" w:lineRule="exact"/>
        <w:rPr>
          <w:sz w:val="20"/>
          <w:szCs w:val="20"/>
          <w:color w:val="auto"/>
        </w:rPr>
      </w:pPr>
    </w:p>
    <w:p>
      <w:pPr>
        <w:ind w:right="120" w:firstLine="656"/>
        <w:spacing w:after="0" w:line="283" w:lineRule="auto"/>
        <w:tabs>
          <w:tab w:leader="none" w:pos="1157" w:val="left"/>
        </w:tabs>
        <w:numPr>
          <w:ilvl w:val="0"/>
          <w:numId w:val="67"/>
        </w:numPr>
        <w:rPr>
          <w:rFonts w:ascii="Arial" w:cs="Arial" w:eastAsia="Arial" w:hAnsi="Arial"/>
          <w:sz w:val="19"/>
          <w:szCs w:val="19"/>
          <w:color w:val="auto"/>
        </w:rPr>
      </w:pPr>
      <w:r>
        <w:rPr>
          <w:rFonts w:ascii="Arial" w:cs="Arial" w:eastAsia="Arial" w:hAnsi="Arial"/>
          <w:sz w:val="17"/>
          <w:szCs w:val="17"/>
          <w:color w:val="auto"/>
        </w:rPr>
        <w:t>any order, judgment or decree of any Governmental Authority or arbitrator shall by its terms purport to enjoin or restrain the U.S. Dollar Facility L/C Issuer from issuing such U.S. Dollar Facility Letter of Credit, or any Law applicable to the U.S. Dollar Facility L/C Issuer or any request or directive (whether or not having the force of law) from any Governmental Authority with jurisdiction over the U.S. Dollar Facility L/C Issuer shall prohibit, or request that the U.S. Dollar Facility L/C Issuer refrain from, the issuance of letters of credit generally or such U.S. Dollar Facility Letter of Credit in particular or shall impose upon the U.S. Dollar Facility L/C Issuer with respect to such U.S. Dollar Facility Letter of Credit any restriction, reserve or capital requirement (for which the U.S. Dollar Facility L/C Issuer is not otherwise compensated hereunder) not in effect on the Closing Date, or shall impose upon the U.S. Dollar Facility L/C Issuer any unreimbursed loss, cost or expense which was not applicable on the Closing Date and which the U.S. Dollar Facility L/C Issuer in good faith deems material to it;</w:t>
      </w:r>
    </w:p>
    <w:p>
      <w:pPr>
        <w:spacing w:after="0" w:line="165" w:lineRule="exact"/>
        <w:rPr>
          <w:sz w:val="20"/>
          <w:szCs w:val="20"/>
          <w:color w:val="auto"/>
        </w:rPr>
      </w:pPr>
    </w:p>
    <w:p>
      <w:pPr>
        <w:ind w:firstLine="648"/>
        <w:spacing w:after="0" w:line="256" w:lineRule="auto"/>
        <w:rPr>
          <w:sz w:val="20"/>
          <w:szCs w:val="20"/>
          <w:color w:val="auto"/>
        </w:rPr>
      </w:pPr>
      <w:r>
        <w:rPr>
          <w:rFonts w:ascii="Arial" w:cs="Arial" w:eastAsia="Arial" w:hAnsi="Arial"/>
          <w:sz w:val="20"/>
          <w:szCs w:val="20"/>
          <w:color w:val="auto"/>
        </w:rPr>
        <w:t xml:space="preserve">(IV) </w:t>
      </w:r>
      <w:r>
        <w:rPr>
          <w:rFonts w:ascii="Arial" w:cs="Arial" w:eastAsia="Arial" w:hAnsi="Arial"/>
          <w:sz w:val="17"/>
          <w:szCs w:val="17"/>
          <w:color w:val="auto"/>
        </w:rPr>
        <w:t>the issuance of such U.S. Dollar Facility Letter of Credit would violate one or more policies of the U.S. Dollar Facility L/C Issuer generally</w:t>
      </w:r>
      <w:r>
        <w:rPr>
          <w:rFonts w:ascii="Arial" w:cs="Arial" w:eastAsia="Arial" w:hAnsi="Arial"/>
          <w:sz w:val="20"/>
          <w:szCs w:val="20"/>
          <w:color w:val="auto"/>
        </w:rPr>
        <w:t xml:space="preserve"> </w:t>
      </w:r>
      <w:r>
        <w:rPr>
          <w:rFonts w:ascii="Arial" w:cs="Arial" w:eastAsia="Arial" w:hAnsi="Arial"/>
          <w:sz w:val="17"/>
          <w:szCs w:val="17"/>
          <w:color w:val="auto"/>
        </w:rPr>
        <w:t>applicable to the issuance of letters of credit;</w:t>
      </w:r>
    </w:p>
    <w:p>
      <w:pPr>
        <w:spacing w:after="0" w:line="200" w:lineRule="exact"/>
        <w:rPr>
          <w:sz w:val="20"/>
          <w:szCs w:val="20"/>
          <w:color w:val="auto"/>
        </w:rPr>
      </w:pPr>
    </w:p>
    <w:p>
      <w:pPr>
        <w:ind w:left="1120" w:hanging="464"/>
        <w:spacing w:after="0"/>
        <w:tabs>
          <w:tab w:leader="none" w:pos="1120" w:val="left"/>
        </w:tabs>
        <w:numPr>
          <w:ilvl w:val="0"/>
          <w:numId w:val="68"/>
        </w:numPr>
        <w:rPr>
          <w:rFonts w:ascii="Arial" w:cs="Arial" w:eastAsia="Arial" w:hAnsi="Arial"/>
          <w:sz w:val="20"/>
          <w:szCs w:val="20"/>
          <w:color w:val="auto"/>
        </w:rPr>
      </w:pPr>
      <w:r>
        <w:rPr>
          <w:rFonts w:ascii="Arial" w:cs="Arial" w:eastAsia="Arial" w:hAnsi="Arial"/>
          <w:sz w:val="18"/>
          <w:szCs w:val="18"/>
          <w:color w:val="auto"/>
        </w:rPr>
        <w:t>such U.S. Dollar Facility Letter of Credit is to be denominated in a currency other than Dollars;</w:t>
      </w:r>
    </w:p>
    <w:p>
      <w:pPr>
        <w:spacing w:after="0" w:line="200" w:lineRule="exact"/>
        <w:rPr>
          <w:sz w:val="20"/>
          <w:szCs w:val="20"/>
          <w:color w:val="auto"/>
        </w:rPr>
      </w:pPr>
    </w:p>
    <w:p>
      <w:pPr>
        <w:ind w:right="80" w:firstLine="648"/>
        <w:spacing w:after="0" w:line="288" w:lineRule="auto"/>
        <w:rPr>
          <w:sz w:val="20"/>
          <w:szCs w:val="20"/>
          <w:color w:val="auto"/>
        </w:rPr>
      </w:pPr>
      <w:r>
        <w:rPr>
          <w:rFonts w:ascii="Arial" w:cs="Arial" w:eastAsia="Arial" w:hAnsi="Arial"/>
          <w:sz w:val="19"/>
          <w:szCs w:val="19"/>
          <w:color w:val="auto"/>
        </w:rPr>
        <w:t xml:space="preserve">(VI) </w:t>
      </w:r>
      <w:r>
        <w:rPr>
          <w:rFonts w:ascii="Arial" w:cs="Arial" w:eastAsia="Arial" w:hAnsi="Arial"/>
          <w:sz w:val="16"/>
          <w:szCs w:val="16"/>
          <w:color w:val="auto"/>
        </w:rPr>
        <w:t>any U.S. Dollar Facility Lender is at that time a Defaulting Lender, unless the U.S. Dollar Facility L/C Issuer has entered into</w:t>
      </w:r>
      <w:r>
        <w:rPr>
          <w:rFonts w:ascii="Arial" w:cs="Arial" w:eastAsia="Arial" w:hAnsi="Arial"/>
          <w:sz w:val="19"/>
          <w:szCs w:val="19"/>
          <w:color w:val="auto"/>
        </w:rPr>
        <w:t xml:space="preserve"> </w:t>
      </w:r>
      <w:r>
        <w:rPr>
          <w:rFonts w:ascii="Arial" w:cs="Arial" w:eastAsia="Arial" w:hAnsi="Arial"/>
          <w:sz w:val="16"/>
          <w:szCs w:val="16"/>
          <w:color w:val="auto"/>
        </w:rPr>
        <w:t xml:space="preserve">arrangements, including the delivery of Cash Collateral, satisfactory to the U.S. Dollar Facility L/C Issuer (in its sole discretion) with the U.S. Borrower or such U.S. Dollar Facility Lender to eliminate the U.S. Dollar Facility L/C Issuer’s actual or potential Fronting Exposure (after giving effect to </w:t>
      </w:r>
      <w:r>
        <w:rPr>
          <w:rFonts w:ascii="Arial" w:cs="Arial" w:eastAsia="Arial" w:hAnsi="Arial"/>
          <w:sz w:val="16"/>
          <w:szCs w:val="16"/>
          <w:u w:val="single" w:color="auto"/>
          <w:color w:val="auto"/>
        </w:rPr>
        <w:t>Section</w:t>
      </w:r>
    </w:p>
    <w:p>
      <w:pPr>
        <w:spacing w:after="0" w:line="2"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u w:val="single" w:color="auto"/>
          <w:color w:val="auto"/>
        </w:rPr>
        <w:t>2.16(a)(iv)</w:t>
      </w:r>
      <w:r>
        <w:rPr>
          <w:rFonts w:ascii="Arial" w:cs="Arial" w:eastAsia="Arial" w:hAnsi="Arial"/>
          <w:sz w:val="18"/>
          <w:szCs w:val="18"/>
          <w:color w:val="auto"/>
        </w:rPr>
        <w:t>) with respect to the Defaulting Lender arising from either the U.S. Dollar Facility Letter of Credit then proposed to be issued or that U.S. Dollar Facility Letter of Credit and all other U.S. Dollar Facility L/C Obligations as to which the U.S. Dollar Facility L/C Issuer has actual or potential Fronting Exposure, as it may elect in its sole discretion;</w:t>
      </w:r>
    </w:p>
    <w:p>
      <w:pPr>
        <w:spacing w:after="0" w:line="166" w:lineRule="exact"/>
        <w:rPr>
          <w:sz w:val="20"/>
          <w:szCs w:val="20"/>
          <w:color w:val="auto"/>
        </w:rPr>
      </w:pPr>
    </w:p>
    <w:p>
      <w:pPr>
        <w:ind w:right="260" w:firstLine="648"/>
        <w:spacing w:after="0" w:line="268" w:lineRule="auto"/>
        <w:rPr>
          <w:sz w:val="20"/>
          <w:szCs w:val="20"/>
          <w:color w:val="auto"/>
        </w:rPr>
      </w:pPr>
      <w:r>
        <w:rPr>
          <w:rFonts w:ascii="Arial" w:cs="Arial" w:eastAsia="Arial" w:hAnsi="Arial"/>
          <w:sz w:val="20"/>
          <w:szCs w:val="20"/>
          <w:color w:val="auto"/>
        </w:rPr>
        <w:t xml:space="preserve">(VII) </w:t>
      </w:r>
      <w:r>
        <w:rPr>
          <w:rFonts w:ascii="Arial" w:cs="Arial" w:eastAsia="Arial" w:hAnsi="Arial"/>
          <w:sz w:val="17"/>
          <w:szCs w:val="17"/>
          <w:color w:val="auto"/>
        </w:rPr>
        <w:t>in the case of JPMorgan Chase Bank, N.A. and its Affiliates and branches only, after giving effect to such U.S. Dollar Facility Letter of</w:t>
      </w:r>
      <w:r>
        <w:rPr>
          <w:rFonts w:ascii="Arial" w:cs="Arial" w:eastAsia="Arial" w:hAnsi="Arial"/>
          <w:sz w:val="20"/>
          <w:szCs w:val="20"/>
          <w:color w:val="auto"/>
        </w:rPr>
        <w:t xml:space="preserve"> </w:t>
      </w:r>
      <w:r>
        <w:rPr>
          <w:rFonts w:ascii="Arial" w:cs="Arial" w:eastAsia="Arial" w:hAnsi="Arial"/>
          <w:sz w:val="17"/>
          <w:szCs w:val="17"/>
          <w:color w:val="auto"/>
        </w:rPr>
        <w:t>Credit, the Outstanding Amount of the U.S. Dollar Facility L/C Obligations in respect of all U.S. Dollar Facility Letters of Credit issued by JPMorgan Chase Bank, N.A. and/or its Affiliates and branches, in the aggregate, shall exceed $33,333,333.34;</w:t>
      </w:r>
    </w:p>
    <w:p>
      <w:pPr>
        <w:spacing w:after="0" w:line="173" w:lineRule="exact"/>
        <w:rPr>
          <w:sz w:val="20"/>
          <w:szCs w:val="20"/>
          <w:color w:val="auto"/>
        </w:rPr>
      </w:pPr>
    </w:p>
    <w:p>
      <w:pPr>
        <w:ind w:right="60" w:firstLine="648"/>
        <w:spacing w:after="0" w:line="268" w:lineRule="auto"/>
        <w:rPr>
          <w:sz w:val="20"/>
          <w:szCs w:val="20"/>
          <w:color w:val="auto"/>
        </w:rPr>
      </w:pPr>
      <w:r>
        <w:rPr>
          <w:rFonts w:ascii="Arial" w:cs="Arial" w:eastAsia="Arial" w:hAnsi="Arial"/>
          <w:sz w:val="20"/>
          <w:szCs w:val="20"/>
          <w:color w:val="auto"/>
        </w:rPr>
        <w:t xml:space="preserve">(VIII) </w:t>
      </w:r>
      <w:r>
        <w:rPr>
          <w:rFonts w:ascii="Arial" w:cs="Arial" w:eastAsia="Arial" w:hAnsi="Arial"/>
          <w:sz w:val="17"/>
          <w:szCs w:val="17"/>
          <w:color w:val="auto"/>
        </w:rPr>
        <w:t>in the case of Bank of America, N.A. and its Affiliates and branches only, after giving effect to such U.S. Dollar Facility Letter of Credit,</w:t>
      </w:r>
      <w:r>
        <w:rPr>
          <w:rFonts w:ascii="Arial" w:cs="Arial" w:eastAsia="Arial" w:hAnsi="Arial"/>
          <w:sz w:val="20"/>
          <w:szCs w:val="20"/>
          <w:color w:val="auto"/>
        </w:rPr>
        <w:t xml:space="preserve"> </w:t>
      </w:r>
      <w:r>
        <w:rPr>
          <w:rFonts w:ascii="Arial" w:cs="Arial" w:eastAsia="Arial" w:hAnsi="Arial"/>
          <w:sz w:val="17"/>
          <w:szCs w:val="17"/>
          <w:color w:val="auto"/>
        </w:rPr>
        <w:t>the Outstanding Amount of the U.S. Dollar Facility L/C Obligations in respect of all U.S. Dollar Facility Letters of Credit issued by Bank of America and/or its Affiliates and branches, in the aggregate, shall exceed $33,333,333.33; or</w:t>
      </w:r>
    </w:p>
    <w:p>
      <w:pPr>
        <w:spacing w:after="0" w:line="173" w:lineRule="exact"/>
        <w:rPr>
          <w:sz w:val="20"/>
          <w:szCs w:val="20"/>
          <w:color w:val="auto"/>
        </w:rPr>
      </w:pPr>
    </w:p>
    <w:p>
      <w:pPr>
        <w:ind w:right="180" w:firstLine="648"/>
        <w:spacing w:after="0" w:line="268" w:lineRule="auto"/>
        <w:rPr>
          <w:sz w:val="20"/>
          <w:szCs w:val="20"/>
          <w:color w:val="auto"/>
        </w:rPr>
      </w:pPr>
      <w:r>
        <w:rPr>
          <w:rFonts w:ascii="Arial" w:cs="Arial" w:eastAsia="Arial" w:hAnsi="Arial"/>
          <w:sz w:val="20"/>
          <w:szCs w:val="20"/>
          <w:color w:val="auto"/>
        </w:rPr>
        <w:t xml:space="preserve">(IX) </w:t>
      </w:r>
      <w:r>
        <w:rPr>
          <w:rFonts w:ascii="Arial" w:cs="Arial" w:eastAsia="Arial" w:hAnsi="Arial"/>
          <w:sz w:val="17"/>
          <w:szCs w:val="17"/>
          <w:color w:val="auto"/>
        </w:rPr>
        <w:t>in the case of Bank of Montreal and its Affiliates and branches only, after giving effect to such U.S. Dollar Facility Letter of Credit, the</w:t>
      </w:r>
      <w:r>
        <w:rPr>
          <w:rFonts w:ascii="Arial" w:cs="Arial" w:eastAsia="Arial" w:hAnsi="Arial"/>
          <w:sz w:val="20"/>
          <w:szCs w:val="20"/>
          <w:color w:val="auto"/>
        </w:rPr>
        <w:t xml:space="preserve"> </w:t>
      </w:r>
      <w:r>
        <w:rPr>
          <w:rFonts w:ascii="Arial" w:cs="Arial" w:eastAsia="Arial" w:hAnsi="Arial"/>
          <w:sz w:val="17"/>
          <w:szCs w:val="17"/>
          <w:color w:val="auto"/>
        </w:rPr>
        <w:t>Outstanding Amount of the U.S. Dollar Facility L/C Obligations in respect of all U.S. Dollar Facility Letters of Credit issued by Bank of Montreal and/or its Affiliates and branches, in the aggregate, shall exceed $33,333,333.33.</w:t>
      </w:r>
    </w:p>
    <w:p>
      <w:pPr>
        <w:spacing w:after="0" w:line="189" w:lineRule="exact"/>
        <w:rPr>
          <w:sz w:val="20"/>
          <w:szCs w:val="20"/>
          <w:color w:val="auto"/>
        </w:rPr>
      </w:pPr>
    </w:p>
    <w:p>
      <w:pPr>
        <w:jc w:val="center"/>
        <w:ind w:left="5540" w:right="1340" w:hanging="4884"/>
        <w:spacing w:after="0" w:line="751" w:lineRule="auto"/>
        <w:tabs>
          <w:tab w:leader="none" w:pos="1106" w:val="left"/>
        </w:tabs>
        <w:numPr>
          <w:ilvl w:val="0"/>
          <w:numId w:val="69"/>
        </w:numPr>
        <w:rPr>
          <w:rFonts w:ascii="Arial" w:cs="Arial" w:eastAsia="Arial" w:hAnsi="Arial"/>
          <w:sz w:val="20"/>
          <w:szCs w:val="20"/>
          <w:color w:val="auto"/>
        </w:rPr>
      </w:pPr>
      <w:r>
        <w:rPr>
          <w:rFonts w:ascii="Arial" w:cs="Arial" w:eastAsia="Arial" w:hAnsi="Arial"/>
          <w:sz w:val="18"/>
          <w:szCs w:val="18"/>
          <w:color w:val="auto"/>
        </w:rPr>
        <w:t>No Multicurrency Facility L/C Issuer shall be under any obligation to issue any Multicurrency Facility Letter of Credit, if: 56</w:t>
      </w:r>
    </w:p>
    <w:p>
      <w:pPr>
        <w:sectPr>
          <w:pgSz w:w="11900" w:h="16838" w:orient="portrait"/>
          <w:cols w:equalWidth="0" w:num="1">
            <w:col w:w="11240"/>
          </w:cols>
          <w:pgMar w:left="320" w:top="787" w:right="339" w:bottom="1440" w:gutter="0" w:footer="0" w:header="0"/>
        </w:sectPr>
      </w:pPr>
    </w:p>
    <w:bookmarkStart w:id="125" w:name="page126"/>
    <w:bookmarkEnd w:id="125"/>
    <w:p>
      <w:pPr>
        <w:ind w:right="540" w:firstLine="656"/>
        <w:spacing w:after="0" w:line="329" w:lineRule="auto"/>
        <w:tabs>
          <w:tab w:leader="none" w:pos="1026" w:val="left"/>
        </w:tabs>
        <w:numPr>
          <w:ilvl w:val="0"/>
          <w:numId w:val="70"/>
        </w:numPr>
        <w:rPr>
          <w:rFonts w:ascii="Arial" w:cs="Arial" w:eastAsia="Arial" w:hAnsi="Arial"/>
          <w:sz w:val="18"/>
          <w:szCs w:val="18"/>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2.03(b)(iii)</w:t>
      </w:r>
      <w:r>
        <w:rPr>
          <w:rFonts w:ascii="Arial" w:cs="Arial" w:eastAsia="Arial" w:hAnsi="Arial"/>
          <w:sz w:val="16"/>
          <w:szCs w:val="16"/>
          <w:color w:val="auto"/>
        </w:rPr>
        <w:t>, the expiry date of such requested Multicurrency Facility Letter of Credit would occur more than twelve months after the date of issuance or last extension, unless the Required Multicurrency Facility Lenders have approved such expiry date;</w:t>
      </w:r>
    </w:p>
    <w:p>
      <w:pPr>
        <w:spacing w:after="0" w:line="139" w:lineRule="exact"/>
        <w:rPr>
          <w:sz w:val="20"/>
          <w:szCs w:val="20"/>
          <w:color w:val="auto"/>
        </w:rPr>
      </w:pPr>
    </w:p>
    <w:p>
      <w:pPr>
        <w:ind w:right="20" w:firstLine="656"/>
        <w:spacing w:after="0" w:line="266" w:lineRule="auto"/>
        <w:tabs>
          <w:tab w:leader="none" w:pos="1091" w:val="left"/>
        </w:tabs>
        <w:numPr>
          <w:ilvl w:val="0"/>
          <w:numId w:val="71"/>
        </w:numPr>
        <w:rPr>
          <w:rFonts w:ascii="Arial" w:cs="Arial" w:eastAsia="Arial" w:hAnsi="Arial"/>
          <w:sz w:val="20"/>
          <w:szCs w:val="20"/>
          <w:color w:val="auto"/>
        </w:rPr>
      </w:pPr>
      <w:r>
        <w:rPr>
          <w:rFonts w:ascii="Arial" w:cs="Arial" w:eastAsia="Arial" w:hAnsi="Arial"/>
          <w:sz w:val="18"/>
          <w:szCs w:val="18"/>
          <w:color w:val="auto"/>
        </w:rPr>
        <w:t>the expiry date of such requested Multicurrency Facility Letter of Credit would occur after the Letter of Credit Expiration Date applicable to Multicurrency Facility Letters of Credit, unless all the Lenders have approved such expiry date;</w:t>
      </w:r>
    </w:p>
    <w:p>
      <w:pPr>
        <w:spacing w:after="0" w:line="191" w:lineRule="exact"/>
        <w:rPr>
          <w:sz w:val="20"/>
          <w:szCs w:val="20"/>
          <w:color w:val="auto"/>
        </w:rPr>
      </w:pPr>
    </w:p>
    <w:p>
      <w:pPr>
        <w:ind w:right="20" w:firstLine="656"/>
        <w:spacing w:after="0" w:line="283" w:lineRule="auto"/>
        <w:tabs>
          <w:tab w:leader="none" w:pos="1157" w:val="left"/>
        </w:tabs>
        <w:numPr>
          <w:ilvl w:val="0"/>
          <w:numId w:val="72"/>
        </w:numPr>
        <w:rPr>
          <w:rFonts w:ascii="Arial" w:cs="Arial" w:eastAsia="Arial" w:hAnsi="Arial"/>
          <w:sz w:val="19"/>
          <w:szCs w:val="19"/>
          <w:color w:val="auto"/>
        </w:rPr>
      </w:pPr>
      <w:r>
        <w:rPr>
          <w:rFonts w:ascii="Arial" w:cs="Arial" w:eastAsia="Arial" w:hAnsi="Arial"/>
          <w:sz w:val="17"/>
          <w:szCs w:val="17"/>
          <w:color w:val="auto"/>
        </w:rPr>
        <w:t>any order, judgment or decree of any Governmental Authority or arbitrator shall by its terms purport to enjoin or restrain the Multicurrency Facility L/C Issuer from issuing such Multicurrency Facility Letter of Credit, or any Law applicable to the Multicurrency Facility L/C Issuer or any request or directive (whether or not having the force of law) from any Governmental Authority with jurisdiction over the Multicurrency Facility L/C Issuer shall prohibit, or request that the Multicurrency Facility L/C Issuer refrain from, the issuance of letters of credit generally or such Multicurrency Facility Letter of Credit in particular or shall impose upon the Multicurrency Facility L/C Issuer with respect to such Multicurrency Facility Letter of Credit any restriction, reserve or capital requirement (for which the Multicurrency Facility L/C Issuer is not otherwise compensated hereunder) not in effect on the Closing Date, or shall impose upon the Multicurrency Facility L/C Issuer any unreimbursed loss, cost or expense which was not applicable on the Closing Date and which the Multicurrency Facility L/C Issuer in good faith deems material to it;</w:t>
      </w:r>
    </w:p>
    <w:p>
      <w:pPr>
        <w:spacing w:after="0" w:line="165" w:lineRule="exact"/>
        <w:rPr>
          <w:sz w:val="20"/>
          <w:szCs w:val="20"/>
          <w:color w:val="auto"/>
        </w:rPr>
      </w:pPr>
    </w:p>
    <w:p>
      <w:pPr>
        <w:ind w:right="280" w:firstLine="648"/>
        <w:spacing w:after="0" w:line="256" w:lineRule="auto"/>
        <w:rPr>
          <w:sz w:val="20"/>
          <w:szCs w:val="20"/>
          <w:color w:val="auto"/>
        </w:rPr>
      </w:pPr>
      <w:r>
        <w:rPr>
          <w:rFonts w:ascii="Arial" w:cs="Arial" w:eastAsia="Arial" w:hAnsi="Arial"/>
          <w:sz w:val="20"/>
          <w:szCs w:val="20"/>
          <w:color w:val="auto"/>
        </w:rPr>
        <w:t xml:space="preserve">(IV) </w:t>
      </w:r>
      <w:r>
        <w:rPr>
          <w:rFonts w:ascii="Arial" w:cs="Arial" w:eastAsia="Arial" w:hAnsi="Arial"/>
          <w:sz w:val="17"/>
          <w:szCs w:val="17"/>
          <w:color w:val="auto"/>
        </w:rPr>
        <w:t>the issuance of such Multicurrency Facility Letter of Credit would violate one or more policies of the Multicurrency Facility L/C Issuer</w:t>
      </w:r>
      <w:r>
        <w:rPr>
          <w:rFonts w:ascii="Arial" w:cs="Arial" w:eastAsia="Arial" w:hAnsi="Arial"/>
          <w:sz w:val="20"/>
          <w:szCs w:val="20"/>
          <w:color w:val="auto"/>
        </w:rPr>
        <w:t xml:space="preserve"> </w:t>
      </w:r>
      <w:r>
        <w:rPr>
          <w:rFonts w:ascii="Arial" w:cs="Arial" w:eastAsia="Arial" w:hAnsi="Arial"/>
          <w:sz w:val="17"/>
          <w:szCs w:val="17"/>
          <w:color w:val="auto"/>
        </w:rPr>
        <w:t>generally applicable to the issuance of letters of credit;</w:t>
      </w:r>
    </w:p>
    <w:p>
      <w:pPr>
        <w:spacing w:after="0" w:line="200" w:lineRule="exact"/>
        <w:rPr>
          <w:sz w:val="20"/>
          <w:szCs w:val="20"/>
          <w:color w:val="auto"/>
        </w:rPr>
      </w:pPr>
    </w:p>
    <w:p>
      <w:pPr>
        <w:ind w:firstLine="656"/>
        <w:spacing w:after="0" w:line="266" w:lineRule="auto"/>
        <w:tabs>
          <w:tab w:leader="none" w:pos="1103" w:val="left"/>
        </w:tabs>
        <w:numPr>
          <w:ilvl w:val="0"/>
          <w:numId w:val="73"/>
        </w:numPr>
        <w:rPr>
          <w:rFonts w:ascii="Arial" w:cs="Arial" w:eastAsia="Arial" w:hAnsi="Arial"/>
          <w:sz w:val="20"/>
          <w:szCs w:val="20"/>
          <w:color w:val="auto"/>
        </w:rPr>
      </w:pPr>
      <w:r>
        <w:rPr>
          <w:rFonts w:ascii="Arial" w:cs="Arial" w:eastAsia="Arial" w:hAnsi="Arial"/>
          <w:sz w:val="18"/>
          <w:szCs w:val="18"/>
          <w:color w:val="auto"/>
        </w:rPr>
        <w:t>such Multicurrency Facility Letter of Credit is to be denominated in a currency other than Dollars, Canadian Dollars, Euros, Pounds Sterling or an Alternative Currency;</w:t>
      </w:r>
    </w:p>
    <w:p>
      <w:pPr>
        <w:spacing w:after="0" w:line="175" w:lineRule="exact"/>
        <w:rPr>
          <w:sz w:val="20"/>
          <w:szCs w:val="20"/>
          <w:color w:val="auto"/>
        </w:rPr>
      </w:pPr>
    </w:p>
    <w:p>
      <w:pPr>
        <w:ind w:right="40" w:firstLine="648"/>
        <w:spacing w:after="0" w:line="274" w:lineRule="auto"/>
        <w:rPr>
          <w:sz w:val="20"/>
          <w:szCs w:val="20"/>
          <w:color w:val="auto"/>
        </w:rPr>
      </w:pPr>
      <w:r>
        <w:rPr>
          <w:rFonts w:ascii="Arial" w:cs="Arial" w:eastAsia="Arial" w:hAnsi="Arial"/>
          <w:sz w:val="20"/>
          <w:szCs w:val="20"/>
          <w:color w:val="auto"/>
        </w:rPr>
        <w:t xml:space="preserve">(VI) </w:t>
      </w:r>
      <w:r>
        <w:rPr>
          <w:rFonts w:ascii="Arial" w:cs="Arial" w:eastAsia="Arial" w:hAnsi="Arial"/>
          <w:sz w:val="17"/>
          <w:szCs w:val="17"/>
          <w:color w:val="auto"/>
        </w:rPr>
        <w:t>any Multicurrency Facility Lender is at that time a Defaulting Lender, unless the Multicurrency Facility L/C Issuer has entered into</w:t>
      </w:r>
      <w:r>
        <w:rPr>
          <w:rFonts w:ascii="Arial" w:cs="Arial" w:eastAsia="Arial" w:hAnsi="Arial"/>
          <w:sz w:val="20"/>
          <w:szCs w:val="20"/>
          <w:color w:val="auto"/>
        </w:rPr>
        <w:t xml:space="preserve"> </w:t>
      </w:r>
      <w:r>
        <w:rPr>
          <w:rFonts w:ascii="Arial" w:cs="Arial" w:eastAsia="Arial" w:hAnsi="Arial"/>
          <w:sz w:val="17"/>
          <w:szCs w:val="17"/>
          <w:color w:val="auto"/>
        </w:rPr>
        <w:t xml:space="preserve">arrangements, including the delivery of Cash Collateral, satisfactory to the Multicurrency Facility L/C Issuer (in its sole discretion) with the U.S. Borrower or such Multicurrency Facility Lender to eliminate the Multicurrency Facility L/C Issuer’s actual or potential Fronting Exposure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with respect to the Defaulting Lender arising from either the Multicurrency Facility Letter of Credit then proposed to be issued or that Multicurrency Facility Letter of Credit and all other Multicurrency Facility L/C Obligations as to which the Multicurrency Facility L/C Issuer has actual or potential Fronting Exposure, as it may elect in its sole discretion;</w:t>
      </w:r>
    </w:p>
    <w:p>
      <w:pPr>
        <w:spacing w:after="0" w:line="175" w:lineRule="exact"/>
        <w:rPr>
          <w:sz w:val="20"/>
          <w:szCs w:val="20"/>
          <w:color w:val="auto"/>
        </w:rPr>
      </w:pPr>
    </w:p>
    <w:p>
      <w:pPr>
        <w:ind w:right="20" w:firstLine="648"/>
        <w:spacing w:after="0" w:line="270" w:lineRule="auto"/>
        <w:rPr>
          <w:sz w:val="20"/>
          <w:szCs w:val="20"/>
          <w:color w:val="auto"/>
        </w:rPr>
      </w:pPr>
      <w:r>
        <w:rPr>
          <w:rFonts w:ascii="Arial" w:cs="Arial" w:eastAsia="Arial" w:hAnsi="Arial"/>
          <w:sz w:val="20"/>
          <w:szCs w:val="20"/>
          <w:color w:val="auto"/>
        </w:rPr>
        <w:t xml:space="preserve">(VII) </w:t>
      </w:r>
      <w:r>
        <w:rPr>
          <w:rFonts w:ascii="Arial" w:cs="Arial" w:eastAsia="Arial" w:hAnsi="Arial"/>
          <w:sz w:val="17"/>
          <w:szCs w:val="17"/>
          <w:color w:val="auto"/>
        </w:rPr>
        <w:t>in the case of JPMorgan Chase Bank, N.A., Toronto Branch and its Affiliates (including JPMorgan Chase Bank, N.A., London Branch)</w:t>
      </w:r>
      <w:r>
        <w:rPr>
          <w:rFonts w:ascii="Arial" w:cs="Arial" w:eastAsia="Arial" w:hAnsi="Arial"/>
          <w:sz w:val="20"/>
          <w:szCs w:val="20"/>
          <w:color w:val="auto"/>
        </w:rPr>
        <w:t xml:space="preserve"> </w:t>
      </w:r>
      <w:r>
        <w:rPr>
          <w:rFonts w:ascii="Arial" w:cs="Arial" w:eastAsia="Arial" w:hAnsi="Arial"/>
          <w:sz w:val="17"/>
          <w:szCs w:val="17"/>
          <w:color w:val="auto"/>
        </w:rPr>
        <w:t>and branches only, after giving effect to such Multicurrency Facility Letter of Credit, the Outstanding Amount of the Multicurrency Facility L/C Obligations in respect of all Multicurrency Facility Letters of Credit issued by JPMorgan Chase Bank, N.A., Toronto Branch and/or its Affiliates (including JPMorgan Chase Bank, N.A., London Branch) and branches, in the aggregate, shall exceed $13,333,333.34;</w:t>
      </w:r>
    </w:p>
    <w:p>
      <w:pPr>
        <w:spacing w:after="0" w:line="177" w:lineRule="exact"/>
        <w:rPr>
          <w:sz w:val="20"/>
          <w:szCs w:val="20"/>
          <w:color w:val="auto"/>
        </w:rPr>
      </w:pPr>
    </w:p>
    <w:p>
      <w:pPr>
        <w:ind w:right="220" w:firstLine="648"/>
        <w:spacing w:after="0" w:line="268" w:lineRule="auto"/>
        <w:rPr>
          <w:sz w:val="20"/>
          <w:szCs w:val="20"/>
          <w:color w:val="auto"/>
        </w:rPr>
      </w:pPr>
      <w:r>
        <w:rPr>
          <w:rFonts w:ascii="Arial" w:cs="Arial" w:eastAsia="Arial" w:hAnsi="Arial"/>
          <w:sz w:val="20"/>
          <w:szCs w:val="20"/>
          <w:color w:val="auto"/>
        </w:rPr>
        <w:t xml:space="preserve">(VIII) </w:t>
      </w:r>
      <w:r>
        <w:rPr>
          <w:rFonts w:ascii="Arial" w:cs="Arial" w:eastAsia="Arial" w:hAnsi="Arial"/>
          <w:sz w:val="17"/>
          <w:szCs w:val="17"/>
          <w:color w:val="auto"/>
        </w:rPr>
        <w:t>in the case of Bank of America, N.A., Canada Branch and its Affiliates and branches only, after giving effect to such Multicurrency</w:t>
      </w:r>
      <w:r>
        <w:rPr>
          <w:rFonts w:ascii="Arial" w:cs="Arial" w:eastAsia="Arial" w:hAnsi="Arial"/>
          <w:sz w:val="20"/>
          <w:szCs w:val="20"/>
          <w:color w:val="auto"/>
        </w:rPr>
        <w:t xml:space="preserve"> </w:t>
      </w:r>
      <w:r>
        <w:rPr>
          <w:rFonts w:ascii="Arial" w:cs="Arial" w:eastAsia="Arial" w:hAnsi="Arial"/>
          <w:sz w:val="17"/>
          <w:szCs w:val="17"/>
          <w:color w:val="auto"/>
        </w:rPr>
        <w:t>Facility Letter of Credit, the Outstanding Amount of the Multicurrency Facility L/C Obligations in respect of all Multicurrency Facility Letters of Credit issued by Bank of America, N.A., Canada Branch and/or its Affiliates and branches, in the aggregate, shall exceed $13,333,333.33; or</w:t>
      </w:r>
    </w:p>
    <w:p>
      <w:pPr>
        <w:spacing w:after="0" w:line="173" w:lineRule="exact"/>
        <w:rPr>
          <w:sz w:val="20"/>
          <w:szCs w:val="20"/>
          <w:color w:val="auto"/>
        </w:rPr>
      </w:pPr>
    </w:p>
    <w:p>
      <w:pPr>
        <w:ind w:right="100" w:firstLine="648"/>
        <w:spacing w:after="0" w:line="256" w:lineRule="auto"/>
        <w:rPr>
          <w:sz w:val="20"/>
          <w:szCs w:val="20"/>
          <w:color w:val="auto"/>
        </w:rPr>
      </w:pPr>
      <w:r>
        <w:rPr>
          <w:rFonts w:ascii="Arial" w:cs="Arial" w:eastAsia="Arial" w:hAnsi="Arial"/>
          <w:sz w:val="20"/>
          <w:szCs w:val="20"/>
          <w:color w:val="auto"/>
        </w:rPr>
        <w:t xml:space="preserve">(IX) </w:t>
      </w:r>
      <w:r>
        <w:rPr>
          <w:rFonts w:ascii="Arial" w:cs="Arial" w:eastAsia="Arial" w:hAnsi="Arial"/>
          <w:sz w:val="17"/>
          <w:szCs w:val="17"/>
          <w:color w:val="auto"/>
        </w:rPr>
        <w:t>in the case of Bank of Montreal and its Affiliates and branches only, after giving effect to such Multicurrency Facility Letter of Credit, the</w:t>
      </w:r>
      <w:r>
        <w:rPr>
          <w:rFonts w:ascii="Arial" w:cs="Arial" w:eastAsia="Arial" w:hAnsi="Arial"/>
          <w:sz w:val="20"/>
          <w:szCs w:val="20"/>
          <w:color w:val="auto"/>
        </w:rPr>
        <w:t xml:space="preserve"> </w:t>
      </w:r>
      <w:r>
        <w:rPr>
          <w:rFonts w:ascii="Arial" w:cs="Arial" w:eastAsia="Arial" w:hAnsi="Arial"/>
          <w:sz w:val="17"/>
          <w:szCs w:val="17"/>
          <w:color w:val="auto"/>
        </w:rPr>
        <w:t>Outstanding Amount of the Multicurrency Facility L/C Obligations in respect of all Multicurrency Facility Letters of Credit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787"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issued by Bank of Montreal and/or its Affiliates and branches, in the aggregate, shall exceed $13,333,333.33.</w:t>
      </w:r>
    </w:p>
    <w:p>
      <w:pPr>
        <w:spacing w:after="0" w:line="239" w:lineRule="exact"/>
        <w:rPr>
          <w:sz w:val="20"/>
          <w:szCs w:val="20"/>
          <w:color w:val="auto"/>
        </w:rPr>
      </w:pPr>
    </w:p>
    <w:p>
      <w:pPr>
        <w:ind w:left="660" w:right="20" w:firstLine="644"/>
        <w:spacing w:after="0" w:line="264" w:lineRule="auto"/>
        <w:tabs>
          <w:tab w:leader="none" w:pos="1785" w:val="left"/>
        </w:tabs>
        <w:numPr>
          <w:ilvl w:val="1"/>
          <w:numId w:val="74"/>
        </w:numPr>
        <w:rPr>
          <w:rFonts w:ascii="Arial" w:cs="Arial" w:eastAsia="Arial" w:hAnsi="Arial"/>
          <w:sz w:val="20"/>
          <w:szCs w:val="20"/>
          <w:color w:val="auto"/>
        </w:rPr>
      </w:pPr>
      <w:r>
        <w:rPr>
          <w:rFonts w:ascii="Arial" w:cs="Arial" w:eastAsia="Arial" w:hAnsi="Arial"/>
          <w:sz w:val="18"/>
          <w:szCs w:val="18"/>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96" w:lineRule="exact"/>
        <w:rPr>
          <w:rFonts w:ascii="Arial" w:cs="Arial" w:eastAsia="Arial" w:hAnsi="Arial"/>
          <w:sz w:val="20"/>
          <w:szCs w:val="20"/>
          <w:color w:val="auto"/>
        </w:rPr>
      </w:pPr>
    </w:p>
    <w:p>
      <w:pPr>
        <w:ind w:left="660" w:firstLine="644"/>
        <w:spacing w:after="0" w:line="294" w:lineRule="auto"/>
        <w:tabs>
          <w:tab w:leader="none" w:pos="1770" w:val="left"/>
        </w:tabs>
        <w:numPr>
          <w:ilvl w:val="1"/>
          <w:numId w:val="74"/>
        </w:numPr>
        <w:rPr>
          <w:rFonts w:ascii="Arial" w:cs="Arial" w:eastAsia="Arial" w:hAnsi="Arial"/>
          <w:sz w:val="18"/>
          <w:szCs w:val="18"/>
          <w:color w:val="auto"/>
        </w:rPr>
      </w:pPr>
      <w:r>
        <w:rPr>
          <w:rFonts w:ascii="Arial" w:cs="Arial" w:eastAsia="Arial" w:hAnsi="Arial"/>
          <w:sz w:val="16"/>
          <w:szCs w:val="16"/>
          <w:color w:val="auto"/>
        </w:rPr>
        <w:t xml:space="preserve">The U.S. Dollar Facility L/C Issuer shall act on behalf of the U.S. Dollar Facility Lenders with respect to any U.S. Dollar Facility Letters of Credit issued by it and the documents associated therewith, and the U.S. Dollar Facility L/C Issuer shall have all of the benefits and immunities (A) provided to the Administrative Agent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with respect to any acts taken or omissions suffered by the U.S. Dollar Facility L/C Issuer in connection with U.S. Dollar Facility Letters of Credit issued by it or proposed to be issued by it and Issuer Documents pertaining to such U.S. Dollar Facility Letters of Credit as fully as if the term “Administrative Agent” as used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included the U.S. Dollar Facility L/C Issuer with respect to such acts or omissions, and (B) as additionally provided herein with respect to the U.S. Dollar Facility L/C Issuer. The Multicurrency Facility L/C Issuer shall act on behalf of the Multicurrency Facility Lenders with respect to any Multicurrency Facility Letters of Credit issued by it and the documents associated therewith, and the Multicurrency Facility L/C Issuer shall have all of the benefits and immunities</w:t>
      </w:r>
    </w:p>
    <w:p>
      <w:pPr>
        <w:spacing w:after="0" w:line="5" w:lineRule="exact"/>
        <w:rPr>
          <w:rFonts w:ascii="Arial" w:cs="Arial" w:eastAsia="Arial" w:hAnsi="Arial"/>
          <w:sz w:val="18"/>
          <w:szCs w:val="18"/>
          <w:color w:val="auto"/>
        </w:rPr>
      </w:pPr>
    </w:p>
    <w:p>
      <w:pPr>
        <w:ind w:left="660" w:right="100" w:hanging="4"/>
        <w:spacing w:after="0" w:line="272" w:lineRule="auto"/>
        <w:tabs>
          <w:tab w:leader="none" w:pos="9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provided to the Canadian Agent and European Agent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any acts taken or omissions suffered by the Multicurrency Facility L/C Issuer in connection with Multicurrency Facility Letters of Credit issued by it or proposed to be issued by it and Issuer Documents pertaining to such Multicurrency Facility Letters of Credit as fully as if the terms “Canadian Agent” and “European Agent” as used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included the Multicurrency Facility L/C Issuer with respect to such acts or omissions, and (B) as additionally provided herein with respect to the Multicurrency Facility L/C Issuer.</w:t>
      </w:r>
    </w:p>
    <w:p>
      <w:pPr>
        <w:spacing w:after="0" w:line="190" w:lineRule="exact"/>
        <w:rPr>
          <w:sz w:val="20"/>
          <w:szCs w:val="20"/>
          <w:color w:val="auto"/>
        </w:rPr>
      </w:pPr>
    </w:p>
    <w:p>
      <w:pPr>
        <w:ind w:left="1060" w:hanging="404"/>
        <w:spacing w:after="0"/>
        <w:tabs>
          <w:tab w:leader="none" w:pos="1060" w:val="left"/>
        </w:tabs>
        <w:numPr>
          <w:ilvl w:val="0"/>
          <w:numId w:val="76"/>
        </w:numPr>
        <w:rPr>
          <w:rFonts w:ascii="Arial" w:cs="Arial" w:eastAsia="Arial" w:hAnsi="Arial"/>
          <w:sz w:val="20"/>
          <w:szCs w:val="20"/>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216" w:lineRule="exact"/>
        <w:rPr>
          <w:sz w:val="20"/>
          <w:szCs w:val="20"/>
          <w:color w:val="auto"/>
        </w:rPr>
      </w:pPr>
    </w:p>
    <w:p>
      <w:pPr>
        <w:ind w:firstLine="656"/>
        <w:spacing w:after="0" w:line="300" w:lineRule="auto"/>
        <w:tabs>
          <w:tab w:leader="none" w:pos="1015" w:val="left"/>
        </w:tabs>
        <w:numPr>
          <w:ilvl w:val="0"/>
          <w:numId w:val="77"/>
        </w:numPr>
        <w:rPr>
          <w:rFonts w:ascii="Arial" w:cs="Arial" w:eastAsia="Arial" w:hAnsi="Arial"/>
          <w:sz w:val="18"/>
          <w:szCs w:val="18"/>
          <w:color w:val="auto"/>
        </w:rPr>
      </w:pPr>
      <w:r>
        <w:rPr>
          <w:rFonts w:ascii="Arial" w:cs="Arial" w:eastAsia="Arial" w:hAnsi="Arial"/>
          <w:sz w:val="16"/>
          <w:szCs w:val="16"/>
          <w:color w:val="auto"/>
        </w:rPr>
        <w:t>Each Letter of Credit shall be issued or amended, as the case may be, upon the request of the U.S. Borrower (or, in the case of Multicurrency Facility Letters of Credit, the U.S. Borrower, the Canadian Borrower or the Dutch Borrower) delivered to the applicable L/C Issuer (with a copy to the Administrative Agent and, in the case of a Letter of Credit denominated in Canadian Dollars or issued to the Canadian Borrower, the Canadian Agent and, in the case of a Letter of Credit denominated in Euros or Pounds Sterling or issued to the Dutch Borrower, the European Agent) in the form of a Letter of Credit Application, appropriately completed and signed by a Responsible Officer of the applicable Borrower. Such Letter of Credit Application must be received by the applicable L/C Issuer and the applicable Facility Agent not later than 2:00 p.m. at least three Business Days (or such later date and time as the applicable Facility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solely with respect to Multicurrency Facility Letters of Credit, whether such Letter of Credit is to be denominated in Dollars, Canadian Dollars, Euros, Pounds Sterling or an Alternative Currency and (H) such other matters as such L/C Issuer may reasonably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such L/C Issuer may reasonably require. Additionally, the applicable Borrower shall furnish to the applicable L/C Issuer and the applicable Facility Agent such other documents and information pertaining to such requested Letter of Credit issuance or amendment, including any Issuer Documents, as the applicable L/C Issuer or such Facility Agent may reasonably require.</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557" w:right="399" w:bottom="1440" w:gutter="0" w:footer="0" w:header="0"/>
        </w:sectPr>
      </w:pPr>
    </w:p>
    <w:bookmarkStart w:id="127" w:name="page128"/>
    <w:bookmarkEnd w:id="127"/>
    <w:p>
      <w:pPr>
        <w:ind w:right="20" w:firstLine="656"/>
        <w:spacing w:after="0" w:line="301" w:lineRule="auto"/>
        <w:tabs>
          <w:tab w:leader="none" w:pos="1069" w:val="left"/>
        </w:tabs>
        <w:numPr>
          <w:ilvl w:val="0"/>
          <w:numId w:val="78"/>
        </w:numPr>
        <w:rPr>
          <w:rFonts w:ascii="Arial" w:cs="Arial" w:eastAsia="Arial" w:hAnsi="Arial"/>
          <w:sz w:val="18"/>
          <w:szCs w:val="18"/>
          <w:color w:val="auto"/>
        </w:rPr>
      </w:pPr>
      <w:r>
        <w:rPr>
          <w:rFonts w:ascii="Arial" w:cs="Arial" w:eastAsia="Arial" w:hAnsi="Arial"/>
          <w:sz w:val="16"/>
          <w:szCs w:val="16"/>
          <w:color w:val="auto"/>
        </w:rPr>
        <w:t xml:space="preserve">Promptly after receipt of any Letter of Credit Application, each L/C Issuer will confirm with the applicable Facility Agent (by telephone or in writing) that such Facility Agent has received a copy of such Letter of Credit Application from a Borrower and, if not, such L/C Issuer will provide such Facility Agent with a copy thereof. Unless such L/C Issuer has received written notice from any Lender, any applicable Facility Agent or any Loan Party,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then be satisfied, then, subject to the terms and conditions hereof, such L/C Issuer shall, on the requested date, issue a Letter of Credit for the account of Holdings (so long as such Letter of Credit is directly related to the business of U.S. Borrower or any of its Subsidiaries), the U.S. Borrower, the Canadian Borrower, the Dutch Borrower or the applicable Subsidiary or enter into the applicable amendment, as the case may be, in each case in accordance with such L/C Issuer’s usual and customary business practices relating generally to issuances of Letters of Credit. Immediately upon the issuance of each U.S. Dollar Facility Letter of Credit, each U.S. Dollar Facility Lender shall be deemed to, and hereby irrevocably and unconditionally agrees to, purchase from the U.S. Dollar Facility L/C Issuer a risk participation in such U.S. Dollar Facility Letter of Credit in an amount equal to the product of such U.S. Dollar Facility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times the amount of such U.S. Dollar Facility Letter of Credit. Immediately upon the issuance of each Multicurrency Facility Letter of Credit, each Multicurrency Facility Lender shall be deemed to, and hereby irrevocably and unconditionally agrees to, purchase from the Multicurrency Facility L/C Issuer a risk participation in such Multicurrency Facility Letter of Credit in an amount equal to the product of such Multicurrency Facility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times the amount of such Multicurrency Facility Letter of Credit.</w:t>
      </w:r>
    </w:p>
    <w:p>
      <w:pPr>
        <w:spacing w:after="0" w:line="169" w:lineRule="exact"/>
        <w:rPr>
          <w:rFonts w:ascii="Arial" w:cs="Arial" w:eastAsia="Arial" w:hAnsi="Arial"/>
          <w:sz w:val="18"/>
          <w:szCs w:val="18"/>
          <w:color w:val="auto"/>
        </w:rPr>
      </w:pPr>
    </w:p>
    <w:p>
      <w:pPr>
        <w:ind w:firstLine="656"/>
        <w:spacing w:after="0" w:line="296" w:lineRule="auto"/>
        <w:tabs>
          <w:tab w:leader="none" w:pos="1125" w:val="left"/>
        </w:tabs>
        <w:numPr>
          <w:ilvl w:val="0"/>
          <w:numId w:val="78"/>
        </w:numPr>
        <w:rPr>
          <w:rFonts w:ascii="Arial" w:cs="Arial" w:eastAsia="Arial" w:hAnsi="Arial"/>
          <w:sz w:val="18"/>
          <w:szCs w:val="18"/>
          <w:color w:val="auto"/>
        </w:rPr>
      </w:pPr>
      <w:r>
        <w:rPr>
          <w:rFonts w:ascii="Arial" w:cs="Arial" w:eastAsia="Arial" w:hAnsi="Arial"/>
          <w:sz w:val="16"/>
          <w:szCs w:val="16"/>
          <w:color w:val="auto"/>
        </w:rPr>
        <w:t>If the applicable Borrower so requests in any applicable Letter of Credit Application for a standby Letter of Credit, the applicable L/C Issuer may, in its sole and absolute discretion, agree to issue a standby Letter of Credit that has automatic extension provisions (each, an “</w:t>
      </w:r>
      <w:r>
        <w:rPr>
          <w:rFonts w:ascii="Arial" w:cs="Arial" w:eastAsia="Arial" w:hAnsi="Arial"/>
          <w:sz w:val="16"/>
          <w:szCs w:val="16"/>
          <w:u w:val="single" w:color="auto"/>
          <w:color w:val="auto"/>
        </w:rPr>
        <w:t>Auto-Extension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such L/C Issuer, the applicable Borrower shall not be required to make a specific request to such L/C Issuer for any such extension. Once an Auto-Extension Letter of Credit that is a U.S. Dollar Facility Letter of Credit has been issued, the U.S. Dollar Facility Lenders shall be deemed to have authorized (but may not require) the U.S. Dollar Facility L/C Issuer to permit the extension of such U.S. Dollar Facility Letter of Credit at any time to an expiry date not later than the Letter of Credit Expiration Date applicable to U.S. Dollar Facility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U.S. Dollar Facility L/C Issuer shall not permit any such extension if (A) the U.S. Dollar Facility L/C Issuer has determined that it would not be permitted, or would have no obligation, at such time to issue such U.S. Dollar Facility Letter of Credit in its revised form (as extended) under the terms hereof (by reason of the provisions of clause (ii) or (iii)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U.S. Borrower that one or more of the applicable conditions specified in </w:t>
      </w:r>
      <w:r>
        <w:rPr>
          <w:rFonts w:ascii="Arial" w:cs="Arial" w:eastAsia="Arial" w:hAnsi="Arial"/>
          <w:sz w:val="16"/>
          <w:szCs w:val="16"/>
          <w:u w:val="single" w:color="auto"/>
          <w:color w:val="auto"/>
        </w:rPr>
        <w:t>Section</w:t>
      </w:r>
    </w:p>
    <w:p>
      <w:pPr>
        <w:spacing w:after="0" w:line="8" w:lineRule="exact"/>
        <w:rPr>
          <w:rFonts w:ascii="Arial" w:cs="Arial" w:eastAsia="Arial" w:hAnsi="Arial"/>
          <w:sz w:val="18"/>
          <w:szCs w:val="18"/>
          <w:color w:val="auto"/>
        </w:rPr>
      </w:pPr>
    </w:p>
    <w:p>
      <w:pPr>
        <w:spacing w:after="0" w:line="305" w:lineRule="auto"/>
        <w:rPr>
          <w:rFonts w:ascii="Arial" w:cs="Arial" w:eastAsia="Arial" w:hAnsi="Arial"/>
          <w:sz w:val="18"/>
          <w:szCs w:val="18"/>
          <w:color w:val="auto"/>
        </w:rPr>
      </w:pPr>
      <w:r>
        <w:rPr>
          <w:rFonts w:ascii="Arial" w:cs="Arial" w:eastAsia="Arial" w:hAnsi="Arial"/>
          <w:sz w:val="16"/>
          <w:szCs w:val="16"/>
          <w:u w:val="single" w:color="auto"/>
          <w:color w:val="auto"/>
        </w:rPr>
        <w:t>4.02</w:t>
      </w:r>
      <w:r>
        <w:rPr>
          <w:rFonts w:ascii="Arial" w:cs="Arial" w:eastAsia="Arial" w:hAnsi="Arial"/>
          <w:sz w:val="16"/>
          <w:szCs w:val="16"/>
          <w:color w:val="auto"/>
        </w:rPr>
        <w:t xml:space="preserve"> is not then satisfied, and in each such case directing the U.S. Dollar Facility L/C Issuer not to permit such extension. Once an Auto-Extension Letter of Credit that is a Multicurrency Facility Letter of Credit has been issued, the Multicurrency Facility Lenders shall be deemed to have authorized (but may not require) the Multicurrency Facility L/C Issuer to permit the extension of such Multicurrency Facility Letter of Credit at any time to an expiry date not later than the Letter of Credit Expiration Date applicable to Multicurrency Facility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Multicurrency Facility L/C Issuer shall not permit any such extension if (A) the Multicurrency Facility L/C Issuer has determined that it would not be permitted, or would have no obligation, at such time to issue such Multicurrency Facility Letter of Credit in its revised form (as extended) under the terms hereof (by reason of the provisions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applicable Facility Agent that the Required Multicurrency Facility Lenders have elected not to permit such extension or (2) from the applicable Facility Agent, any Lender or a Borrower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and in each such case directing the Multicurrency Facility L/C Issuer not to permit such extension.</w:t>
      </w:r>
    </w:p>
    <w:p>
      <w:pPr>
        <w:spacing w:after="0" w:line="172" w:lineRule="exact"/>
        <w:rPr>
          <w:rFonts w:ascii="Arial" w:cs="Arial" w:eastAsia="Arial" w:hAnsi="Arial"/>
          <w:sz w:val="18"/>
          <w:szCs w:val="18"/>
          <w:color w:val="auto"/>
        </w:rPr>
      </w:pPr>
    </w:p>
    <w:p>
      <w:pPr>
        <w:ind w:right="140" w:firstLine="656"/>
        <w:spacing w:after="0" w:line="266" w:lineRule="auto"/>
        <w:tabs>
          <w:tab w:leader="none" w:pos="1114" w:val="left"/>
        </w:tabs>
        <w:numPr>
          <w:ilvl w:val="0"/>
          <w:numId w:val="78"/>
        </w:numPr>
        <w:rPr>
          <w:rFonts w:ascii="Arial" w:cs="Arial" w:eastAsia="Arial" w:hAnsi="Arial"/>
          <w:sz w:val="20"/>
          <w:szCs w:val="20"/>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L/C Issuer will also deliver to the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787"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applicable Borrower and the applicable Facility Agent a true and complete copy of such Letter of Credit or amendment.</w:t>
      </w:r>
    </w:p>
    <w:p>
      <w:pPr>
        <w:spacing w:after="0" w:line="239" w:lineRule="exact"/>
        <w:rPr>
          <w:sz w:val="20"/>
          <w:szCs w:val="20"/>
          <w:color w:val="auto"/>
        </w:rPr>
      </w:pPr>
    </w:p>
    <w:p>
      <w:pPr>
        <w:ind w:left="1060" w:hanging="404"/>
        <w:spacing w:after="0"/>
        <w:tabs>
          <w:tab w:leader="none" w:pos="1060" w:val="left"/>
        </w:tabs>
        <w:numPr>
          <w:ilvl w:val="0"/>
          <w:numId w:val="79"/>
        </w:numPr>
        <w:rPr>
          <w:rFonts w:ascii="Arial" w:cs="Arial" w:eastAsia="Arial" w:hAnsi="Arial"/>
          <w:sz w:val="20"/>
          <w:szCs w:val="20"/>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216" w:lineRule="exact"/>
        <w:rPr>
          <w:sz w:val="20"/>
          <w:szCs w:val="20"/>
          <w:color w:val="auto"/>
        </w:rPr>
      </w:pPr>
    </w:p>
    <w:p>
      <w:pPr>
        <w:ind w:firstLine="656"/>
        <w:spacing w:after="0" w:line="298" w:lineRule="auto"/>
        <w:tabs>
          <w:tab w:leader="none" w:pos="1015" w:val="left"/>
        </w:tabs>
        <w:numPr>
          <w:ilvl w:val="0"/>
          <w:numId w:val="80"/>
        </w:numPr>
        <w:rPr>
          <w:rFonts w:ascii="Arial" w:cs="Arial" w:eastAsia="Arial" w:hAnsi="Arial"/>
          <w:sz w:val="18"/>
          <w:szCs w:val="18"/>
          <w:color w:val="auto"/>
        </w:rPr>
      </w:pPr>
      <w:r>
        <w:rPr>
          <w:rFonts w:ascii="Arial" w:cs="Arial" w:eastAsia="Arial" w:hAnsi="Arial"/>
          <w:sz w:val="16"/>
          <w:szCs w:val="16"/>
          <w:color w:val="auto"/>
        </w:rPr>
        <w:t>Upon receipt from the beneficiary of any Letter of Credit of any notice of a drawing under such Letter of Credit, the applicable L/C Issuer shall notify the applicable Borrower and the applicable Facility Agent thereof. Not later than 2:00 p.m. on the date of any payment by any L/C Issuer under a Letter of Credit or the Applicable Time on the date of any payment by the applicable Multicurrency Facility L/C Issuer under a Letter of Credit to be reimbursed in an Alternative Currency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applicable Borrower shall reimburse such L/C Issuer through the applicable Facility Agent in an amount equal to the amount of such drawing. In the case of a Multicurrency Facility Letter of Credit denominated in Canadian Dollars, the applicable Borrower shall reimburse the applicable Multicurrency Facility L/C Issuer in Canadian Dollars, in the case of a Multicurrency Facility Letter of Credit denominated in Dollars, the applicable Borrower shall reimburse the applicable Multicurrency Facility L/C Issuer in Dollars, in the case of a Multicurrency Facility Letter of Credit denominated in Euros or Pounds Sterling, the applicable Borrower shall reimburse the applicable Multicurrency Facility L/C Issuer in Euros or Pounds Sterling, as applicable, and in the case of a Multicurrency Facility Letter of Credit denominated in an Alternative Currency, the applicable Borrower shall reimburse the applicable Multicurrency Facility L/C Issuer in such Alternative Currency, unless (A) the Multicurrency Facility L/C Issuer (at its option) shall have specified in such notice that it will require reimbursement in Dollars, or (B) in the absence of any such requirement for reimbursement in Dollars, the Borrower shall have notified the Multicurrency Facility L/C Issuer promptly following receipt of the notice of drawing that Borrower will reimburse the Multicurrency Facility L/C Issuer in Dollars. If the U.S. Borrower fails to so reimburse the U.S. Dollar Facility L/C Issuer by such time, the Administrative Agent shall promptly notify each U.S. Dollar Facility Lender of the Honor Date, the amount of the unreimbursed drawing (the “</w:t>
      </w:r>
      <w:r>
        <w:rPr>
          <w:rFonts w:ascii="Arial" w:cs="Arial" w:eastAsia="Arial" w:hAnsi="Arial"/>
          <w:sz w:val="16"/>
          <w:szCs w:val="16"/>
          <w:u w:val="single" w:color="auto"/>
          <w:color w:val="auto"/>
        </w:rPr>
        <w:t>U.S. Dollar Facility Unreimbursed Amount</w:t>
      </w:r>
      <w:r>
        <w:rPr>
          <w:rFonts w:ascii="Arial" w:cs="Arial" w:eastAsia="Arial" w:hAnsi="Arial"/>
          <w:sz w:val="16"/>
          <w:szCs w:val="16"/>
          <w:color w:val="auto"/>
        </w:rPr>
        <w:t xml:space="preserve">”), and the amount of such U.S. Dollar Facility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In such event, the U.S. Borrower shall be deemed to have requested a U.S. Dollar Facility Revolving Loan Borrowing of Base Rate Loans to be disbursed on the Honor Date in an amount equal to the U.S. Dollar Facility Unreimbursed Amount, without regard to the minimum and multiples specified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w:t>
      </w:r>
      <w:r>
        <w:rPr>
          <w:rFonts w:ascii="Arial" w:cs="Arial" w:eastAsia="Arial" w:hAnsi="Arial"/>
          <w:sz w:val="16"/>
          <w:szCs w:val="16"/>
          <w:color w:val="auto"/>
        </w:rPr>
        <w:t xml:space="preserve"> for the principal amount of Base Rate Loans, but subject to the amount of the unutilized portion of the Aggregate U.S. Dollar Facility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Borrowing or Conversion Notice). If the Canadian Borrower or the Dutch Borrower, as applicable, fails to so reimburse the Multicurrency Facility L/C Issuer by such time, the applicable Facility Agent shall promptly notify each Multicurrency Facility Lender of the Honor Date, the Dollar Equivalent amount of the unreimbursed drawing (the “</w:t>
      </w:r>
      <w:r>
        <w:rPr>
          <w:rFonts w:ascii="Arial" w:cs="Arial" w:eastAsia="Arial" w:hAnsi="Arial"/>
          <w:sz w:val="16"/>
          <w:szCs w:val="16"/>
          <w:u w:val="single" w:color="auto"/>
          <w:color w:val="auto"/>
        </w:rPr>
        <w:t>Multicurrency Facility Unreimbursed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xml:space="preserve">”), and the Dollar Equivalent amount of such Multicurrency Facility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In such event, such Borrower shall be deemed to have requested a Multicurrency Facility Revolving Loan Borrowing of Canadian Prime Rate Loans denominated in Canadian Dollars (if the Letter of Credit to which such Honor Date relates is denominated in Canadian Dollars), Overnight LIBO Rate Loans denominated in Euros or Pounds Sterling (if the Letter of Credit to which such Honor Date relates is denominated in Euros or Pounds Sterling), as applicable, or Canadian U.S. Base Rate Loans denominated in Dollars (if the Letter of Credit to which such Honor Date relates is denominated in Dollars or an Alternate Currency (in which case the Dollar Equivalent of the Multicurrency Facility Unreimbursed Amount shall be the amount of such Canadian U.S. Base Rate Loan)) to be disbursed on the Honor Date in an amount equal to the Multicurrency Facility Unreimbursed Amount, without regard to the minimum and multiples specified in </w:t>
      </w:r>
      <w:r>
        <w:rPr>
          <w:rFonts w:ascii="Arial" w:cs="Arial" w:eastAsia="Arial" w:hAnsi="Arial"/>
          <w:sz w:val="16"/>
          <w:szCs w:val="16"/>
          <w:u w:val="single" w:color="auto"/>
          <w:color w:val="auto"/>
        </w:rPr>
        <w:t>Section</w:t>
      </w:r>
    </w:p>
    <w:p>
      <w:pPr>
        <w:spacing w:after="0" w:line="1" w:lineRule="exact"/>
        <w:rPr>
          <w:rFonts w:ascii="Arial" w:cs="Arial" w:eastAsia="Arial" w:hAnsi="Arial"/>
          <w:sz w:val="18"/>
          <w:szCs w:val="18"/>
          <w:color w:val="auto"/>
        </w:rPr>
      </w:pPr>
    </w:p>
    <w:p>
      <w:pPr>
        <w:ind w:right="160"/>
        <w:spacing w:after="0" w:line="272" w:lineRule="auto"/>
        <w:rPr>
          <w:rFonts w:ascii="Arial" w:cs="Arial" w:eastAsia="Arial" w:hAnsi="Arial"/>
          <w:sz w:val="18"/>
          <w:szCs w:val="18"/>
          <w:color w:val="auto"/>
        </w:rPr>
      </w:pPr>
      <w:r>
        <w:rPr>
          <w:rFonts w:ascii="Arial" w:cs="Arial" w:eastAsia="Arial" w:hAnsi="Arial"/>
          <w:sz w:val="18"/>
          <w:szCs w:val="18"/>
          <w:u w:val="single" w:color="auto"/>
          <w:color w:val="auto"/>
        </w:rPr>
        <w:t>2.02</w:t>
      </w:r>
      <w:r>
        <w:rPr>
          <w:rFonts w:ascii="Arial" w:cs="Arial" w:eastAsia="Arial" w:hAnsi="Arial"/>
          <w:sz w:val="18"/>
          <w:szCs w:val="18"/>
          <w:color w:val="auto"/>
        </w:rPr>
        <w:t xml:space="preserve"> for the principal amount of Canadian U.S. Base Rate Loans, Overnight LIBO Rate Loans and Canadian Prime Rate Loans, but subject to the amount of the unutilized portion of the Aggregate Multicurrency Facility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Borrowing or Conversion Notice). Any notice given by an L/C Issuer or an applicable Facility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89" w:lineRule="exact"/>
        <w:rPr>
          <w:rFonts w:ascii="Arial" w:cs="Arial" w:eastAsia="Arial" w:hAnsi="Arial"/>
          <w:sz w:val="18"/>
          <w:szCs w:val="18"/>
          <w:color w:val="auto"/>
        </w:rPr>
      </w:pPr>
    </w:p>
    <w:p>
      <w:pPr>
        <w:ind w:right="140" w:firstLine="656"/>
        <w:spacing w:after="0" w:line="265" w:lineRule="auto"/>
        <w:tabs>
          <w:tab w:leader="none" w:pos="1069" w:val="left"/>
        </w:tabs>
        <w:numPr>
          <w:ilvl w:val="0"/>
          <w:numId w:val="80"/>
        </w:numPr>
        <w:rPr>
          <w:rFonts w:ascii="Arial" w:cs="Arial" w:eastAsia="Arial" w:hAnsi="Arial"/>
          <w:sz w:val="20"/>
          <w:szCs w:val="20"/>
          <w:color w:val="auto"/>
        </w:rPr>
      </w:pPr>
      <w:r>
        <w:rPr>
          <w:rFonts w:ascii="Arial" w:cs="Arial" w:eastAsia="Arial" w:hAnsi="Arial"/>
          <w:sz w:val="18"/>
          <w:szCs w:val="18"/>
          <w:color w:val="auto"/>
        </w:rPr>
        <w:t xml:space="preserve">Each U.S. Dollar Facility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to the Administrative Agent for the account of the U.S. Dollar Facility L/C Issuer at the Administrative Agent’s Office in an amount equal to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the U.S. Dollar Facility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U.S. Dollar Facility Lender that so makes funds available shall be deemed to have made a Base Rate Revolving Loan to the U.S. Borrower in such amount. The Administrative Agent shall remit the funds so received to the U.S. Dollar Facility L/C Issuer. Each Multicurrency Facility Lender shall upon any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341" w:right="359" w:bottom="1440" w:gutter="0" w:footer="0" w:header="0"/>
        </w:sectPr>
      </w:pPr>
    </w:p>
    <w:bookmarkStart w:id="129" w:name="page130"/>
    <w:bookmarkEnd w:id="129"/>
    <w:p>
      <w:pPr>
        <w:ind w:right="40"/>
        <w:spacing w:after="0" w:line="255" w:lineRule="auto"/>
        <w:rPr>
          <w:sz w:val="20"/>
          <w:szCs w:val="20"/>
          <w:color w:val="auto"/>
        </w:rPr>
      </w:pPr>
      <w:r>
        <w:rPr>
          <w:rFonts w:ascii="Arial" w:cs="Arial" w:eastAsia="Arial" w:hAnsi="Arial"/>
          <w:sz w:val="18"/>
          <w:szCs w:val="18"/>
          <w:color w:val="auto"/>
        </w:rPr>
        <w:t xml:space="preserve">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(which funds may be denominated in Dollars) available to the applicable Facility Agent for the account of the Multicurrency Facility L/C Issuer at the applicable Facility Agent’s Office in an amount equal to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the Multicurrency Facility Unreimbursed Amount not later than 1:00 p.m. on the Business Day specified in such notice by the applicable Facility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Multicurrency Facility Lender that so makes funds available shall be deemed to have made a Canadian U.S. Base Rate Loan, Overnight LIBO Rate Loan or a Canadian Prime Rate Loan, as applicable. The Canadian Agent or the European Agent, as applicable, shall remit the funds so received to the Multicurrency Facility L/C Issuer.</w:t>
      </w:r>
    </w:p>
    <w:p>
      <w:pPr>
        <w:spacing w:after="0" w:line="206" w:lineRule="exact"/>
        <w:rPr>
          <w:sz w:val="20"/>
          <w:szCs w:val="20"/>
          <w:color w:val="auto"/>
        </w:rPr>
      </w:pPr>
    </w:p>
    <w:p>
      <w:pPr>
        <w:ind w:right="20" w:firstLine="656"/>
        <w:spacing w:after="0" w:line="283" w:lineRule="auto"/>
        <w:tabs>
          <w:tab w:leader="none" w:pos="1121" w:val="left"/>
        </w:tabs>
        <w:numPr>
          <w:ilvl w:val="1"/>
          <w:numId w:val="81"/>
        </w:numPr>
        <w:rPr>
          <w:rFonts w:ascii="Arial" w:cs="Arial" w:eastAsia="Arial" w:hAnsi="Arial"/>
          <w:sz w:val="19"/>
          <w:szCs w:val="19"/>
          <w:color w:val="auto"/>
        </w:rPr>
      </w:pPr>
      <w:r>
        <w:rPr>
          <w:rFonts w:ascii="Arial" w:cs="Arial" w:eastAsia="Arial" w:hAnsi="Arial"/>
          <w:sz w:val="17"/>
          <w:szCs w:val="17"/>
          <w:color w:val="auto"/>
        </w:rPr>
        <w:t xml:space="preserve">With respect to any Unreimbursed Amount that is not fully refinanced by a Revolving Loan Borrowing of Base Rate Loans, Canadian U.S. Base Rate Loans, Overnight LIBO Rate Loans or Canadian Prime Rate Loans because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cannot be satisfied or for any other reason, the applicable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applicable Facility Agent for the account of the applicable L/C Issuer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2.03(c)(ii)</w:t>
      </w:r>
      <w:r>
        <w:rPr>
          <w:rFonts w:ascii="Arial" w:cs="Arial" w:eastAsia="Arial" w:hAnsi="Arial"/>
          <w:sz w:val="17"/>
          <w:szCs w:val="17"/>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181" w:lineRule="exact"/>
        <w:rPr>
          <w:rFonts w:ascii="Arial" w:cs="Arial" w:eastAsia="Arial" w:hAnsi="Arial"/>
          <w:sz w:val="19"/>
          <w:szCs w:val="19"/>
          <w:color w:val="auto"/>
        </w:rPr>
      </w:pPr>
    </w:p>
    <w:p>
      <w:pPr>
        <w:ind w:right="60" w:firstLine="656"/>
        <w:spacing w:after="0" w:line="283" w:lineRule="auto"/>
        <w:tabs>
          <w:tab w:leader="none" w:pos="1114" w:val="left"/>
        </w:tabs>
        <w:numPr>
          <w:ilvl w:val="1"/>
          <w:numId w:val="81"/>
        </w:numPr>
        <w:rPr>
          <w:rFonts w:ascii="Arial" w:cs="Arial" w:eastAsia="Arial" w:hAnsi="Arial"/>
          <w:sz w:val="19"/>
          <w:szCs w:val="19"/>
          <w:color w:val="auto"/>
        </w:rPr>
      </w:pPr>
      <w:r>
        <w:rPr>
          <w:rFonts w:ascii="Arial" w:cs="Arial" w:eastAsia="Arial" w:hAnsi="Arial"/>
          <w:sz w:val="17"/>
          <w:szCs w:val="17"/>
          <w:color w:val="auto"/>
        </w:rPr>
        <w:t xml:space="preserve">Until a U.S. Dollar Facility Lender funds its U.S. Dollar Facility Revolving Loan or U.S. Dollar Facility L/C Advance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to reimburse the U.S. Dollar Facility L/C Issuer for any amount drawn under any U.S. Dollar Facility Letter of Credit, interest in respect of such U.S. Dollar Facility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such amount shall be solely for the account of the U.S. Dollar Facility L/C Issuer. Until a Multicurrency Facility Lender funds its Multicurrency Facility Revolving Loan or Multicurrency Facility L/C Advance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to reimburse the Multicurrency Facility L/C Issuer for any amount drawn under any Multicurrency Facility Letter of Credit, interest in respect of such Multicurrency Facility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such amount shall be solely for the account of the Multicurrency Facility L/C Issuer.</w:t>
      </w:r>
    </w:p>
    <w:p>
      <w:pPr>
        <w:spacing w:after="0" w:line="182" w:lineRule="exact"/>
        <w:rPr>
          <w:rFonts w:ascii="Arial" w:cs="Arial" w:eastAsia="Arial" w:hAnsi="Arial"/>
          <w:sz w:val="19"/>
          <w:szCs w:val="19"/>
          <w:color w:val="auto"/>
        </w:rPr>
      </w:pPr>
    </w:p>
    <w:p>
      <w:pPr>
        <w:ind w:right="20" w:firstLine="656"/>
        <w:spacing w:after="0" w:line="283" w:lineRule="auto"/>
        <w:tabs>
          <w:tab w:leader="none" w:pos="1058" w:val="left"/>
        </w:tabs>
        <w:numPr>
          <w:ilvl w:val="1"/>
          <w:numId w:val="81"/>
        </w:numPr>
        <w:rPr>
          <w:rFonts w:ascii="Arial" w:cs="Arial" w:eastAsia="Arial" w:hAnsi="Arial"/>
          <w:sz w:val="19"/>
          <w:szCs w:val="19"/>
          <w:color w:val="auto"/>
        </w:rPr>
      </w:pPr>
      <w:r>
        <w:rPr>
          <w:rFonts w:ascii="Arial" w:cs="Arial" w:eastAsia="Arial" w:hAnsi="Arial"/>
          <w:sz w:val="17"/>
          <w:szCs w:val="17"/>
          <w:color w:val="auto"/>
        </w:rPr>
        <w:t xml:space="preserve">Each Lender’s obligation to make Revolving Loans or L/C Advances to reimburse the applicable L/C Issuer for amounts drawn under Letters of Credit, as contemplated by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such L/C Issuer, any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Lender’s obligation to make Revolving Loans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(other than delivery by a Borrower of a Borrowing or Conversion Notice). No such making of an L/C Advance shall relieve or otherwise impair the obligation of any Borrower to reimburse the applicable L/C Issuer for the amount of any payment made by such L/C Issuer under any Letter of Credit, together with interest as provided herein.</w:t>
      </w:r>
    </w:p>
    <w:p>
      <w:pPr>
        <w:spacing w:after="0" w:line="180" w:lineRule="exact"/>
        <w:rPr>
          <w:rFonts w:ascii="Arial" w:cs="Arial" w:eastAsia="Arial" w:hAnsi="Arial"/>
          <w:sz w:val="19"/>
          <w:szCs w:val="19"/>
          <w:color w:val="auto"/>
        </w:rPr>
      </w:pPr>
    </w:p>
    <w:p>
      <w:pPr>
        <w:ind w:firstLine="656"/>
        <w:spacing w:after="0" w:line="292" w:lineRule="auto"/>
        <w:tabs>
          <w:tab w:leader="none" w:pos="1114" w:val="left"/>
        </w:tabs>
        <w:numPr>
          <w:ilvl w:val="1"/>
          <w:numId w:val="81"/>
        </w:numPr>
        <w:rPr>
          <w:rFonts w:ascii="Arial" w:cs="Arial" w:eastAsia="Arial" w:hAnsi="Arial"/>
          <w:sz w:val="18"/>
          <w:szCs w:val="18"/>
          <w:color w:val="auto"/>
        </w:rPr>
      </w:pPr>
      <w:r>
        <w:rPr>
          <w:rFonts w:ascii="Arial" w:cs="Arial" w:eastAsia="Arial" w:hAnsi="Arial"/>
          <w:sz w:val="16"/>
          <w:szCs w:val="16"/>
          <w:color w:val="auto"/>
        </w:rPr>
        <w:t xml:space="preserve">If any Lender fails to make available to the applicable Facility Agent for the account of the applicable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such L/C Issuer shall be entitled to recover from such Lender (acting through the applicable Facility Agent), on demand, such amount with interest thereon for the period from the date such payment is required to the date on which such payment is immediately available to such L/C Issuer at a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to (i) with respect to amounts denominated in Dollars or Canadian Dollars, the greater of (x)(A) with respect to amounts denominated in Dollars, the Federal Funds Rate, and</w:t>
      </w:r>
    </w:p>
    <w:p>
      <w:pPr>
        <w:spacing w:after="0" w:line="1" w:lineRule="exact"/>
        <w:rPr>
          <w:rFonts w:ascii="Arial" w:cs="Arial" w:eastAsia="Arial" w:hAnsi="Arial"/>
          <w:sz w:val="18"/>
          <w:szCs w:val="18"/>
          <w:color w:val="auto"/>
        </w:rPr>
      </w:pPr>
    </w:p>
    <w:p>
      <w:pPr>
        <w:ind w:firstLine="8"/>
        <w:spacing w:after="0" w:line="287" w:lineRule="auto"/>
        <w:tabs>
          <w:tab w:leader="none" w:pos="28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with respect to amounts denominated in Canadian Dollars, the rate of interest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at which overnight deposits in any amount approximately equal to the amount with respect to which such rate is determined, would be offered for such day by JPMorgan Chase Bank, N.A., Toronto Branch, plus any administrative, processing or similar fees customarily charged by JPMorgan Chase Bank, N.A., Toronto Branch and (y) a rate determined by such L/C Issuer in accordance with banking industry rules on interbank compensation, (ii) with respect to amounts denominated in Euros or Pounds Sterling, a rate determined by such L/C Issuer in accordance with banking industry rules on interbank compensation, and (iii) with respect to amounts denominated in any Alternative Currencies, the rate of interest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at which overnight deposits in the applicable Alternative Currency, in an amount approximately equal to the amount with respect to which such rate is being determined, would be offered for such day by a branch or Affiliate of JPMCB in the applicable offshore interbank market for such currency to major banks in such</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341" w:right="359" w:bottom="1440" w:gutter="0" w:footer="0" w:header="0"/>
        </w:sectPr>
      </w:pPr>
    </w:p>
    <w:bookmarkStart w:id="130" w:name="page131"/>
    <w:bookmarkEnd w:id="130"/>
    <w:p>
      <w:pPr>
        <w:ind w:right="120"/>
        <w:spacing w:after="0" w:line="263" w:lineRule="auto"/>
        <w:rPr>
          <w:sz w:val="20"/>
          <w:szCs w:val="20"/>
          <w:color w:val="auto"/>
        </w:rPr>
      </w:pPr>
      <w:r>
        <w:rPr>
          <w:rFonts w:ascii="Arial" w:cs="Arial" w:eastAsia="Arial" w:hAnsi="Arial"/>
          <w:sz w:val="18"/>
          <w:szCs w:val="18"/>
          <w:color w:val="auto"/>
        </w:rPr>
        <w:t>interbank market plus any administrative, processing or similar fees customarily charged by the applicable Multicurrency Facility L/C Issuer. A certificate of such L/C Issuer submitted to any Lender (through the applicable Facility Agent) with respect to any amounts owing under this clause (vi) shall be conclusive absent manifest error.</w:t>
      </w:r>
    </w:p>
    <w:p>
      <w:pPr>
        <w:spacing w:after="0" w:line="197" w:lineRule="exact"/>
        <w:rPr>
          <w:sz w:val="20"/>
          <w:szCs w:val="20"/>
          <w:color w:val="auto"/>
        </w:rPr>
      </w:pPr>
    </w:p>
    <w:p>
      <w:pPr>
        <w:ind w:left="1060" w:hanging="404"/>
        <w:spacing w:after="0"/>
        <w:tabs>
          <w:tab w:leader="none" w:pos="1060" w:val="left"/>
        </w:tabs>
        <w:numPr>
          <w:ilvl w:val="0"/>
          <w:numId w:val="83"/>
        </w:numPr>
        <w:rPr>
          <w:rFonts w:ascii="Arial" w:cs="Arial" w:eastAsia="Arial" w:hAnsi="Arial"/>
          <w:sz w:val="20"/>
          <w:szCs w:val="20"/>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16" w:lineRule="exact"/>
        <w:rPr>
          <w:sz w:val="20"/>
          <w:szCs w:val="20"/>
          <w:color w:val="auto"/>
        </w:rPr>
      </w:pPr>
    </w:p>
    <w:p>
      <w:pPr>
        <w:ind w:right="20" w:firstLine="656"/>
        <w:spacing w:after="0" w:line="301" w:lineRule="auto"/>
        <w:tabs>
          <w:tab w:leader="none" w:pos="1005" w:val="left"/>
        </w:tabs>
        <w:numPr>
          <w:ilvl w:val="0"/>
          <w:numId w:val="84"/>
        </w:numPr>
        <w:rPr>
          <w:rFonts w:ascii="Arial" w:cs="Arial" w:eastAsia="Arial" w:hAnsi="Arial"/>
          <w:sz w:val="18"/>
          <w:szCs w:val="18"/>
          <w:color w:val="auto"/>
        </w:rPr>
      </w:pPr>
      <w:r>
        <w:rPr>
          <w:rFonts w:ascii="Arial" w:cs="Arial" w:eastAsia="Arial" w:hAnsi="Arial"/>
          <w:sz w:val="16"/>
          <w:szCs w:val="16"/>
          <w:color w:val="auto"/>
        </w:rPr>
        <w:t xml:space="preserve">At any time after the U.S. Dollar Facility L/C Issuer has made a payment under any U.S. Dollar Facility Letter of Credit and has received from any U.S. Dollar Facility Lender such Lender’s U.S. Dollar Facility L/C Advance in respect of such payment in accordance with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the Administrative Agent receives for the account of the U.S. Dollar Facility L/C Issuer any payment in respect of the related U.S. Dollar Facility Unreimbursed Amount or interest thereon (whether directly from the U.S. Borrower or otherwise, including proceeds of cash collateral applied thereto by the Administrative Agent), the Administrative Agent will distribute to such U.S. Dollar Facility Lender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(appropriately adjusted, in the case of interest payments, to reflect the period of time during which such Lender’s U.S. Dollar Facility L/C Advance was outstanding) in the same funds as those received by the Administrative Agent. At any time after the Multicurrency Facility L/C Issuer has made a payment under any Multicurrency Facility Letter of Credit and has received from any Multicurrency Facility Lender such Lender’s Multicurrency Facility L/C Advance in respect of such payment in accordance with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the applicable Facility Agent receives for the account of the Multicurrency Facility L/C Issuer any payment in respect of the related Multicurrency Facility Unreimbursed Amount or interest thereon (whether directly from the applicable Borrower or otherwise, including proceeds of cash collateral applied thereto by the Administrative Agent), the applicable Facility Agent will distribute to such Multicurrency Facility Lender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(appropriately adjusted, in the case of interest payments, to reflect the period of time during which such Lender’s Multicurrency Facility L/C Advance was outstanding) in the same funds as those received by the applicable Facility Agent.</w:t>
      </w:r>
    </w:p>
    <w:p>
      <w:pPr>
        <w:spacing w:after="0" w:line="170" w:lineRule="exact"/>
        <w:rPr>
          <w:rFonts w:ascii="Arial" w:cs="Arial" w:eastAsia="Arial" w:hAnsi="Arial"/>
          <w:sz w:val="18"/>
          <w:szCs w:val="18"/>
          <w:color w:val="auto"/>
        </w:rPr>
      </w:pPr>
    </w:p>
    <w:p>
      <w:pPr>
        <w:ind w:right="40" w:firstLine="656"/>
        <w:spacing w:after="0" w:line="262" w:lineRule="auto"/>
        <w:tabs>
          <w:tab w:leader="none" w:pos="1069" w:val="left"/>
        </w:tabs>
        <w:numPr>
          <w:ilvl w:val="0"/>
          <w:numId w:val="84"/>
        </w:numPr>
        <w:rPr>
          <w:rFonts w:ascii="Arial" w:cs="Arial" w:eastAsia="Arial" w:hAnsi="Arial"/>
          <w:sz w:val="20"/>
          <w:szCs w:val="20"/>
          <w:color w:val="auto"/>
        </w:rPr>
      </w:pPr>
      <w:r>
        <w:rPr>
          <w:rFonts w:ascii="Arial" w:cs="Arial" w:eastAsia="Arial" w:hAnsi="Arial"/>
          <w:sz w:val="18"/>
          <w:szCs w:val="18"/>
          <w:color w:val="auto"/>
        </w:rPr>
        <w:t xml:space="preserve">If any payment received by the Administrative Agent for the account of the U.S. Dollar Facility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Section 10.05 (including pursuant to any settlement entered into by the U.S. Dollar Facility L/C Issuer in its discretion), each U.S. Dollar Facility Lender shall pay to the Administrative Agent for the account of the U.S. Dollar Facility L/C Issuer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on demand of the Administrative Agent, plus interest thereon from the date of such demand to the date such amount is returned by such Lender,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Federal Funds Rate from time to time in effect. If any payment received by the applicable Facility Agent for the account of the Multicurrency Facility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the Multicurrency Facility L/C Issuer in its discretion), each Multicurrency Facility Lender shall pay to such applicable Facility Agent for the account of the Multicurrency Facility L/C Issuer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on demand of such applicable</w:t>
      </w:r>
    </w:p>
    <w:p>
      <w:pPr>
        <w:spacing w:after="0" w:line="7" w:lineRule="exact"/>
        <w:rPr>
          <w:rFonts w:ascii="Arial" w:cs="Arial" w:eastAsia="Arial" w:hAnsi="Arial"/>
          <w:sz w:val="20"/>
          <w:szCs w:val="20"/>
          <w:color w:val="auto"/>
        </w:rPr>
      </w:pPr>
    </w:p>
    <w:p>
      <w:pPr>
        <w:spacing w:after="0" w:line="286" w:lineRule="auto"/>
        <w:rPr>
          <w:rFonts w:ascii="Arial" w:cs="Arial" w:eastAsia="Arial" w:hAnsi="Arial"/>
          <w:sz w:val="20"/>
          <w:szCs w:val="20"/>
          <w:color w:val="auto"/>
        </w:rPr>
      </w:pPr>
      <w:r>
        <w:rPr>
          <w:rFonts w:ascii="Arial" w:cs="Arial" w:eastAsia="Arial" w:hAnsi="Arial"/>
          <w:sz w:val="17"/>
          <w:szCs w:val="17"/>
          <w:color w:val="auto"/>
        </w:rPr>
        <w:t xml:space="preserve">Facility Agent, plus interest thereon from the date of such demand to the date such amount is returned by such Lender, at a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equal to (w) with respect to amounts denominated in Dollars, the Federal Funds Rate from time to time in effect, (x) with respect to amounts denominated in Canadian Dollars, the rate of interest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at which overnight deposits in any amount approximately equal to the amount with respect to which such rate is determined, would be offered for such day by JPMorgan Chase Bank, N.A., Toronto Branch, plus any administrative, processing or similar fees customarily charged by JPMorgan Chase Bank, N.A., Toronto Branch, (y) with respect to amounts denominated in Euros or Pounds Sterling, the rate of interest determined by the applicable Multicurrency Facility L/C Issuer in accordance with banking industry rules on interbank compensation and (z) with respect to amounts denominated in an Alternative Currency, the rate of interest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at which overnight deposits in the applicable currency, in an amount approximately equal to the amount with respect to which such rate is being determined, would be offered for such day by a branch or Affiliate of JPMCB in the applicable offshore interbank market for such currency to major banks in such interbank market. The obligations of the Lenders under this clause shall survive the payment in full of the Obligations and the termination of this Agreement.</w:t>
      </w:r>
    </w:p>
    <w:p>
      <w:pPr>
        <w:spacing w:after="0" w:line="181" w:lineRule="exact"/>
        <w:rPr>
          <w:sz w:val="20"/>
          <w:szCs w:val="20"/>
          <w:color w:val="auto"/>
        </w:rPr>
      </w:pPr>
    </w:p>
    <w:p>
      <w:pPr>
        <w:jc w:val="both"/>
        <w:ind w:right="180" w:firstLine="656"/>
        <w:spacing w:after="0" w:line="264" w:lineRule="auto"/>
        <w:tabs>
          <w:tab w:leader="none" w:pos="1048" w:val="left"/>
        </w:tabs>
        <w:numPr>
          <w:ilvl w:val="0"/>
          <w:numId w:val="85"/>
        </w:numPr>
        <w:rPr>
          <w:rFonts w:ascii="Arial" w:cs="Arial" w:eastAsia="Arial" w:hAnsi="Arial"/>
          <w:sz w:val="20"/>
          <w:szCs w:val="20"/>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Borrowers to reimburse the applicable L/C Issuer for each drawing under each Letter of Credit and to repay each L/C Borrowing shall, to the fullest extent permitted under applicable law, be absolute, unconditional and irrevocable, and shall be paid strictly in accordance with the terms of this Agreement under all circumstances, including the following: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41" w:right="339" w:bottom="1440" w:gutter="0" w:footer="0" w:header="0"/>
        </w:sectPr>
      </w:pPr>
    </w:p>
    <w:bookmarkStart w:id="131" w:name="page132"/>
    <w:bookmarkEnd w:id="131"/>
    <w:p>
      <w:pPr>
        <w:ind w:left="1680" w:hanging="376"/>
        <w:spacing w:after="0"/>
        <w:tabs>
          <w:tab w:leader="none" w:pos="1680" w:val="left"/>
        </w:tabs>
        <w:numPr>
          <w:ilvl w:val="0"/>
          <w:numId w:val="86"/>
        </w:numPr>
        <w:rPr>
          <w:rFonts w:ascii="Arial" w:cs="Arial" w:eastAsia="Arial" w:hAnsi="Arial"/>
          <w:sz w:val="20"/>
          <w:szCs w:val="20"/>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15" w:lineRule="exact"/>
        <w:rPr>
          <w:rFonts w:ascii="Arial" w:cs="Arial" w:eastAsia="Arial" w:hAnsi="Arial"/>
          <w:sz w:val="20"/>
          <w:szCs w:val="20"/>
          <w:color w:val="auto"/>
        </w:rPr>
      </w:pPr>
    </w:p>
    <w:p>
      <w:pPr>
        <w:ind w:left="660" w:right="120" w:firstLine="644"/>
        <w:spacing w:after="0" w:line="259" w:lineRule="auto"/>
        <w:tabs>
          <w:tab w:leader="none" w:pos="1729" w:val="left"/>
        </w:tabs>
        <w:numPr>
          <w:ilvl w:val="0"/>
          <w:numId w:val="86"/>
        </w:numPr>
        <w:rPr>
          <w:rFonts w:ascii="Arial" w:cs="Arial" w:eastAsia="Arial" w:hAnsi="Arial"/>
          <w:sz w:val="20"/>
          <w:szCs w:val="20"/>
          <w:color w:val="auto"/>
        </w:rPr>
      </w:pPr>
      <w:r>
        <w:rPr>
          <w:rFonts w:ascii="Arial" w:cs="Arial" w:eastAsia="Arial" w:hAnsi="Arial"/>
          <w:sz w:val="18"/>
          <w:szCs w:val="18"/>
          <w:color w:val="auto"/>
        </w:rPr>
        <w:t>the existence of any claim, counterclaim, setoff, defense or other right that Holdings, the Borrowers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w:t>
      </w:r>
    </w:p>
    <w:p>
      <w:pPr>
        <w:ind w:left="660"/>
        <w:spacing w:after="0"/>
        <w:rPr>
          <w:rFonts w:ascii="Arial" w:cs="Arial" w:eastAsia="Arial" w:hAnsi="Arial"/>
          <w:sz w:val="20"/>
          <w:szCs w:val="20"/>
          <w:color w:val="auto"/>
        </w:rPr>
      </w:pPr>
      <w:r>
        <w:rPr>
          <w:rFonts w:ascii="Arial" w:cs="Arial" w:eastAsia="Arial" w:hAnsi="Arial"/>
          <w:sz w:val="18"/>
          <w:szCs w:val="18"/>
          <w:color w:val="auto"/>
        </w:rPr>
        <w:t>unrelated transaction;</w:t>
      </w:r>
    </w:p>
    <w:p>
      <w:pPr>
        <w:spacing w:after="0" w:line="237" w:lineRule="exact"/>
        <w:rPr>
          <w:rFonts w:ascii="Arial" w:cs="Arial" w:eastAsia="Arial" w:hAnsi="Arial"/>
          <w:sz w:val="20"/>
          <w:szCs w:val="20"/>
          <w:color w:val="auto"/>
        </w:rPr>
      </w:pPr>
    </w:p>
    <w:p>
      <w:pPr>
        <w:jc w:val="both"/>
        <w:ind w:left="660" w:right="120" w:firstLine="644"/>
        <w:spacing w:after="0" w:line="264" w:lineRule="auto"/>
        <w:tabs>
          <w:tab w:leader="none" w:pos="1785" w:val="left"/>
        </w:tabs>
        <w:numPr>
          <w:ilvl w:val="0"/>
          <w:numId w:val="86"/>
        </w:numPr>
        <w:rPr>
          <w:rFonts w:ascii="Arial" w:cs="Arial" w:eastAsia="Arial" w:hAnsi="Arial"/>
          <w:sz w:val="20"/>
          <w:szCs w:val="20"/>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96" w:lineRule="exact"/>
        <w:rPr>
          <w:rFonts w:ascii="Arial" w:cs="Arial" w:eastAsia="Arial" w:hAnsi="Arial"/>
          <w:sz w:val="20"/>
          <w:szCs w:val="20"/>
          <w:color w:val="auto"/>
        </w:rPr>
      </w:pPr>
    </w:p>
    <w:p>
      <w:pPr>
        <w:ind w:left="660" w:right="80" w:firstLine="644"/>
        <w:spacing w:after="0" w:line="306" w:lineRule="auto"/>
        <w:tabs>
          <w:tab w:leader="none" w:pos="1774" w:val="left"/>
        </w:tabs>
        <w:numPr>
          <w:ilvl w:val="0"/>
          <w:numId w:val="86"/>
        </w:numPr>
        <w:rPr>
          <w:rFonts w:ascii="Arial" w:cs="Arial" w:eastAsia="Arial" w:hAnsi="Arial"/>
          <w:sz w:val="18"/>
          <w:szCs w:val="18"/>
          <w:color w:val="auto"/>
        </w:rPr>
      </w:pPr>
      <w:r>
        <w:rPr>
          <w:rFonts w:ascii="Arial" w:cs="Arial" w:eastAsia="Arial" w:hAnsi="Arial"/>
          <w:sz w:val="16"/>
          <w:szCs w:val="16"/>
          <w:color w:val="auto"/>
        </w:rPr>
        <w:t>any payment by such L/C Issuer under such Letter of Credit against presentation of a draft or certificate that does not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66" w:lineRule="exact"/>
        <w:rPr>
          <w:rFonts w:ascii="Arial" w:cs="Arial" w:eastAsia="Arial" w:hAnsi="Arial"/>
          <w:sz w:val="18"/>
          <w:szCs w:val="18"/>
          <w:color w:val="auto"/>
        </w:rPr>
      </w:pPr>
    </w:p>
    <w:p>
      <w:pPr>
        <w:ind w:left="660" w:firstLine="644"/>
        <w:spacing w:after="0" w:line="296" w:lineRule="auto"/>
        <w:tabs>
          <w:tab w:leader="none" w:pos="1718" w:val="left"/>
        </w:tabs>
        <w:numPr>
          <w:ilvl w:val="0"/>
          <w:numId w:val="86"/>
        </w:numPr>
        <w:rPr>
          <w:rFonts w:ascii="Arial" w:cs="Arial" w:eastAsia="Arial" w:hAnsi="Arial"/>
          <w:sz w:val="19"/>
          <w:szCs w:val="19"/>
          <w:color w:val="auto"/>
        </w:rPr>
      </w:pPr>
      <w:r>
        <w:rPr>
          <w:rFonts w:ascii="Arial" w:cs="Arial" w:eastAsia="Arial" w:hAnsi="Arial"/>
          <w:sz w:val="17"/>
          <w:szCs w:val="17"/>
          <w:color w:val="auto"/>
        </w:rPr>
        <w:t>any exchange, release or nonperfection of any Collateral, or any release or amendment or waiver of or consent to departure from the Guarantee or any other guarantee, for all or any of the Obligations of the Borrowers in respect of such Letter of Credit;</w:t>
      </w:r>
    </w:p>
    <w:p>
      <w:pPr>
        <w:spacing w:after="0" w:line="164" w:lineRule="exact"/>
        <w:rPr>
          <w:rFonts w:ascii="Arial" w:cs="Arial" w:eastAsia="Arial" w:hAnsi="Arial"/>
          <w:sz w:val="19"/>
          <w:szCs w:val="19"/>
          <w:color w:val="auto"/>
        </w:rPr>
      </w:pPr>
    </w:p>
    <w:p>
      <w:pPr>
        <w:ind w:left="660" w:right="60" w:firstLine="644"/>
        <w:spacing w:after="0" w:line="266" w:lineRule="auto"/>
        <w:tabs>
          <w:tab w:leader="none" w:pos="1774" w:val="left"/>
        </w:tabs>
        <w:numPr>
          <w:ilvl w:val="0"/>
          <w:numId w:val="86"/>
        </w:numPr>
        <w:rPr>
          <w:rFonts w:ascii="Arial" w:cs="Arial" w:eastAsia="Arial" w:hAnsi="Arial"/>
          <w:sz w:val="20"/>
          <w:szCs w:val="20"/>
          <w:color w:val="auto"/>
        </w:rPr>
      </w:pPr>
      <w:r>
        <w:rPr>
          <w:rFonts w:ascii="Arial" w:cs="Arial" w:eastAsia="Arial" w:hAnsi="Arial"/>
          <w:sz w:val="18"/>
          <w:szCs w:val="18"/>
          <w:color w:val="auto"/>
        </w:rPr>
        <w:t>adverse change in the relevant exchange rates or in the availability of the relevant Alternative Currency to the applicable Borrower or any Subsidiary Guarantor or in the relevant currency markets generally; or</w:t>
      </w:r>
    </w:p>
    <w:p>
      <w:pPr>
        <w:spacing w:after="0" w:line="190" w:lineRule="exact"/>
        <w:rPr>
          <w:rFonts w:ascii="Arial" w:cs="Arial" w:eastAsia="Arial" w:hAnsi="Arial"/>
          <w:sz w:val="20"/>
          <w:szCs w:val="20"/>
          <w:color w:val="auto"/>
        </w:rPr>
      </w:pPr>
    </w:p>
    <w:p>
      <w:pPr>
        <w:ind w:left="660" w:right="40" w:firstLine="644"/>
        <w:spacing w:after="0" w:line="266" w:lineRule="auto"/>
        <w:tabs>
          <w:tab w:leader="none" w:pos="1828" w:val="left"/>
        </w:tabs>
        <w:numPr>
          <w:ilvl w:val="0"/>
          <w:numId w:val="86"/>
        </w:numPr>
        <w:rPr>
          <w:rFonts w:ascii="Arial" w:cs="Arial" w:eastAsia="Arial" w:hAnsi="Arial"/>
          <w:sz w:val="20"/>
          <w:szCs w:val="20"/>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Holdings, any Borrower or any Subsidiary.</w:t>
      </w:r>
    </w:p>
    <w:p>
      <w:pPr>
        <w:spacing w:after="0" w:line="177"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The applicable Borrower shall promptly examine a copy of each Letter of Credit and each amendment thereto that is delivered to it and, in the event of any claim of noncompliance with such Borrower’s instructions or other irregularity, such Borrower will immediately notify the applicable L/C Issuer. Such Borrower shall be conclusively deemed to have waived any such claim against each L/C Issuer and its correspondents unless such notice is given as aforesaid.</w:t>
      </w:r>
    </w:p>
    <w:p>
      <w:pPr>
        <w:spacing w:after="0" w:line="200" w:lineRule="exact"/>
        <w:rPr>
          <w:sz w:val="20"/>
          <w:szCs w:val="20"/>
          <w:color w:val="auto"/>
        </w:rPr>
      </w:pPr>
    </w:p>
    <w:p>
      <w:pPr>
        <w:ind w:right="20" w:firstLine="656"/>
        <w:spacing w:after="0" w:line="294" w:lineRule="auto"/>
        <w:tabs>
          <w:tab w:leader="none" w:pos="1026" w:val="left"/>
        </w:tabs>
        <w:numPr>
          <w:ilvl w:val="1"/>
          <w:numId w:val="87"/>
        </w:numPr>
        <w:rPr>
          <w:rFonts w:ascii="Arial" w:cs="Arial" w:eastAsia="Arial" w:hAnsi="Arial"/>
          <w:sz w:val="18"/>
          <w:szCs w:val="18"/>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Each Lender and each Borrower agree that, in paying any drawing under a Letter of Credit, each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applicable Facility Agent, any of their respective Related Parties nor any correspondent, participant or assignee of the L/C Issuers shall be liable to any Lender for (i) any action taken or omitted in connection herewith at the request or with the approval of the Lenders, any Required Lenders or any Required Multicurrency Facility Lenders, as applicable; (ii) any action taken or omitted in the absence of gross negligence or willful misconduct (with any finding of gross negligence or willful misconduct having been found by a final, nonappealable judgment of a court of competent jurisdiction); or</w:t>
      </w:r>
    </w:p>
    <w:p>
      <w:pPr>
        <w:spacing w:after="0" w:line="1" w:lineRule="exact"/>
        <w:rPr>
          <w:rFonts w:ascii="Arial" w:cs="Arial" w:eastAsia="Arial" w:hAnsi="Arial"/>
          <w:sz w:val="18"/>
          <w:szCs w:val="18"/>
          <w:color w:val="auto"/>
        </w:rPr>
      </w:pPr>
    </w:p>
    <w:p>
      <w:pPr>
        <w:ind w:right="80" w:firstLine="8"/>
        <w:spacing w:after="0" w:line="272" w:lineRule="auto"/>
        <w:tabs>
          <w:tab w:leader="none" w:pos="3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assumption is not intended to, and shall not, preclude such Borrower’s pursuing such rights and remedies as it may have against the beneficiary or transferee at law or under any other agreement. None of the L/C Issuers, any applicable Facility Agent, any of their respective Related Parties nor any correspondent,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787" w:right="339" w:bottom="1440" w:gutter="0" w:footer="0" w:header="0"/>
        </w:sectPr>
      </w:pPr>
    </w:p>
    <w:bookmarkStart w:id="132" w:name="page133"/>
    <w:bookmarkEnd w:id="132"/>
    <w:p>
      <w:pPr>
        <w:ind w:right="20"/>
        <w:spacing w:after="0" w:line="269" w:lineRule="auto"/>
        <w:rPr>
          <w:sz w:val="20"/>
          <w:szCs w:val="20"/>
          <w:color w:val="auto"/>
        </w:rPr>
      </w:pPr>
      <w:r>
        <w:rPr>
          <w:rFonts w:ascii="Arial" w:cs="Arial" w:eastAsia="Arial" w:hAnsi="Arial"/>
          <w:sz w:val="17"/>
          <w:szCs w:val="17"/>
          <w:color w:val="auto"/>
        </w:rPr>
        <w:t xml:space="preserve">participant or assignee of the L/C Issuers shall be liable or responsible for any of the matters described in clauses (i) through (vi) of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anything in such clauses to the contrary notwithstanding, a Borrower may have a claim against an L/C Issuer, and such L/C Issuer may be liable to such Borrower, to the extent, but only to the extent, of any direct, as opposed to consequential or exemplary, damages suffered by such Borrower which such Borrower proves were caused by such L/C Issuer’s willful misconduct or gross negligence (as found by a final, nonappealable judgment of a court of competent jurisdiction). In furtherance and not in limitation of the foregoing, the L/C Issuers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except to the extent that any errors with respect to the foregoing are found by a final, nonappealable judgment of a court of competent jurisdiction to have resulted from the gross negligence or willful misconduct of such L/C Issuer.</w:t>
      </w:r>
    </w:p>
    <w:p>
      <w:pPr>
        <w:spacing w:after="0" w:line="199" w:lineRule="exact"/>
        <w:rPr>
          <w:sz w:val="20"/>
          <w:szCs w:val="20"/>
          <w:color w:val="auto"/>
        </w:rPr>
      </w:pPr>
    </w:p>
    <w:p>
      <w:pPr>
        <w:ind w:left="1060" w:hanging="404"/>
        <w:spacing w:after="0"/>
        <w:tabs>
          <w:tab w:leader="none" w:pos="1060" w:val="left"/>
        </w:tabs>
        <w:numPr>
          <w:ilvl w:val="0"/>
          <w:numId w:val="89"/>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jc w:val="both"/>
        <w:ind w:right="20" w:firstLine="656"/>
        <w:spacing w:after="0" w:line="284" w:lineRule="auto"/>
        <w:tabs>
          <w:tab w:leader="none" w:pos="1058" w:val="left"/>
        </w:tabs>
        <w:numPr>
          <w:ilvl w:val="0"/>
          <w:numId w:val="89"/>
        </w:numPr>
        <w:rPr>
          <w:rFonts w:ascii="Arial" w:cs="Arial" w:eastAsia="Arial" w:hAnsi="Arial"/>
          <w:sz w:val="19"/>
          <w:szCs w:val="19"/>
          <w:color w:val="auto"/>
        </w:rPr>
      </w:pPr>
      <w:r>
        <w:rPr>
          <w:rFonts w:ascii="Arial" w:cs="Arial" w:eastAsia="Arial" w:hAnsi="Arial"/>
          <w:sz w:val="17"/>
          <w:szCs w:val="17"/>
          <w:u w:val="single" w:color="auto"/>
          <w:color w:val="auto"/>
        </w:rPr>
        <w:t>Applicability of ISP and Uniform Customs</w:t>
      </w:r>
      <w:r>
        <w:rPr>
          <w:rFonts w:ascii="Arial" w:cs="Arial" w:eastAsia="Arial" w:hAnsi="Arial"/>
          <w:sz w:val="17"/>
          <w:szCs w:val="17"/>
          <w:color w:val="auto"/>
        </w:rPr>
        <w:t>. Unless otherwise expressly agreed by the L/C Issuers and the Borrowers when a Letter of Credit is issued that Uniform Customs shall apply to such Letter of Credit, (i) the rules of the ISP shall apply to each standby Letter of Credit, and (ii) the rules of the Uniform Customs, as most recently published by the International Chamber of Commerce at the time of issuance shall apply to each commercial Letter of Credit and, on an exception basis only, to any standby Letter of Credit as may be required by local law or statute.</w:t>
      </w:r>
    </w:p>
    <w:p>
      <w:pPr>
        <w:spacing w:after="0" w:line="181" w:lineRule="exact"/>
        <w:rPr>
          <w:rFonts w:ascii="Arial" w:cs="Arial" w:eastAsia="Arial" w:hAnsi="Arial"/>
          <w:sz w:val="19"/>
          <w:szCs w:val="19"/>
          <w:color w:val="auto"/>
        </w:rPr>
      </w:pPr>
    </w:p>
    <w:p>
      <w:pPr>
        <w:ind w:firstLine="656"/>
        <w:spacing w:after="0" w:line="300" w:lineRule="auto"/>
        <w:tabs>
          <w:tab w:leader="none" w:pos="1015" w:val="left"/>
        </w:tabs>
        <w:numPr>
          <w:ilvl w:val="0"/>
          <w:numId w:val="89"/>
        </w:numPr>
        <w:rPr>
          <w:rFonts w:ascii="Arial" w:cs="Arial" w:eastAsia="Arial" w:hAnsi="Arial"/>
          <w:sz w:val="18"/>
          <w:szCs w:val="18"/>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U.S. Borrower shall pay Letter of Credit fees (the “</w:t>
      </w:r>
      <w:r>
        <w:rPr>
          <w:rFonts w:ascii="Arial" w:cs="Arial" w:eastAsia="Arial" w:hAnsi="Arial"/>
          <w:sz w:val="16"/>
          <w:szCs w:val="16"/>
          <w:u w:val="single" w:color="auto"/>
          <w:color w:val="auto"/>
        </w:rPr>
        <w:t>U.S. Dollar Facility Letter of Credit Fees</w:t>
      </w:r>
      <w:r>
        <w:rPr>
          <w:rFonts w:ascii="Arial" w:cs="Arial" w:eastAsia="Arial" w:hAnsi="Arial"/>
          <w:sz w:val="16"/>
          <w:szCs w:val="16"/>
          <w:color w:val="auto"/>
        </w:rPr>
        <w:t xml:space="preserve">”) (A) to the Administrative Agent for the account of each U.S. Dollar Facility Lender in accordance with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(i) for each commercial U.S. Dollar Facility Letter of Credit equal to (x) the Applicable Rate for commercial Letters of Credit times (y) the daily amount available to be drawn under such U.S. Dollar Facility Letter of Credit and (ii) for each standby U.S. Dollar Facility Letter of Credit equal to the Applicable Rate for standby Letters of Credit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U.S. Dollar Facility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any U.S. Dollar Facility Letter of Credit Fees otherwise payable for the account of a Defaulting Lender with respect to any U.S. Dollar Facility Letter of Credit as to which such Defaulting Lender has not provided Cash Collateral satisfactory to the U.S. Dollar Facility L/C Issuer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U.S. Dollar Facility Lenders in accordance with the upward adjustments in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allocable to such Letter of Credit pursuant to </w:t>
      </w:r>
      <w:r>
        <w:rPr>
          <w:rFonts w:ascii="Arial" w:cs="Arial" w:eastAsia="Arial" w:hAnsi="Arial"/>
          <w:sz w:val="16"/>
          <w:szCs w:val="16"/>
          <w:u w:val="single" w:color="auto"/>
          <w:color w:val="auto"/>
        </w:rPr>
        <w:t>Section 2.16(a)(iv)</w:t>
      </w:r>
      <w:r>
        <w:rPr>
          <w:rFonts w:ascii="Arial" w:cs="Arial" w:eastAsia="Arial" w:hAnsi="Arial"/>
          <w:sz w:val="16"/>
          <w:szCs w:val="16"/>
          <w:color w:val="auto"/>
        </w:rPr>
        <w:t>, with the balance of such fee, if any, payable to the U.S. Dollar Facility L/C Issuer for its own account and (B) to the U.S. Dollar Facility L/C Issuer a fronting fee, which shall accrue at the rate of 0.125% per annum on the average daily amount of the U.S. Dollar Facility L/C Obligations (excluding any portion thereof attributable to U.S. Dollar Facility Unreimbursed Amounts) during the period from and including the Amendment No. 1 Effective Date to but excluding the later of the date of termination of the Commitments and the date on which there ceases to be any U.S. Dollar Facility L/C Obligations, as well as the U.S. Dollar Facility L/C Issuer’s standard fees with respect to the issuance, amendment, renewal or extension of any U.S. Dollar Facility Letter of Credit or processing of drawings thereunder. The applicable Borrower shall pay Letter of Credit fees (the “</w:t>
      </w:r>
      <w:r>
        <w:rPr>
          <w:rFonts w:ascii="Arial" w:cs="Arial" w:eastAsia="Arial" w:hAnsi="Arial"/>
          <w:sz w:val="16"/>
          <w:szCs w:val="16"/>
          <w:u w:val="single" w:color="auto"/>
          <w:color w:val="auto"/>
        </w:rPr>
        <w:t>Multicurrency Facility Letter of Credit Fees</w:t>
      </w:r>
      <w:r>
        <w:rPr>
          <w:rFonts w:ascii="Arial" w:cs="Arial" w:eastAsia="Arial" w:hAnsi="Arial"/>
          <w:sz w:val="16"/>
          <w:szCs w:val="16"/>
          <w:color w:val="auto"/>
        </w:rPr>
        <w:t xml:space="preserve">”) (A) to the applicable Facility Agent for the account of each Multicurrency Facility Lender in accordance with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(i) for each commercial Multicurrency Facility Letter of Credit equal to (x) the Applicable Rate for commercial Letters of Credit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(y) the Dollar Equivalent of the daily amount available to be drawn under such Multicurrency Facility Letter of Credit and (ii) for each standby Multicurrency Facility Letter of Credit equal to the Applicable Rate for standby Letters of Credit times the Dollar Equivalent of the daily amount available to be drawn under such Multicurrency Facility Letter of Credit; provided, however, any Multicurrency Facility Letter of Credit Fees otherwise payable for the account of a Defaulting Lender with respect to any Multicurrency Facility Letter of Credit as to which such Defaulting Lender has not provided Cash Collateral satisfactory to the Multicurrency Facility L/C Issuer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Multicurrency Facility Lenders in accordance with the upward adjustments in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allocable to such Letter of Credit pursuant to </w:t>
      </w:r>
      <w:r>
        <w:rPr>
          <w:rFonts w:ascii="Arial" w:cs="Arial" w:eastAsia="Arial" w:hAnsi="Arial"/>
          <w:sz w:val="16"/>
          <w:szCs w:val="16"/>
          <w:u w:val="single" w:color="auto"/>
          <w:color w:val="auto"/>
        </w:rPr>
        <w:t>Section 2.16(a)(iv)</w:t>
      </w:r>
      <w:r>
        <w:rPr>
          <w:rFonts w:ascii="Arial" w:cs="Arial" w:eastAsia="Arial" w:hAnsi="Arial"/>
          <w:sz w:val="16"/>
          <w:szCs w:val="16"/>
          <w:color w:val="auto"/>
        </w:rPr>
        <w:t>, with the balance of such fee, if any, payable to the Multicurrency Facility L/C Issuer for its own account and (B) to the Multicurrency Facility L/C Issuer a fronting fee, which shall accrue at the rate of 0.125% per annum on the Dollar Equivalent of the average daily amount of the Multicurrency Facility L/C Obligations (excluding any portion thereof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773" w:right="359" w:bottom="1440" w:gutter="0" w:footer="0" w:header="0"/>
        </w:sectPr>
      </w:pPr>
    </w:p>
    <w:bookmarkStart w:id="133" w:name="page134"/>
    <w:bookmarkEnd w:id="133"/>
    <w:p>
      <w:pPr>
        <w:ind w:right="40"/>
        <w:spacing w:after="0" w:line="289" w:lineRule="auto"/>
        <w:rPr>
          <w:sz w:val="20"/>
          <w:szCs w:val="20"/>
          <w:color w:val="auto"/>
        </w:rPr>
      </w:pPr>
      <w:r>
        <w:rPr>
          <w:rFonts w:ascii="Arial" w:cs="Arial" w:eastAsia="Arial" w:hAnsi="Arial"/>
          <w:sz w:val="16"/>
          <w:szCs w:val="16"/>
          <w:color w:val="auto"/>
        </w:rPr>
        <w:t xml:space="preserve">attributable to Multicurrency Facility Unreimbursed Amounts) during the period from and including the Amendment No. 1 Effective Date to but excluding the later of the date of termination of the Commitments and the date on which there ceases to be any Multicurrency Facility L/C Obligations, as well as the Multicurrency Facility L/C Issuer’s standard fees with respect to the issuance, amendment, renewal or extension of any Multicurrency Facility Letter of Credit or processing of drawings thereunder.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Letter of Credit Fees shall be (i) computed on a quarterly basis in arrears and (ii) due and payable on the last Business Day of each March, June, September and December, commencing with the first such date to occur after the issuance of such Letter of Credit, on the Letter of Credit Expiration Date applicable thereto and thereafter on demand. If there is any change in the Applicable Rate for Eurodollar Rate Revolving Loans during any quarter, the daily amount available to be drawn under each Letter of Credit shall be computed and multiplied by the Applicable Rate separately for each period during such quarter that such Applicable Rate was in effect.</w:t>
      </w:r>
    </w:p>
    <w:p>
      <w:pPr>
        <w:spacing w:after="0" w:line="180" w:lineRule="exact"/>
        <w:rPr>
          <w:sz w:val="20"/>
          <w:szCs w:val="20"/>
          <w:color w:val="auto"/>
        </w:rPr>
      </w:pPr>
    </w:p>
    <w:p>
      <w:pPr>
        <w:ind w:right="500" w:firstLine="656"/>
        <w:spacing w:after="0" w:line="266" w:lineRule="auto"/>
        <w:tabs>
          <w:tab w:leader="none" w:pos="1015" w:val="left"/>
        </w:tabs>
        <w:numPr>
          <w:ilvl w:val="0"/>
          <w:numId w:val="90"/>
        </w:numPr>
        <w:rPr>
          <w:rFonts w:ascii="Arial" w:cs="Arial" w:eastAsia="Arial" w:hAnsi="Arial"/>
          <w:sz w:val="20"/>
          <w:szCs w:val="20"/>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6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2.04</w:t>
      </w:r>
      <w:r>
        <w:rPr>
          <w:sz w:val="20"/>
          <w:szCs w:val="20"/>
          <w:color w:val="auto"/>
        </w:rPr>
        <w:tab/>
      </w:r>
      <w:r>
        <w:rPr>
          <w:rFonts w:ascii="Arial" w:cs="Arial" w:eastAsia="Arial" w:hAnsi="Arial"/>
          <w:sz w:val="16"/>
          <w:szCs w:val="16"/>
          <w:b w:val="1"/>
          <w:bCs w:val="1"/>
          <w:u w:val="single" w:color="auto"/>
          <w:color w:val="auto"/>
        </w:rPr>
        <w:t>Swing Line Loans</w:t>
      </w:r>
      <w:r>
        <w:rPr>
          <w:rFonts w:ascii="Arial" w:cs="Arial" w:eastAsia="Arial" w:hAnsi="Arial"/>
          <w:sz w:val="16"/>
          <w:szCs w:val="16"/>
          <w:color w:val="auto"/>
        </w:rPr>
        <w:t>.</w:t>
      </w:r>
    </w:p>
    <w:p>
      <w:pPr>
        <w:spacing w:after="0" w:line="238" w:lineRule="exact"/>
        <w:rPr>
          <w:sz w:val="20"/>
          <w:szCs w:val="20"/>
          <w:color w:val="auto"/>
        </w:rPr>
      </w:pPr>
    </w:p>
    <w:p>
      <w:pPr>
        <w:ind w:firstLine="656"/>
        <w:spacing w:after="0" w:line="300" w:lineRule="auto"/>
        <w:tabs>
          <w:tab w:leader="none" w:pos="1048" w:val="left"/>
        </w:tabs>
        <w:numPr>
          <w:ilvl w:val="0"/>
          <w:numId w:val="91"/>
        </w:numPr>
        <w:rPr>
          <w:rFonts w:ascii="Arial" w:cs="Arial" w:eastAsia="Arial" w:hAnsi="Arial"/>
          <w:sz w:val="18"/>
          <w:szCs w:val="18"/>
          <w:color w:val="auto"/>
        </w:rPr>
      </w:pPr>
      <w:r>
        <w:rPr>
          <w:rFonts w:ascii="Arial" w:cs="Arial" w:eastAsia="Arial" w:hAnsi="Arial"/>
          <w:sz w:val="16"/>
          <w:szCs w:val="16"/>
          <w:color w:val="auto"/>
        </w:rPr>
        <w:t>(i) The U.S. Dollar Facility Swing Line. Subject to the terms and conditions set forth herein, the U.S. Dollar Facility Swing Line Lender, may, in its sole discretion, in reliance upon the agreements of the other U.S. Dollar Facility Lenders set forth in this Section 2.04, make loans (each such loan, a “</w:t>
      </w:r>
      <w:r>
        <w:rPr>
          <w:rFonts w:ascii="Arial" w:cs="Arial" w:eastAsia="Arial" w:hAnsi="Arial"/>
          <w:sz w:val="16"/>
          <w:szCs w:val="16"/>
          <w:u w:val="single" w:color="auto"/>
          <w:color w:val="auto"/>
        </w:rPr>
        <w:t>U.S. Dollar Facility Swing Line Loan</w:t>
      </w:r>
      <w:r>
        <w:rPr>
          <w:rFonts w:ascii="Arial" w:cs="Arial" w:eastAsia="Arial" w:hAnsi="Arial"/>
          <w:sz w:val="16"/>
          <w:szCs w:val="16"/>
          <w:color w:val="auto"/>
        </w:rPr>
        <w:t xml:space="preserve">”) to the U.S. Borrower from time to time on any Business Day after the Closing Date during the U.S. Dollar Facility Availability Period in an aggregate amount not to exceed at any time outstanding the amount of the U.S. Dollar Facility Swing Line Sublimit, notwithstanding the fact that such U.S. Dollar Facility Swing Line Loans, when aggregated with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Outstanding Amount of U.S. Dollar Facility Revolving Loans and U.S. Dollar Facility L/C Obligations of the Lender acting as Swing Line Lender, may exceed the amount of such Lender’s U.S. Dollar Facility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U.S. Dollar Facility Swing Line Loan, (i) the Outstanding Amount of U.S. Dollar Facility Revolving Loans shall not exceed the Aggregate U.S. Dollar Facility Commitments, and (ii) the aggregate Outstanding Amount of the U.S. Dollar Facility Revolving Loans of any U.S. Dollar Facility Lender, plus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Outstanding Amount of all U.S. Dollar Facility L/C Obligations, plus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Outstanding Amount of all U.S. Dollar Facility Swing Line Loans shall not exceed such Lender’s U.S. Dollar Facility Commitment,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U.S. Borrower shall not use the proceeds of any Swing Line Loan to refinance any outstanding U.S. Dollar Facility Swing Line Loan. Within the foregoing limits, and subject to the other terms and conditions hereof, the U.S. Borrower may borrow under this Section 2.04, prepay under Section 2.05, and reborrow under this Section 2.04. Each U.S. Dollar Facility Swing Line Loan shall be a Base Rate Loan. Immediately upon the making of a U.S. Dollar Facility Swing Line Loan, each U.S. Dollar Facility Lender shall be deemed to, and hereby irrevocably and unconditionally agrees to, purchase from the U.S. Dollar Facility Swing Line Lender a risk participation in such U.S. Dollar Facility Swing Line Loan in an amount equal to the product of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times the amount of such U.S. Dollar Facility Swing Line Loan.</w:t>
      </w:r>
    </w:p>
    <w:p>
      <w:pPr>
        <w:spacing w:after="0" w:line="180" w:lineRule="exact"/>
        <w:rPr>
          <w:sz w:val="20"/>
          <w:szCs w:val="20"/>
          <w:color w:val="auto"/>
        </w:rPr>
      </w:pPr>
    </w:p>
    <w:p>
      <w:pPr>
        <w:ind w:right="40" w:firstLine="656"/>
        <w:spacing w:after="0" w:line="282" w:lineRule="auto"/>
        <w:tabs>
          <w:tab w:leader="none" w:pos="1069" w:val="left"/>
        </w:tabs>
        <w:numPr>
          <w:ilvl w:val="0"/>
          <w:numId w:val="92"/>
        </w:numPr>
        <w:rPr>
          <w:rFonts w:ascii="Arial" w:cs="Arial" w:eastAsia="Arial" w:hAnsi="Arial"/>
          <w:sz w:val="19"/>
          <w:szCs w:val="19"/>
          <w:color w:val="auto"/>
        </w:rPr>
      </w:pPr>
      <w:r>
        <w:rPr>
          <w:rFonts w:ascii="Arial" w:cs="Arial" w:eastAsia="Arial" w:hAnsi="Arial"/>
          <w:sz w:val="17"/>
          <w:szCs w:val="17"/>
          <w:u w:val="single" w:color="auto"/>
          <w:color w:val="auto"/>
        </w:rPr>
        <w:t>The Multicurrency Facility Swing Line</w:t>
      </w:r>
      <w:r>
        <w:rPr>
          <w:rFonts w:ascii="Arial" w:cs="Arial" w:eastAsia="Arial" w:hAnsi="Arial"/>
          <w:sz w:val="17"/>
          <w:szCs w:val="17"/>
          <w:color w:val="auto"/>
        </w:rPr>
        <w:t xml:space="preserve">. Subject to the terms and conditions set forth herein, the Multicurrency Facility Swing Line Lender, may, in its sole discretion, in reliance upon the agreements of the other Multicurrency Facility Lenders set forth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make loans (each such loan, a “</w:t>
      </w:r>
      <w:r>
        <w:rPr>
          <w:rFonts w:ascii="Arial" w:cs="Arial" w:eastAsia="Arial" w:hAnsi="Arial"/>
          <w:sz w:val="17"/>
          <w:szCs w:val="17"/>
          <w:u w:val="single" w:color="auto"/>
          <w:color w:val="auto"/>
        </w:rPr>
        <w:t>Multicurrency Facility Swing Line Loan</w:t>
      </w:r>
      <w:r>
        <w:rPr>
          <w:rFonts w:ascii="Arial" w:cs="Arial" w:eastAsia="Arial" w:hAnsi="Arial"/>
          <w:sz w:val="17"/>
          <w:szCs w:val="17"/>
          <w:color w:val="auto"/>
        </w:rPr>
        <w:t xml:space="preserve">”) denominated in Dollars, Canadian Dollars, Euros or Pounds Sterling to the Borrowers from time to time on any Business Day after the Restatement Date during the Multicurrency Facility Availability Period in an aggregate amount not to exceed at any time outstanding the amount of the Multicurrency Facility Swing Line Sublimit, notwithstanding the fact that such Multicurrency Facility Swing Line Loans, when aggregated with the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the Outstanding Amount of Multicurrency Facility Revolving Loans and Multicurrency Facility L/C Obligations of the Lender acting as Swing Line Lender, may exceed the amount of such Lender’s Multicurrency Facility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Multicurrency Facility Swing Line Loan, (i) the Outstanding Amount of Multicurrency Facility Revolving Loans shall not exceed the Aggregate Multicurrency Facility Commitments, and (ii) the aggregate Outstanding Amount of the Multicurrency Facility Revolving Loans of any Multicurrency Facility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the Outstanding Amount of all Multicurrency Facility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the Outstanding Amount of all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41" w:right="339" w:bottom="1440" w:gutter="0" w:footer="0" w:header="0"/>
        </w:sectPr>
      </w:pPr>
    </w:p>
    <w:bookmarkStart w:id="134" w:name="page135"/>
    <w:bookmarkEnd w:id="134"/>
    <w:p>
      <w:pPr>
        <w:ind w:right="40"/>
        <w:spacing w:after="0" w:line="270" w:lineRule="auto"/>
        <w:rPr>
          <w:sz w:val="20"/>
          <w:szCs w:val="20"/>
          <w:color w:val="auto"/>
        </w:rPr>
      </w:pPr>
      <w:r>
        <w:rPr>
          <w:rFonts w:ascii="Arial" w:cs="Arial" w:eastAsia="Arial" w:hAnsi="Arial"/>
          <w:sz w:val="17"/>
          <w:szCs w:val="17"/>
          <w:color w:val="auto"/>
        </w:rPr>
        <w:t xml:space="preserve">Multicurrency Facility Swing Line Loans shall not exceed such Lender’s Multicurrency Facility Commitment,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Borrowers shall not use the proceeds of any Swing Line Loan to refinance any outstanding Multicurrency Facility Swing Line Loan. Within the foregoing limits, and subject to the other terms and conditions hereof, the Borrowers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Multicurrency Facility Swing Line Loan denominated in Dollars shall be a Canadian U.S. Base Rate Loan. Each Multicurrency Facility Swing Line Loan denominated in Canadian Dollars shall be a Canadian Prime Rate Loan. Each Multicurrency Facility Swing Line Loan denominated in Euros or Pounds Sterling shall be an Overnight LIBO Rate Loan. Immediately upon the making of a Multicurrency Facility Swing Line Loan, each Multicurrency Facility Lender shall be deemed to, and hereby irrevocably and unconditionally agrees to, purchase from the Multicurrency Facility Swing Line Lender a risk participation in such Multicurrency Facility Swing Line Loan in an amount equal to the product of such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times the amount of such Multicurrency Facility Swing Line Loan.</w:t>
      </w:r>
    </w:p>
    <w:p>
      <w:pPr>
        <w:spacing w:after="0" w:line="194" w:lineRule="exact"/>
        <w:rPr>
          <w:sz w:val="20"/>
          <w:szCs w:val="20"/>
          <w:color w:val="auto"/>
        </w:rPr>
      </w:pPr>
    </w:p>
    <w:p>
      <w:pPr>
        <w:ind w:left="1060" w:hanging="404"/>
        <w:spacing w:after="0"/>
        <w:tabs>
          <w:tab w:leader="none" w:pos="1060" w:val="left"/>
        </w:tabs>
        <w:numPr>
          <w:ilvl w:val="0"/>
          <w:numId w:val="93"/>
        </w:numPr>
        <w:rPr>
          <w:rFonts w:ascii="Arial" w:cs="Arial" w:eastAsia="Arial" w:hAnsi="Arial"/>
          <w:sz w:val="20"/>
          <w:szCs w:val="20"/>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firstLine="644"/>
        <w:spacing w:after="0" w:line="282" w:lineRule="auto"/>
        <w:tabs>
          <w:tab w:leader="none" w:pos="1675" w:val="left"/>
        </w:tabs>
        <w:numPr>
          <w:ilvl w:val="1"/>
          <w:numId w:val="93"/>
        </w:numPr>
        <w:rPr>
          <w:rFonts w:ascii="Arial" w:cs="Arial" w:eastAsia="Arial" w:hAnsi="Arial"/>
          <w:sz w:val="19"/>
          <w:szCs w:val="19"/>
          <w:color w:val="auto"/>
        </w:rPr>
      </w:pPr>
      <w:r>
        <w:rPr>
          <w:rFonts w:ascii="Arial" w:cs="Arial" w:eastAsia="Arial" w:hAnsi="Arial"/>
          <w:sz w:val="17"/>
          <w:szCs w:val="17"/>
          <w:color w:val="auto"/>
        </w:rPr>
        <w:t xml:space="preserve">Each U.S. Dollar Facility Swing Line Borrowing may, in the sole discretion of the U.S. Dollar Facility Swing Line Lender, be made upon the U.S. Borrower’s irrevocable notice to the U.S. Dollar Facility Swing Line Lender and the Administrative Agent by submitting a U.S. Dollar Facility Swing Line Loan Notice. Each such notice must be received by the U.S. Dollar Facility Swing Line Lender and the Administrative Agent not later than 1:00 p.m. on the requested borrowing date, and shall specify (i) the amount to be borrowed, which shall be an amount in Dollars and a minimum of $100,000 or a whole multiple of $50,000 in excess thereof, and (ii) the requested borrowing date, which shall be a Business Day. Each such U.S. Dollar Facility Swing Line Loan Notice must be appropriately completed and signed by a Responsible Officer of the U.S. Borrower. Promptly after receipt by the U.S. Dollar Facility Swing Line Lender of any U.S. Dollar Facility Swing Line Loan Notice, the U.S. Dollar Facility Swing Line Lender will confirm with the Administrative Agent (by telephone or in writing) that the Administrative Agent has also received such U.S. Dollar Facility Swing Line Loan Notice and, if not, the U.S. Dollar Facility Swing Line Lender will notify the Administrative Agent in writing of the contents thereof. Unless the U.S. Dollar Facility Swing Line Lender has received notice (by telephone or in writing) from the Administrative Agent (including at the request of any Lender) prior to 2:00 p.m. on the date of the proposed U.S. Dollar Facility Swing Line Borrowing (A) directing the U.S. Dollar Facility Swing Line Lender not to make such U.S. Dollar Facility Swing Line Loan as a result of the limitations set forth in the proviso to the first sentence of </w:t>
      </w:r>
      <w:r>
        <w:rPr>
          <w:rFonts w:ascii="Arial" w:cs="Arial" w:eastAsia="Arial" w:hAnsi="Arial"/>
          <w:sz w:val="17"/>
          <w:szCs w:val="17"/>
          <w:u w:val="single" w:color="auto"/>
          <w:color w:val="auto"/>
        </w:rPr>
        <w:t>Section 2.04(a)(i)</w:t>
      </w:r>
      <w:r>
        <w:rPr>
          <w:rFonts w:ascii="Arial" w:cs="Arial" w:eastAsia="Arial" w:hAnsi="Arial"/>
          <w:sz w:val="17"/>
          <w:szCs w:val="17"/>
          <w:color w:val="auto"/>
        </w:rPr>
        <w:t xml:space="preserve">, or (B) that one or more of the applicable conditions specified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then satisfied, then, subject to the terms and conditions hereof, the U.S. Dollar Facility Swing Line Lender will, not later than 3:00 p.m. on the borrowing date specified in such U.S. Dollar Facility Swing Line Loan Notice, make the amount of its U.S. Dollar Facility Swing Line Loan available to the U.S. Borrower at its office by crediting the account of the U.S. Borrower on the books of the U.S. Dollar Facility Swing Line Lender in immediately available funds.</w:t>
      </w:r>
    </w:p>
    <w:p>
      <w:pPr>
        <w:spacing w:after="0" w:line="185" w:lineRule="exact"/>
        <w:rPr>
          <w:rFonts w:ascii="Arial" w:cs="Arial" w:eastAsia="Arial" w:hAnsi="Arial"/>
          <w:sz w:val="19"/>
          <w:szCs w:val="19"/>
          <w:color w:val="auto"/>
        </w:rPr>
      </w:pPr>
    </w:p>
    <w:p>
      <w:pPr>
        <w:ind w:left="660" w:right="20" w:firstLine="644"/>
        <w:spacing w:after="0" w:line="262" w:lineRule="auto"/>
        <w:tabs>
          <w:tab w:leader="none" w:pos="1729" w:val="left"/>
        </w:tabs>
        <w:numPr>
          <w:ilvl w:val="1"/>
          <w:numId w:val="93"/>
        </w:numPr>
        <w:rPr>
          <w:rFonts w:ascii="Arial" w:cs="Arial" w:eastAsia="Arial" w:hAnsi="Arial"/>
          <w:sz w:val="20"/>
          <w:szCs w:val="20"/>
          <w:color w:val="auto"/>
        </w:rPr>
      </w:pPr>
      <w:r>
        <w:rPr>
          <w:rFonts w:ascii="Arial" w:cs="Arial" w:eastAsia="Arial" w:hAnsi="Arial"/>
          <w:sz w:val="18"/>
          <w:szCs w:val="18"/>
          <w:color w:val="auto"/>
        </w:rPr>
        <w:t>Each Multicurrency Facility Swing Line Borrowing may, in the sole discretion of the Multicurrency Facility Swing Line Lender, be made upon the U.S. Borrower’s, the Canadian Borrower’s or the Dutch Borrower’s irrevocable notice to the Multicurrency Facility Swing Line Lender and the Canadian Agent (in the case of (i) Dollar denominated Multicurrency Facility Swing Line Loans to the U.S. Borrower or the Canadian Borrower and (ii) Canadian Dollar denominated Multicurrency Facility Swingline Loans to any Borrower) or the European Agent (in the case of (i) Dollar denominated Multicurrency Facility Swing Line Loans to the Dutch Borrower and (ii) Euro and Pounds Sterling denominated Multicurrency Facility Swing Line Loans to any Borrower) by submitting a Multicurrency Facility Swing Line Loan Notice. Each such notice must be received by the Multicurrency Facility</w:t>
      </w:r>
    </w:p>
    <w:p>
      <w:pPr>
        <w:ind w:left="660" w:right="60"/>
        <w:spacing w:after="0" w:line="290" w:lineRule="auto"/>
        <w:rPr>
          <w:rFonts w:ascii="Arial" w:cs="Arial" w:eastAsia="Arial" w:hAnsi="Arial"/>
          <w:sz w:val="20"/>
          <w:szCs w:val="20"/>
          <w:color w:val="auto"/>
        </w:rPr>
      </w:pPr>
      <w:r>
        <w:rPr>
          <w:rFonts w:ascii="Arial" w:cs="Arial" w:eastAsia="Arial" w:hAnsi="Arial"/>
          <w:sz w:val="17"/>
          <w:szCs w:val="17"/>
          <w:color w:val="auto"/>
        </w:rPr>
        <w:t>Swing Line Lender not later than 1:00 p.m. (or 11:00 a.m., London time, in the case of Multicurrency Facility Swing Line Borrowings denominated in Euros or Pounds Sterling or, in the case of the Dutch Borrower, denominated in Dollars) on the requested borrowing date, and shall specify (i) the amount to be borrowed, which shall be an amount in Dollars, Canadian Dollars, Euros or Pounds Sterling and a minimum of $100,000, C$100,000 or the Euro Equivalent or Pounds Sterling Equivalent of $100,000, as applicable, or a whole multiple of $50,000, C$50,000 or the Euro Equivalent or Pounds Sterling Equivalent of $50,000, as applicable, in excess thereof, and (ii) the requested borrowing date, which shall be a Business Day. Each such Multicurrency Facility Swing Line Loan Notice must be appropriately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557" w:right="359" w:bottom="1440" w:gutter="0" w:footer="0" w:header="0"/>
        </w:sectPr>
      </w:pPr>
    </w:p>
    <w:bookmarkStart w:id="135" w:name="page136"/>
    <w:bookmarkEnd w:id="135"/>
    <w:p>
      <w:pPr>
        <w:spacing w:after="0" w:line="266" w:lineRule="auto"/>
        <w:rPr>
          <w:sz w:val="20"/>
          <w:szCs w:val="20"/>
          <w:color w:val="auto"/>
        </w:rPr>
      </w:pPr>
      <w:r>
        <w:rPr>
          <w:rFonts w:ascii="Arial" w:cs="Arial" w:eastAsia="Arial" w:hAnsi="Arial"/>
          <w:sz w:val="17"/>
          <w:szCs w:val="17"/>
          <w:color w:val="auto"/>
        </w:rPr>
        <w:t xml:space="preserve">completed and signed by a Responsible Officer of the applicable Borrower. Promptly after receipt by the Multicurrency Facility Swing Line Lender of any Multicurrency Facility Swing Line Loan Notice, the Multicurrency Facility Swing Line Lender will confirm (by telephone or in writing) with the Canadian Agent or the European Agent, as applicable, that the such Facility Agent has also received such Multicurrency Facility Swing Line Loan Notice and, if not, the Multicurrency Facility Swing Line Lender will notify in writing such Facility Agent of the contents thereof. Unless the Multicurrency Facility Swing Line Lender has received notice (by telephone or in writing) from the Canadian Agent or the European Agent (including at the request of any Lender) prior to 2:00 p.m. (or noon, London time, in the case of Multicurrency Facility Swing Line Borrowings denominated in Euros or Pounds Sterling or, in the case of the Dutch Borrower, denominated in Dollars) on the date of the proposed Multicurrency Facility Swing Line Borrowing (A) directing the Multicurrency Facility Swing Line Lender not to make such Multicurrency Facility Swing Line Loan as a result of the limitations set forth in the proviso to the first sentence of </w:t>
      </w:r>
      <w:r>
        <w:rPr>
          <w:rFonts w:ascii="Arial" w:cs="Arial" w:eastAsia="Arial" w:hAnsi="Arial"/>
          <w:sz w:val="17"/>
          <w:szCs w:val="17"/>
          <w:u w:val="single" w:color="auto"/>
          <w:color w:val="auto"/>
        </w:rPr>
        <w:t>Section 2.04(a)(ii)</w:t>
      </w:r>
      <w:r>
        <w:rPr>
          <w:rFonts w:ascii="Arial" w:cs="Arial" w:eastAsia="Arial" w:hAnsi="Arial"/>
          <w:sz w:val="17"/>
          <w:szCs w:val="17"/>
          <w:color w:val="auto"/>
        </w:rPr>
        <w:t xml:space="preserve">, or (B) that one or more of the applicable conditions specified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then satisfied, then, subject to the terms and conditions hereof, the Multicurrency Facility Swing Line Lender will, not later than 3:00 p.m. (or 3:00 p.m., London time, in the case of Multicurrency Facility Swing Line Borrowings denominated in Euros or Pounds Sterling or, in the case of the Dutch Borrower, denominated in Dollars) on the borrowing date specified in such Multicurrency</w:t>
      </w:r>
    </w:p>
    <w:p>
      <w:pPr>
        <w:spacing w:after="0" w:line="7"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Facility Swing Line Loan Notice, make the amount of its Multicurrency Facility Swing Line Loan available to the applicable Borrower at its office by crediting the account of the applicable Borrower on the books of the Multicurrency Facility Swing Line Lender in immediately available funds.</w:t>
      </w:r>
    </w:p>
    <w:p>
      <w:pPr>
        <w:spacing w:after="0" w:line="175" w:lineRule="exact"/>
        <w:rPr>
          <w:sz w:val="20"/>
          <w:szCs w:val="20"/>
          <w:color w:val="auto"/>
        </w:rPr>
      </w:pPr>
    </w:p>
    <w:p>
      <w:pPr>
        <w:ind w:left="1060" w:hanging="404"/>
        <w:spacing w:after="0"/>
        <w:tabs>
          <w:tab w:leader="none" w:pos="1060" w:val="left"/>
        </w:tabs>
        <w:numPr>
          <w:ilvl w:val="0"/>
          <w:numId w:val="94"/>
        </w:numPr>
        <w:rPr>
          <w:rFonts w:ascii="Arial" w:cs="Arial" w:eastAsia="Arial" w:hAnsi="Arial"/>
          <w:sz w:val="20"/>
          <w:szCs w:val="20"/>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right="140" w:firstLine="644"/>
        <w:spacing w:after="0" w:line="301" w:lineRule="auto"/>
        <w:tabs>
          <w:tab w:leader="none" w:pos="1675" w:val="left"/>
        </w:tabs>
        <w:numPr>
          <w:ilvl w:val="1"/>
          <w:numId w:val="94"/>
        </w:numPr>
        <w:rPr>
          <w:rFonts w:ascii="Arial" w:cs="Arial" w:eastAsia="Arial" w:hAnsi="Arial"/>
          <w:sz w:val="18"/>
          <w:szCs w:val="18"/>
          <w:color w:val="auto"/>
        </w:rPr>
      </w:pPr>
      <w:r>
        <w:rPr>
          <w:rFonts w:ascii="Arial" w:cs="Arial" w:eastAsia="Arial" w:hAnsi="Arial"/>
          <w:sz w:val="16"/>
          <w:szCs w:val="16"/>
          <w:color w:val="auto"/>
        </w:rPr>
        <w:t xml:space="preserve">(A) The U.S. Dollar Facility Swing Line Lender at any time in its sole and absolute discretion may request, on behalf of the U.S. Borrower (which hereby irrevocably authorizes the U.S. Dollar Facility Swing Line Lender to so request on its behalf), that each U.S. Dollar Facility Revolving Lender make a Base Rate Revolving Loan in an amount equal to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amount of U.S. Dollar Facility Swing Line Loans then outstanding. Such request shall be made in writing (which written request shall be deemed to be a Borrowing or Conversion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Aggregate U.S. Dollar Facility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U.S. Dollar Facility Swing Line Lender shall furnish the U.S. Borrower with a copy of the applicable Borrowing or Conversion Notice promptly after delivering such notice to the Administrative Agent. Each U.S. Dollar Facility Revolving Lender shall make an amount equal to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amount specified in such Borrowing or Conversion Notice available to the Administrative Agent in immediately available funds (and the Administrative Agent may apply Cash Collateral available with respect to the applicable U.S. Dollar Facility Swing Line Loan) for the account of the U.S. Dollar Facility Swing Line Lender at the Administrative Agent’s Office not later than 1:00 p.m. on the day specified in such Borrowing or Conversion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Base Rate Revolving Loan to the U.S. Borrower in such amount. The Administrative Agent shall remit the funds so received to the U.S. Dollar Facility Swing Line Lender.</w:t>
      </w:r>
    </w:p>
    <w:p>
      <w:pPr>
        <w:spacing w:after="0" w:line="170" w:lineRule="exact"/>
        <w:rPr>
          <w:sz w:val="20"/>
          <w:szCs w:val="20"/>
          <w:color w:val="auto"/>
        </w:rPr>
      </w:pPr>
    </w:p>
    <w:p>
      <w:pPr>
        <w:ind w:left="660" w:right="60" w:firstLine="644"/>
        <w:spacing w:after="0" w:line="265" w:lineRule="auto"/>
        <w:tabs>
          <w:tab w:leader="none" w:pos="1748" w:val="left"/>
        </w:tabs>
        <w:numPr>
          <w:ilvl w:val="0"/>
          <w:numId w:val="95"/>
        </w:numPr>
        <w:rPr>
          <w:rFonts w:ascii="Arial" w:cs="Arial" w:eastAsia="Arial" w:hAnsi="Arial"/>
          <w:sz w:val="20"/>
          <w:szCs w:val="20"/>
          <w:color w:val="auto"/>
        </w:rPr>
      </w:pPr>
      <w:r>
        <w:rPr>
          <w:rFonts w:ascii="Arial" w:cs="Arial" w:eastAsia="Arial" w:hAnsi="Arial"/>
          <w:sz w:val="18"/>
          <w:szCs w:val="18"/>
          <w:color w:val="auto"/>
        </w:rPr>
        <w:t xml:space="preserve">The Multicurrency Facility Swing Line Lender at any time in its sole and absolute discretion may request, on behalf of the applicable Borrower (which hereby irrevocably authorizes the Multicurrency Facility Swing Line Lender to so request on its behalf), that each Multicurrency Facility Lender make a Canadian Prime Rate Revolving Loan (in the case of Canadian Dollar denominated Multicurrency Facility Swing Line Loans to any Borrower), Canadian U.S. Base Rate Loan (in the case of Dollar denominated Multicurrency Facility Swing Line Loans to the U.S. Borrower or the Canadian Borrower) or Overnight LIBO Rate Loan (in the case of (i) Dollar denominated Multicurrency Facility Swing Line Loans to the Dutch Borrower and (ii) Euro and Pounds Sterling denominated Multicurrency Facility Swing Line Loans to any Borrower) in an amount equal to such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the amount of Multicurrency Facility Swing Line Loans then outstanding. Such request shall be made in writing (which written request shall be deemed to be a Borrowing or Conversion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without regard to the minimum and multiples specified therein for the principal amount of Canadian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341" w:right="379" w:bottom="1440" w:gutter="0" w:footer="0" w:header="0"/>
        </w:sectPr>
      </w:pPr>
    </w:p>
    <w:bookmarkStart w:id="136" w:name="page137"/>
    <w:bookmarkEnd w:id="136"/>
    <w:p>
      <w:pPr>
        <w:ind w:right="40"/>
        <w:spacing w:after="0" w:line="286" w:lineRule="auto"/>
        <w:rPr>
          <w:sz w:val="20"/>
          <w:szCs w:val="20"/>
          <w:color w:val="auto"/>
        </w:rPr>
      </w:pPr>
      <w:r>
        <w:rPr>
          <w:rFonts w:ascii="Arial" w:cs="Arial" w:eastAsia="Arial" w:hAnsi="Arial"/>
          <w:sz w:val="16"/>
          <w:szCs w:val="16"/>
          <w:color w:val="auto"/>
        </w:rPr>
        <w:t xml:space="preserve">Prime Rate Loans, Canadian U.S. Base Rate Loans or Overnight LIBO Rate Loans, but subject to the unutilized portion of the Aggregate Multicurrency Facility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Multicurrency Facility Swing Line Lender shall furnish the applicable Borrower with a copy of the applicable Borrowing or Conversion Notice promptly after delivering such notice to the Canadian Agent (in the case of (i) Dollar denominated Multicurrency Facility Swing Line Loans to the U.S. Borrower or the Canadian Borrower and (ii) Canadian Dollar denominated Multicurrency Facility Swingline Loans to any Borrower) or the European Agent (in the case of (i) Dollar denominated Multicurrency Facility Swing Line Loans to the Dutch Borrower and (ii) Euro and Pounds Sterling denominated Multicurrency Facility Swing Line Loans to any Borrower). Each Multicurrency Facility Lender shall make an amount equal to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the amount specified in such Borrowing or Conversion Notice available to the Canadian Agent or the European Agent, as applicable, in the same currency in which such Multicurrency Facility Swing Line Loan is denominated in immediately available funds (and Canadian Agent or European Agent, as applicable, may apply Cash Collateral available with respect to the applicable Multicurrency Facility Swing Line Loan) for the account of the Multicurrency Facility Swing Line Lender at the Canadian Agent’s Office or the European Agent’s Office, as applicable, not later than 1:00 p.m. on the day specified in such Borrowing or Conversion Notice, whereupon, subject to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each Lender that so makes funds available shall be deemed to have made a Canadian Prime Rate Loan, Canadian U.S. Base Rate Loan or Overnight LIBO Rate Loan, as applicable, to the applicable Borrower in such amount. The Canadian Agent and the European Agent, as applicable, shall remit the funds so received to the Multicurrency Facility Swing Line Lender.</w:t>
      </w:r>
    </w:p>
    <w:p>
      <w:pPr>
        <w:spacing w:after="0" w:line="200" w:lineRule="exact"/>
        <w:rPr>
          <w:sz w:val="20"/>
          <w:szCs w:val="20"/>
          <w:color w:val="auto"/>
        </w:rPr>
      </w:pPr>
    </w:p>
    <w:p>
      <w:pPr>
        <w:spacing w:after="0" w:line="203" w:lineRule="exact"/>
        <w:rPr>
          <w:sz w:val="20"/>
          <w:szCs w:val="20"/>
          <w:color w:val="auto"/>
        </w:rPr>
      </w:pPr>
    </w:p>
    <w:p>
      <w:pPr>
        <w:ind w:left="660" w:firstLine="644"/>
        <w:spacing w:after="0" w:line="277" w:lineRule="auto"/>
        <w:tabs>
          <w:tab w:leader="none" w:pos="1729" w:val="left"/>
        </w:tabs>
        <w:numPr>
          <w:ilvl w:val="0"/>
          <w:numId w:val="96"/>
        </w:numPr>
        <w:rPr>
          <w:rFonts w:ascii="Arial" w:cs="Arial" w:eastAsia="Arial" w:hAnsi="Arial"/>
          <w:sz w:val="19"/>
          <w:szCs w:val="19"/>
          <w:color w:val="auto"/>
        </w:rPr>
      </w:pPr>
      <w:r>
        <w:rPr>
          <w:rFonts w:ascii="Arial" w:cs="Arial" w:eastAsia="Arial" w:hAnsi="Arial"/>
          <w:sz w:val="17"/>
          <w:szCs w:val="17"/>
          <w:color w:val="auto"/>
        </w:rPr>
        <w:t xml:space="preserve">If for any reason any U.S. Dollar Facility Swing Line Loan cannot be refinanced by such a U.S. Dollar Facility Revolving Loan Borrowing in accordance with </w:t>
      </w:r>
      <w:r>
        <w:rPr>
          <w:rFonts w:ascii="Arial" w:cs="Arial" w:eastAsia="Arial" w:hAnsi="Arial"/>
          <w:sz w:val="17"/>
          <w:szCs w:val="17"/>
          <w:u w:val="single" w:color="auto"/>
          <w:color w:val="auto"/>
        </w:rPr>
        <w:t>Section 2.04(c)(i)(A)</w:t>
      </w:r>
      <w:r>
        <w:rPr>
          <w:rFonts w:ascii="Arial" w:cs="Arial" w:eastAsia="Arial" w:hAnsi="Arial"/>
          <w:sz w:val="17"/>
          <w:szCs w:val="17"/>
          <w:color w:val="auto"/>
        </w:rPr>
        <w:t xml:space="preserve">, the request for Base Rate Revolving Loans submitted by the U.S. Dollar Facility Swing Line Lender as set forth herein shall be deemed to be a request by the U.S. Dollar Facility Swing Line Lender that each of the Lenders fund its risk participation in the relevant U.S. Dollar Facility Swing Line Loan and each U.S. Dollar Facility Lender’s payment to the Administrative Agent for the account of the U.S. Dollar Facility Swing Line Lender pursuant to </w:t>
      </w:r>
      <w:r>
        <w:rPr>
          <w:rFonts w:ascii="Arial" w:cs="Arial" w:eastAsia="Arial" w:hAnsi="Arial"/>
          <w:sz w:val="17"/>
          <w:szCs w:val="17"/>
          <w:u w:val="single" w:color="auto"/>
          <w:color w:val="auto"/>
        </w:rPr>
        <w:t>Section 2.04(c)(i)(A)</w:t>
      </w:r>
      <w:r>
        <w:rPr>
          <w:rFonts w:ascii="Arial" w:cs="Arial" w:eastAsia="Arial" w:hAnsi="Arial"/>
          <w:sz w:val="17"/>
          <w:szCs w:val="17"/>
          <w:color w:val="auto"/>
        </w:rPr>
        <w:t xml:space="preserve"> shall be deemed payment in respect of such participation. If for any reason any Multicurrency Facility Swing Line Loan cannot be refinanced by such a Multicurrency Facility Revolving Loan Borrowing in accordance with </w:t>
      </w:r>
      <w:r>
        <w:rPr>
          <w:rFonts w:ascii="Arial" w:cs="Arial" w:eastAsia="Arial" w:hAnsi="Arial"/>
          <w:sz w:val="17"/>
          <w:szCs w:val="17"/>
          <w:u w:val="single" w:color="auto"/>
          <w:color w:val="auto"/>
        </w:rPr>
        <w:t>Section 2.04(c)(i)(B)</w:t>
      </w:r>
      <w:r>
        <w:rPr>
          <w:rFonts w:ascii="Arial" w:cs="Arial" w:eastAsia="Arial" w:hAnsi="Arial"/>
          <w:sz w:val="17"/>
          <w:szCs w:val="17"/>
          <w:color w:val="auto"/>
        </w:rPr>
        <w:t>, the</w:t>
      </w:r>
    </w:p>
    <w:p>
      <w:pPr>
        <w:spacing w:after="0" w:line="1" w:lineRule="exact"/>
        <w:rPr>
          <w:rFonts w:ascii="Arial" w:cs="Arial" w:eastAsia="Arial" w:hAnsi="Arial"/>
          <w:sz w:val="19"/>
          <w:szCs w:val="19"/>
          <w:color w:val="auto"/>
        </w:rPr>
      </w:pPr>
    </w:p>
    <w:p>
      <w:pPr>
        <w:ind w:left="660" w:right="140"/>
        <w:spacing w:after="0" w:line="292" w:lineRule="auto"/>
        <w:rPr>
          <w:rFonts w:ascii="Arial" w:cs="Arial" w:eastAsia="Arial" w:hAnsi="Arial"/>
          <w:sz w:val="19"/>
          <w:szCs w:val="19"/>
          <w:color w:val="auto"/>
        </w:rPr>
      </w:pPr>
      <w:r>
        <w:rPr>
          <w:rFonts w:ascii="Arial" w:cs="Arial" w:eastAsia="Arial" w:hAnsi="Arial"/>
          <w:sz w:val="17"/>
          <w:szCs w:val="17"/>
          <w:color w:val="auto"/>
        </w:rPr>
        <w:t xml:space="preserve">request for Canadian Prime Rate Revolving Loans, Canadian U.S. Base Rate Loans or Overnight LIBO Rate Loans submitted by the Multicurrency Facility Swing Line Lender as set forth herein shall be deemed to be a request by the Multicurrency Facility Swing Line Lender that each of the Lenders fund its risk participation in the relevant Multicurrency Facility Swing Line Loan and each Multicurrency Facility Lender’s payment to the Canadian Agent or the European Agent, as applicable, for the account of the Multicurrency Facility Swing Line Lender pursuant to </w:t>
      </w:r>
      <w:r>
        <w:rPr>
          <w:rFonts w:ascii="Arial" w:cs="Arial" w:eastAsia="Arial" w:hAnsi="Arial"/>
          <w:sz w:val="17"/>
          <w:szCs w:val="17"/>
          <w:u w:val="single" w:color="auto"/>
          <w:color w:val="auto"/>
        </w:rPr>
        <w:t>Section 2.04(c)(i)(B)</w:t>
      </w:r>
      <w:r>
        <w:rPr>
          <w:rFonts w:ascii="Arial" w:cs="Arial" w:eastAsia="Arial" w:hAnsi="Arial"/>
          <w:sz w:val="17"/>
          <w:szCs w:val="17"/>
          <w:color w:val="auto"/>
        </w:rPr>
        <w:t xml:space="preserve"> shall be deemed payment in respect of such participation.</w:t>
      </w:r>
    </w:p>
    <w:p>
      <w:pPr>
        <w:spacing w:after="0" w:line="173" w:lineRule="exact"/>
        <w:rPr>
          <w:rFonts w:ascii="Arial" w:cs="Arial" w:eastAsia="Arial" w:hAnsi="Arial"/>
          <w:sz w:val="19"/>
          <w:szCs w:val="19"/>
          <w:color w:val="auto"/>
        </w:rPr>
      </w:pPr>
    </w:p>
    <w:p>
      <w:pPr>
        <w:ind w:left="660" w:firstLine="644"/>
        <w:spacing w:after="0" w:line="301" w:lineRule="auto"/>
        <w:tabs>
          <w:tab w:leader="none" w:pos="1785" w:val="left"/>
        </w:tabs>
        <w:numPr>
          <w:ilvl w:val="0"/>
          <w:numId w:val="96"/>
        </w:numPr>
        <w:rPr>
          <w:rFonts w:ascii="Arial" w:cs="Arial" w:eastAsia="Arial" w:hAnsi="Arial"/>
          <w:sz w:val="18"/>
          <w:szCs w:val="18"/>
          <w:color w:val="auto"/>
        </w:rPr>
      </w:pPr>
      <w:r>
        <w:rPr>
          <w:rFonts w:ascii="Arial" w:cs="Arial" w:eastAsia="Arial" w:hAnsi="Arial"/>
          <w:sz w:val="16"/>
          <w:szCs w:val="16"/>
          <w:color w:val="auto"/>
        </w:rPr>
        <w:t xml:space="preserve">If any Lender fails to make available to the Administrative Agent, the Canadian Agent or the European Agent, as applicable, for the account of the applicable Swing Line Lender any amount required to be paid by such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2.04(c)(i)(A)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the applicable Swing Line Lender shall be entitled to recover from such Lender (acting through the Administrative Agent, the Canadian Agent or the European Agent, as applicable), on demand, such amount with interest thereon for the period from the date such payment is required to the date on which such payment is immediately available to such Swing Line Lender at a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to (x) the greater of (A)(I) with respect to amounts denominated in Dollars, the Federal Funds Rate, and (II) with respect to amounts denominated in Canadian Dollars, the rate of interest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at which overnight deposits in any amount approximately equal to the amount with respect to which such rate is determined, would be offered for such day by JPMorgan Chase Bank, N.A., Toronto Branch, plus any administrative, processing or similar fees customarily charged by JPMorgan Chase Bank, N.A., Toronto Branch, and (B) a rate determined by such Swing Line Lender in accordance with banking industry rules on interbank compensation and (y) with respect to amounts denominated in Euros and Pounds Sterling, a rate determined by such Swing Line Lender in accordance with banking industry rules on interbank compensation. A certificate of the applicable Swing Line Lender submitted to any Lender (through the Administrative Agent, the Canadian Agent or the European Agent) with respect to any amounts owing under this clause (iii) shall be conclusive absent manifest error.</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341" w:right="379" w:bottom="1440" w:gutter="0" w:footer="0" w:header="0"/>
        </w:sectPr>
      </w:pPr>
    </w:p>
    <w:bookmarkStart w:id="137" w:name="page138"/>
    <w:bookmarkEnd w:id="137"/>
    <w:p>
      <w:pPr>
        <w:ind w:left="4" w:right="40" w:firstLine="644"/>
        <w:spacing w:after="0" w:line="265" w:lineRule="auto"/>
        <w:tabs>
          <w:tab w:leader="none" w:pos="1118" w:val="left"/>
        </w:tabs>
        <w:numPr>
          <w:ilvl w:val="1"/>
          <w:numId w:val="97"/>
        </w:numPr>
        <w:rPr>
          <w:rFonts w:ascii="Arial" w:cs="Arial" w:eastAsia="Arial" w:hAnsi="Arial"/>
          <w:sz w:val="20"/>
          <w:szCs w:val="20"/>
          <w:color w:val="auto"/>
        </w:rPr>
      </w:pPr>
      <w:r>
        <w:rPr>
          <w:rFonts w:ascii="Arial" w:cs="Arial" w:eastAsia="Arial" w:hAnsi="Arial"/>
          <w:sz w:val="18"/>
          <w:szCs w:val="18"/>
          <w:color w:val="auto"/>
        </w:rPr>
        <w:t xml:space="preserve">Each Lender’s obligation to make Revolving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applicable Swing Line Lender, the applicable Borrower or any other Person for any reason whatsoever, (B) the occurrence or continuance of a Default, or (C) any other occurrence, event or condition, whether or not similar to any of the foregoing; unless, in any case, such Lender has given the notice specified in </w:t>
      </w:r>
      <w:r>
        <w:rPr>
          <w:rFonts w:ascii="Arial" w:cs="Arial" w:eastAsia="Arial" w:hAnsi="Arial"/>
          <w:sz w:val="18"/>
          <w:szCs w:val="18"/>
          <w:u w:val="single" w:color="auto"/>
          <w:color w:val="auto"/>
        </w:rPr>
        <w:t>Section 2.04(b)(i)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as applicable. No such funding of risk participations shall relieve or otherwise impair the obligation of any Borrower to repay Swing Line Loans, together with interest as provided herein.</w:t>
      </w:r>
    </w:p>
    <w:p>
      <w:pPr>
        <w:spacing w:after="0" w:line="197" w:lineRule="exact"/>
        <w:rPr>
          <w:rFonts w:ascii="Arial" w:cs="Arial" w:eastAsia="Arial" w:hAnsi="Arial"/>
          <w:sz w:val="20"/>
          <w:szCs w:val="20"/>
          <w:color w:val="auto"/>
        </w:rPr>
      </w:pPr>
    </w:p>
    <w:p>
      <w:pPr>
        <w:ind w:left="404" w:hanging="404"/>
        <w:spacing w:after="0"/>
        <w:tabs>
          <w:tab w:leader="none" w:pos="404" w:val="left"/>
        </w:tabs>
        <w:numPr>
          <w:ilvl w:val="0"/>
          <w:numId w:val="98"/>
        </w:numPr>
        <w:rPr>
          <w:rFonts w:ascii="Arial" w:cs="Arial" w:eastAsia="Arial" w:hAnsi="Arial"/>
          <w:sz w:val="20"/>
          <w:szCs w:val="20"/>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4" w:right="20" w:firstLine="644"/>
        <w:spacing w:after="0" w:line="265" w:lineRule="auto"/>
        <w:tabs>
          <w:tab w:leader="none" w:pos="1009" w:val="left"/>
        </w:tabs>
        <w:numPr>
          <w:ilvl w:val="1"/>
          <w:numId w:val="98"/>
        </w:numPr>
        <w:rPr>
          <w:rFonts w:ascii="Arial" w:cs="Arial" w:eastAsia="Arial" w:hAnsi="Arial"/>
          <w:sz w:val="20"/>
          <w:szCs w:val="20"/>
          <w:color w:val="auto"/>
        </w:rPr>
      </w:pPr>
      <w:r>
        <w:rPr>
          <w:rFonts w:ascii="Arial" w:cs="Arial" w:eastAsia="Arial" w:hAnsi="Arial"/>
          <w:sz w:val="18"/>
          <w:szCs w:val="18"/>
          <w:color w:val="auto"/>
        </w:rPr>
        <w:t xml:space="preserve">At any time after any U.S. Dollar Facility Lender has purchased and funded a risk participation in a U.S. Dollar Facility Swing Line Loan, if the U.S. Dollar Facility Swing Line Lender receives any payment on account of such U.S. Dollar Facility Swing Line Loan, the U.S. Dollar Facility Swing Line Lender will distribute to such U.S. Dollar Facility Lender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such payment (appropriately adjusted, in the case of interest payments, to reflect the period of time during which such U.S. Dollar Facility Lender’s risk participation was funded) in the same funds as those received by the U.S. Dollar Facility Swing Line Lender. At any time after any Multicurrency Facility Lender has purchased and funded a risk participation in a Multicurrency Facility Swing Line Loan, if the Multicurrency Facility Swing Line Lender receives any payment on account of such Multicurrency Facility Swing Line Loan, the Multicurrency Facility Swing Line Lender will distribute to such Multicurrency Facility Lender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such payment (appropriately adjusted, in the case of interest payments, to reflect the period of time during which such Multicurrency Facility Lender’s risk participation was funded) in the same funds as those received by the Multicurrency Facility Swing Line Lender.</w:t>
      </w:r>
    </w:p>
    <w:p>
      <w:pPr>
        <w:spacing w:after="0" w:line="200" w:lineRule="exact"/>
        <w:rPr>
          <w:rFonts w:ascii="Arial" w:cs="Arial" w:eastAsia="Arial" w:hAnsi="Arial"/>
          <w:sz w:val="20"/>
          <w:szCs w:val="20"/>
          <w:color w:val="auto"/>
        </w:rPr>
      </w:pPr>
    </w:p>
    <w:p>
      <w:pPr>
        <w:ind w:left="4" w:firstLine="644"/>
        <w:spacing w:after="0" w:line="282" w:lineRule="auto"/>
        <w:tabs>
          <w:tab w:leader="none" w:pos="1073" w:val="left"/>
        </w:tabs>
        <w:numPr>
          <w:ilvl w:val="1"/>
          <w:numId w:val="98"/>
        </w:numPr>
        <w:rPr>
          <w:rFonts w:ascii="Arial" w:cs="Arial" w:eastAsia="Arial" w:hAnsi="Arial"/>
          <w:sz w:val="18"/>
          <w:szCs w:val="18"/>
          <w:color w:val="auto"/>
        </w:rPr>
      </w:pPr>
      <w:r>
        <w:rPr>
          <w:rFonts w:ascii="Arial" w:cs="Arial" w:eastAsia="Arial" w:hAnsi="Arial"/>
          <w:sz w:val="16"/>
          <w:szCs w:val="16"/>
          <w:color w:val="auto"/>
        </w:rPr>
        <w:t xml:space="preserve">If any payment received by the U.S. Dollar Facility Swing Line Lender in respect of principal or interest on any U.S. Dollar Facility Swing Line Loan is required to be returned by the U.S. Dollar Facility Swing Line Lender under any of the circumstances described in </w:t>
      </w:r>
      <w:r>
        <w:rPr>
          <w:rFonts w:ascii="Arial" w:cs="Arial" w:eastAsia="Arial" w:hAnsi="Arial"/>
          <w:sz w:val="16"/>
          <w:szCs w:val="16"/>
          <w:u w:val="single" w:color="auto"/>
          <w:color w:val="auto"/>
        </w:rPr>
        <w:t>Section</w:t>
      </w:r>
    </w:p>
    <w:p>
      <w:pPr>
        <w:ind w:left="4"/>
        <w:spacing w:after="0" w:line="299" w:lineRule="auto"/>
        <w:rPr>
          <w:rFonts w:ascii="Arial" w:cs="Arial" w:eastAsia="Arial" w:hAnsi="Arial"/>
          <w:sz w:val="18"/>
          <w:szCs w:val="18"/>
          <w:color w:val="auto"/>
        </w:rPr>
      </w:pPr>
      <w:r>
        <w:rPr>
          <w:rFonts w:ascii="Arial" w:cs="Arial" w:eastAsia="Arial" w:hAnsi="Arial"/>
          <w:sz w:val="16"/>
          <w:szCs w:val="16"/>
          <w:u w:val="single" w:color="auto"/>
          <w:color w:val="auto"/>
        </w:rPr>
        <w:t>10.05</w:t>
      </w:r>
      <w:r>
        <w:rPr>
          <w:rFonts w:ascii="Arial" w:cs="Arial" w:eastAsia="Arial" w:hAnsi="Arial"/>
          <w:sz w:val="16"/>
          <w:szCs w:val="16"/>
          <w:color w:val="auto"/>
        </w:rPr>
        <w:t xml:space="preserve"> (including pursuant to any settlement entered into by the U.S. Dollar Facility Swing Line Lender in its discretion), each U.S. Dollar Facility Lender shall pay to the U.S. Dollar Facility Swing Line Lender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on demand of the Administrative Agent, plus interest thereon from the date of such demand to the date such amount is returned, at a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to the Federal Funds Rate. The Administrative Agent will make such demand upon the request of the U.S. Dollar Facility Swing Line Lender. The obligations of the U.S. Dollar Facility Lenders under this clause shall survive the payment in full of the Obligations and the termination of this Agreement. If any payment received by the Multicurrency Facility Swing Line Lender in respect of principal or interest on any Multicurrency Facility Swing Line Loan is required to be returned by the Multicurrency Facility Swing Line Lender under any of the circumstances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(including pursuant to any settlement entered into by the Multicurrency Facility Swing Line Lender in its discretion), each Multicurrency Facility Lender shall pay to the Multicurrency Facility Swing Line Lender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on demand of the Canadian Agent or the European Agent, as applicable, plus interest thereon from the date of such demand to the date such amount is returned, at a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to (x) with respect to amounts denominated in Dollars, the Federal Funds Rate, (y) with respect to amounts denominated in Canadian Dollars, the rate of interest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at which overnight deposits in any amount approximately equal to the amount with respect to which such rate is determined, would be offered for such day by JPMorgan Chase Bank, N.A., Toronto Branch, plus any administrative, processing or similar fees customarily charged by JPMorgan Chase Bank, N.A., Toronto Branch, and (z) with respect to amounts denominated in Euros or Pounds Sterling, the rate of interest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determined by such Swing Line Lender in accordance with banking industry rules on interbank compensation. The Administrative Agent, the Canadian Agent or the European Agent will make such demand upon the request of the Multicurrency</w:t>
      </w:r>
    </w:p>
    <w:p>
      <w:pPr>
        <w:spacing w:after="0" w:line="4" w:lineRule="exact"/>
        <w:rPr>
          <w:rFonts w:ascii="Arial" w:cs="Arial" w:eastAsia="Arial" w:hAnsi="Arial"/>
          <w:sz w:val="18"/>
          <w:szCs w:val="18"/>
          <w:color w:val="auto"/>
        </w:rPr>
      </w:pPr>
    </w:p>
    <w:p>
      <w:pPr>
        <w:ind w:left="4" w:right="560"/>
        <w:spacing w:after="0" w:line="292" w:lineRule="auto"/>
        <w:rPr>
          <w:rFonts w:ascii="Arial" w:cs="Arial" w:eastAsia="Arial" w:hAnsi="Arial"/>
          <w:sz w:val="18"/>
          <w:szCs w:val="18"/>
          <w:color w:val="auto"/>
        </w:rPr>
      </w:pPr>
      <w:r>
        <w:rPr>
          <w:rFonts w:ascii="Arial" w:cs="Arial" w:eastAsia="Arial" w:hAnsi="Arial"/>
          <w:sz w:val="18"/>
          <w:szCs w:val="18"/>
          <w:color w:val="auto"/>
        </w:rPr>
        <w:t>Facility Swing Line Lender. The obligations of the Multicurrency Facility Lenders under this clause shall survive the payment in full of the Obligations and the termination of this Agreement.</w:t>
      </w:r>
    </w:p>
    <w:p>
      <w:pPr>
        <w:spacing w:after="0" w:line="37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584"/>
          </w:cols>
          <w:pgMar w:left="976" w:top="787" w:right="339" w:bottom="1440" w:gutter="0" w:footer="0" w:header="0"/>
        </w:sectPr>
      </w:pPr>
    </w:p>
    <w:bookmarkStart w:id="138" w:name="page139"/>
    <w:bookmarkEnd w:id="138"/>
    <w:p>
      <w:pPr>
        <w:ind w:left="-20" w:right="20" w:firstLine="656"/>
        <w:spacing w:after="0" w:line="265" w:lineRule="auto"/>
        <w:tabs>
          <w:tab w:leader="none" w:pos="1028" w:val="left"/>
        </w:tabs>
        <w:numPr>
          <w:ilvl w:val="0"/>
          <w:numId w:val="99"/>
        </w:numPr>
        <w:rPr>
          <w:rFonts w:ascii="Arial" w:cs="Arial" w:eastAsia="Arial" w:hAnsi="Arial"/>
          <w:sz w:val="20"/>
          <w:szCs w:val="20"/>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U.S. Dollar Facility Swing Line Lender shall be responsible for invoicing the U.S. Borrower for interest on the U.S. Dollar Facility Swing Line Loans. Until a U.S. Dollar Facility Lender funds its Base Rate Revolving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any U.S. Dollar Facility Swing Line Loan, interest in respect of such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shall be solely for the account of the U.S. Dollar Facility Swing Line Lender. The Multicurrency Facility Swing Line Lender shall be responsible for invoicing the applicable Borrower for interest on the Multicurrency Facility Swing Line Loans. Until a Multicurrency Facility Lender funds its Canadian Prime Rate Revolving Loan, Overnight LIBO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any Multicurrency Facility Swing Line Loan, interest in respect of such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shall be solely for the account of the Multicurrency Facility Swing Line Lender.</w:t>
      </w:r>
    </w:p>
    <w:p>
      <w:pPr>
        <w:spacing w:after="0" w:line="198" w:lineRule="exact"/>
        <w:rPr>
          <w:rFonts w:ascii="Arial" w:cs="Arial" w:eastAsia="Arial" w:hAnsi="Arial"/>
          <w:sz w:val="20"/>
          <w:szCs w:val="20"/>
          <w:color w:val="auto"/>
        </w:rPr>
      </w:pPr>
    </w:p>
    <w:p>
      <w:pPr>
        <w:ind w:left="-20" w:right="440" w:firstLine="656"/>
        <w:spacing w:after="0" w:line="266" w:lineRule="auto"/>
        <w:tabs>
          <w:tab w:leader="none" w:pos="1006" w:val="left"/>
        </w:tabs>
        <w:numPr>
          <w:ilvl w:val="0"/>
          <w:numId w:val="99"/>
        </w:numPr>
        <w:rPr>
          <w:rFonts w:ascii="Arial" w:cs="Arial" w:eastAsia="Arial" w:hAnsi="Arial"/>
          <w:sz w:val="20"/>
          <w:szCs w:val="20"/>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Each Borrower shall make all payments of principal and interest in respect of the Swing Line Loans directly to the applicable Swing Line Lender.</w:t>
      </w:r>
    </w:p>
    <w:p>
      <w:pPr>
        <w:spacing w:after="0" w:line="169"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20"/>
          <w:szCs w:val="20"/>
          <w:b w:val="1"/>
          <w:bCs w:val="1"/>
          <w:color w:val="auto"/>
        </w:rPr>
        <w:t>2.05</w:t>
      </w:r>
      <w:r>
        <w:rPr>
          <w:sz w:val="20"/>
          <w:szCs w:val="20"/>
          <w:color w:val="auto"/>
        </w:rPr>
        <w:tab/>
      </w:r>
      <w:r>
        <w:rPr>
          <w:rFonts w:ascii="Arial" w:cs="Arial" w:eastAsia="Arial" w:hAnsi="Arial"/>
          <w:sz w:val="16"/>
          <w:szCs w:val="16"/>
          <w:b w:val="1"/>
          <w:bCs w:val="1"/>
          <w:u w:val="single" w:color="auto"/>
          <w:color w:val="auto"/>
        </w:rPr>
        <w:t>Prepayments</w:t>
      </w:r>
      <w:r>
        <w:rPr>
          <w:rFonts w:ascii="Arial" w:cs="Arial" w:eastAsia="Arial" w:hAnsi="Arial"/>
          <w:sz w:val="16"/>
          <w:szCs w:val="16"/>
          <w:color w:val="auto"/>
        </w:rPr>
        <w:t>.</w:t>
      </w:r>
    </w:p>
    <w:p>
      <w:pPr>
        <w:spacing w:after="0" w:line="238" w:lineRule="exact"/>
        <w:rPr>
          <w:sz w:val="20"/>
          <w:szCs w:val="20"/>
          <w:color w:val="auto"/>
        </w:rPr>
      </w:pPr>
    </w:p>
    <w:p>
      <w:pPr>
        <w:ind w:left="1040" w:hanging="404"/>
        <w:spacing w:after="0"/>
        <w:tabs>
          <w:tab w:leader="none" w:pos="1040" w:val="left"/>
        </w:tabs>
        <w:numPr>
          <w:ilvl w:val="0"/>
          <w:numId w:val="100"/>
        </w:numPr>
        <w:rPr>
          <w:rFonts w:ascii="Arial" w:cs="Arial" w:eastAsia="Arial" w:hAnsi="Arial"/>
          <w:sz w:val="20"/>
          <w:szCs w:val="20"/>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40" w:right="20" w:firstLine="644"/>
        <w:spacing w:after="0" w:line="300" w:lineRule="auto"/>
        <w:tabs>
          <w:tab w:leader="none" w:pos="1655" w:val="left"/>
        </w:tabs>
        <w:numPr>
          <w:ilvl w:val="1"/>
          <w:numId w:val="100"/>
        </w:numPr>
        <w:rPr>
          <w:rFonts w:ascii="Arial" w:cs="Arial" w:eastAsia="Arial" w:hAnsi="Arial"/>
          <w:sz w:val="18"/>
          <w:szCs w:val="18"/>
          <w:color w:val="auto"/>
        </w:rPr>
      </w:pPr>
      <w:r>
        <w:rPr>
          <w:rFonts w:ascii="Arial" w:cs="Arial" w:eastAsia="Arial" w:hAnsi="Arial"/>
          <w:sz w:val="16"/>
          <w:szCs w:val="16"/>
          <w:color w:val="auto"/>
        </w:rPr>
        <w:t xml:space="preserve">Each Borrower may, upon notice to the applicable Facility Agent at any time or from time to time voluntarily prepay Revolving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received by the applicable Facility Agent not later than 1:00 p.m. (i) three Business Days prior to any date of prepayment of Eurodollar Rate Loans; (ii) four Business Days (or five, in the case of prepayment of Loans denominated in Special Notice Currencies) prior to any date of such prepayment of Eurodollar Rate Loans denominated in Alternative Currencies; and (iii) on the date of prepayment of Base Rate Loans, Canadian U.S. Base Rate Loans, Canadian Prime Rate Loans or Overnight LIBO Rate Loans; (B) any prepayment of Eurodollar Rate Loans not denominated in Alternative Currencies shall be in a principal amount of $1,000,000, C$1,000,000 or the Euro Equivalent or Pounds Sterling Equivalent of $1,000,000, as applicable, or a whole multiple of $500,000, C$500,000 or $500,000 of such equivalent, as applicable, in excess thereof or, if less, the entire principal amount thereof then outstanding; (C) any prepayment of Eurodollar Rate Loans denominated in Alternative Currencies shall be in a minimum Alternative Currency Equivalent amount of $1,000,000 or a whole multiple of $500,000 in excess thereof or, if less, the entire principal amounts outstanding; and (D) any prepayment of Base Rate Loans, Canadian U.S. Base Rate Loans, Canadian Prime Rate Loans or Overnight LIBO Rate Loans shall be in a principal amount of $200,000, C$200,000 or the Euro Equivalent or Pounds Sterling Equivalent of $200,000, as applicable, or a whole multiple of $100,000, C$100,000 or $100,000 of such equivalent, as applicable, in excess thereof or, if less, the entire principal amount thereof then outstanding. Each such notice shall be in the form of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and shall specify the date and amount of such prepayment, the Type(s) of Loans to be prepaid, and whether a U.S. Dollar Facility Revolving Loan or a Multicurrency Facility Revolving Loan is being prepaid. The applicable Facility Agent will promptly notify each Lender, as applicable, of its receipt of each such notice, and of the amount of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such prepayment. If such notice is given by a Borrower, such Borrower shall be committed to make such prepayment and the payment amount specified in such notice shall be due and payable on the date specified therein. Any prepayment of a Eurodollar Rate Loan shall be accompanied by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w:t>
      </w:r>
    </w:p>
    <w:p>
      <w:pPr>
        <w:spacing w:after="0" w:line="178" w:lineRule="exact"/>
        <w:rPr>
          <w:rFonts w:ascii="Arial" w:cs="Arial" w:eastAsia="Arial" w:hAnsi="Arial"/>
          <w:sz w:val="18"/>
          <w:szCs w:val="18"/>
          <w:color w:val="auto"/>
        </w:rPr>
      </w:pPr>
    </w:p>
    <w:p>
      <w:pPr>
        <w:ind w:left="640" w:firstLine="644"/>
        <w:spacing w:after="0" w:line="265" w:lineRule="auto"/>
        <w:tabs>
          <w:tab w:leader="none" w:pos="1709" w:val="left"/>
        </w:tabs>
        <w:numPr>
          <w:ilvl w:val="1"/>
          <w:numId w:val="100"/>
        </w:numPr>
        <w:rPr>
          <w:rFonts w:ascii="Arial" w:cs="Arial" w:eastAsia="Arial" w:hAnsi="Arial"/>
          <w:sz w:val="20"/>
          <w:szCs w:val="20"/>
          <w:color w:val="auto"/>
        </w:rPr>
      </w:pPr>
      <w:r>
        <w:rPr>
          <w:rFonts w:ascii="Arial" w:cs="Arial" w:eastAsia="Arial" w:hAnsi="Arial"/>
          <w:sz w:val="18"/>
          <w:szCs w:val="18"/>
          <w:color w:val="auto"/>
        </w:rPr>
        <w:t xml:space="preserve">Each Borrower may, upon notice to the applicable Swing Line Lender (with a copy to the Administrative Agent, the Canadian Agent or the European Agent, as applicable), at any time or from time to time,voluntarily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such Swing Line Lender and, (x) in the case of U.S. Dollar Facility Swing Line Loans, the Administrative Agent and (y) in the case of Multicurrency Facility Swing Line Loans, the Canadian Agent or the European Agent, as applicable, not later than 1:00 p.m. (or 11:00 a.m., London time, in the case of Multicurrency Facility Swing Line Borrowings denominated in Euros or Pounds Sterling or, in the case of the Dutch Borrower, denominated in Dollars) on the date of the prepayment, and (ii) any such prepayment shall be in a minimum principal amount of $100,000, C$100,000 or the Euro Equivalent or Pounds Sterling Equivalent of $100,000, as applicable, or a whole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40" w:top="787" w:right="359" w:bottom="1440" w:gutter="0" w:footer="0" w:header="0"/>
        </w:sectPr>
      </w:pPr>
    </w:p>
    <w:bookmarkStart w:id="139" w:name="page140"/>
    <w:bookmarkEnd w:id="139"/>
    <w:p>
      <w:pPr>
        <w:ind w:right="120"/>
        <w:spacing w:after="0" w:line="286" w:lineRule="auto"/>
        <w:rPr>
          <w:sz w:val="20"/>
          <w:szCs w:val="20"/>
          <w:color w:val="auto"/>
        </w:rPr>
      </w:pPr>
      <w:r>
        <w:rPr>
          <w:rFonts w:ascii="Arial" w:cs="Arial" w:eastAsia="Arial" w:hAnsi="Arial"/>
          <w:sz w:val="17"/>
          <w:szCs w:val="17"/>
          <w:color w:val="auto"/>
        </w:rPr>
        <w:t xml:space="preserve">multiple of $50,000, C$50,000 or $50,000 of such equivalent, as applicable, in excess thereof. Each such notice shall be in the form of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and shall specify the date and amount of such prepayment. If such notice is given by a Borrower, such Borrower shall be committed to make such prepayment and the payment amount specified in such notice shall be due and payable on the date specified therein.</w:t>
      </w:r>
    </w:p>
    <w:p>
      <w:pPr>
        <w:spacing w:after="0" w:line="179" w:lineRule="exact"/>
        <w:rPr>
          <w:sz w:val="20"/>
          <w:szCs w:val="20"/>
          <w:color w:val="auto"/>
        </w:rPr>
      </w:pPr>
    </w:p>
    <w:p>
      <w:pPr>
        <w:ind w:left="1060" w:hanging="404"/>
        <w:spacing w:after="0"/>
        <w:tabs>
          <w:tab w:leader="none" w:pos="1060" w:val="left"/>
        </w:tabs>
        <w:numPr>
          <w:ilvl w:val="0"/>
          <w:numId w:val="101"/>
        </w:numPr>
        <w:rPr>
          <w:rFonts w:ascii="Arial" w:cs="Arial" w:eastAsia="Arial" w:hAnsi="Arial"/>
          <w:sz w:val="20"/>
          <w:szCs w:val="20"/>
          <w:color w:val="auto"/>
        </w:rPr>
      </w:pPr>
      <w:r>
        <w:rPr>
          <w:rFonts w:ascii="Arial" w:cs="Arial" w:eastAsia="Arial" w:hAnsi="Arial"/>
          <w:sz w:val="18"/>
          <w:szCs w:val="18"/>
          <w:u w:val="single" w:color="auto"/>
          <w:color w:val="auto"/>
        </w:rPr>
        <w:t>Revolving Loan Prepayments</w:t>
      </w:r>
      <w:r>
        <w:rPr>
          <w:rFonts w:ascii="Arial" w:cs="Arial" w:eastAsia="Arial" w:hAnsi="Arial"/>
          <w:sz w:val="18"/>
          <w:szCs w:val="18"/>
          <w:color w:val="auto"/>
        </w:rPr>
        <w:t>. If for any reason at any time the Outstanding Amount of U.S.</w:t>
      </w:r>
    </w:p>
    <w:p>
      <w:pPr>
        <w:spacing w:after="0" w:line="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Dollar Facility Revolving Loans, U.S. Dollar Facility Swing Line Loans and U.S. Dollar Facility L/C Obligations exceeds the Aggregate U.S. Dollar Facility Commitments then in effect, the U.S. Borrower shall immediately first, prepay U.S. Dollar Facility Swing Line Loans, second, prepay U.S. Dollar Facility Revolving Loans, and third, Cash Collateralize the U.S. Dollar Facility L/C Obligations, in an aggregate amount equal to such excess. If the applicable Facility Agent notifies either Borrower at any time that the Outstanding Amount in respect of Multicurrency Facility Revolving Loans, Multicurrency Facility L/C Obligations and Multicurrency Facility Swing Line Loans at such time exceed an amount equal to 105% of the aggregate Multicurrency Facility Commitments then in effect, then, within two Business Days after receipt of such notice, the applicable Borrower shall prepay Loans and/or the applicable Borrower shall Cash Collateralize the Multicurrency Facility L/C Obligations in an aggregate amount sufficient to reduce such Outstanding Amount as of such date of payment to an amount not to exceed 100% of the Aggregate Multicurrency Facility Commitments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the Borrowers shall not be required to Cash Collateralize the Multicurrency Facility L/C Obligations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unless after the prepayment in full of the Multicurrency Facility Revolving Loans and</w:t>
      </w:r>
    </w:p>
    <w:p>
      <w:pPr>
        <w:spacing w:after="0" w:line="7"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 xml:space="preserve">Multicurrency Facility Swing Line Loans, the Outstanding Amount of the Multicurrency Facility L/C Obligations exceed the Aggregate Multicurrency Facility Commitments then in effect. If the Administrative Agent notifies the U.S. Borrower at any time that the Outstanding Amount of all Loans denominated in Alternative Currencies at such time exceeds an amount equal to 105% of the Alternative Currency Sublimit then in effect, then, within two Business Days after receipt of such notice, the U.S. Borrower shall prepay Loans in an aggregate amount sufficient to reduce the Outstanding Amount of all amounts denominated in Alternative Currencies as of such date of payment to an amount not to exceed 100% of the Alternative Currency Sublimit then in effect. </w:t>
      </w:r>
      <w:r>
        <w:rPr>
          <w:rFonts w:ascii="Arial" w:cs="Arial" w:eastAsia="Arial" w:hAnsi="Arial"/>
          <w:sz w:val="16"/>
          <w:szCs w:val="16"/>
          <w:u w:val="single" w:color="auto"/>
          <w:color w:val="auto"/>
        </w:rPr>
        <w:t>*Within (A) five (5) Business Days of receipt by a Borrower or any Restricted Subsidiary of the proceeds of any Post-Amendment No. 2 Bond</w:t>
      </w:r>
      <w:r>
        <w:rPr>
          <w:rFonts w:ascii="Arial" w:cs="Arial" w:eastAsia="Arial" w:hAnsi="Arial"/>
          <w:sz w:val="16"/>
          <w:szCs w:val="16"/>
          <w:color w:val="auto"/>
        </w:rPr>
        <w:t xml:space="preserve"> </w:t>
      </w:r>
      <w:r>
        <w:rPr>
          <w:rFonts w:ascii="Arial" w:cs="Arial" w:eastAsia="Arial" w:hAnsi="Arial"/>
          <w:sz w:val="16"/>
          <w:szCs w:val="16"/>
          <w:u w:val="single" w:color="auto"/>
          <w:color w:val="auto"/>
        </w:rPr>
        <w:t>Issuance, U.S. Borrower shall prepay the lesser of (x) all Revolving Loans and Swing Line Loans outstanding upon such issuance and (y) that aggregate principal amount of Revolving Loans and Swing Line Loans that is equal to 50% of the Net Cash Proceeds of the Post-Amendment No. 2 Bond Issuance and (B) five (5) Business Days of the receipt by U.S. Borrower or any of its Restricted Subsidiaries, at any time during the Restricted Period, of Net Cash Proceeds of any Asset Sale made pursuant to Section 7.05(b), U.S. Borrower shall cause 100% of such Net Cash Proceeds to be applied to prepay the Revolving Loans and Swing Line Loans outstanding at such time (such prepayment pursuant to this sentence (subject to the second paragraph of Section 2.05(c)), to be allocated among the outstanding U.S. Dollar Facility Revolving Loans, U.S. Dollar Facility Swing Line Loans, Multicurrency Facility Revolving Loans and Multicurrency Facility Swing Line Loans as determined by the U.S. Borrower).*</w:t>
      </w:r>
    </w:p>
    <w:p>
      <w:pPr>
        <w:spacing w:after="0" w:line="169" w:lineRule="exact"/>
        <w:rPr>
          <w:sz w:val="20"/>
          <w:szCs w:val="20"/>
          <w:color w:val="auto"/>
        </w:rPr>
      </w:pPr>
    </w:p>
    <w:p>
      <w:pPr>
        <w:jc w:val="both"/>
        <w:ind w:right="20" w:firstLine="656"/>
        <w:spacing w:after="0" w:line="329" w:lineRule="auto"/>
        <w:tabs>
          <w:tab w:leader="none" w:pos="1048" w:val="left"/>
        </w:tabs>
        <w:numPr>
          <w:ilvl w:val="0"/>
          <w:numId w:val="102"/>
        </w:numPr>
        <w:rPr>
          <w:rFonts w:ascii="Arial" w:cs="Arial" w:eastAsia="Arial" w:hAnsi="Arial"/>
          <w:sz w:val="18"/>
          <w:szCs w:val="18"/>
          <w:color w:val="auto"/>
        </w:rPr>
      </w:pPr>
      <w:r>
        <w:rPr>
          <w:rFonts w:ascii="Arial" w:cs="Arial" w:eastAsia="Arial" w:hAnsi="Arial"/>
          <w:sz w:val="16"/>
          <w:szCs w:val="16"/>
          <w:u w:val="single" w:color="auto"/>
          <w:color w:val="auto"/>
        </w:rPr>
        <w:t>Application of Prepayments</w:t>
      </w:r>
      <w:r>
        <w:rPr>
          <w:rFonts w:ascii="Arial" w:cs="Arial" w:eastAsia="Arial" w:hAnsi="Arial"/>
          <w:sz w:val="16"/>
          <w:szCs w:val="16"/>
          <w:color w:val="auto"/>
        </w:rPr>
        <w:t xml:space="preserve">. Prior to any optional prepayment hereunder, the applicable Borrower shall select the Borrowing or Borrowings to be prepaid and shall specify such selection in the notice of such prepayment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subject to the provisions of this </w:t>
      </w:r>
      <w:r>
        <w:rPr>
          <w:rFonts w:ascii="Arial" w:cs="Arial" w:eastAsia="Arial" w:hAnsi="Arial"/>
          <w:sz w:val="16"/>
          <w:szCs w:val="16"/>
          <w:u w:val="single" w:color="auto"/>
          <w:color w:val="auto"/>
        </w:rPr>
        <w:t>Section 2.05(c)</w:t>
      </w:r>
      <w:r>
        <w:rPr>
          <w:rFonts w:ascii="Arial" w:cs="Arial" w:eastAsia="Arial" w:hAnsi="Arial"/>
          <w:sz w:val="16"/>
          <w:szCs w:val="16"/>
          <w:color w:val="auto"/>
        </w:rPr>
        <w:t>.</w:t>
      </w:r>
    </w:p>
    <w:p>
      <w:pPr>
        <w:spacing w:after="0" w:line="12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Amounts to be applied pursuant to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to the prepayment of Revolving Loans shall be applied, as applicable, first to reduce outstanding Base Rate Revolving Loans, Canadian U.S. Base Rate Loans, Canadian Prime Rate Loans or Overnight LIBO Rate Loans, as determined by the applicable Borrower. Any amounts remaining after each such application shall be applied to prepay Eurodollar Rate Revolving Loans. Notwithstanding the foregoing, if the amount of any prepayment of Loans required under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shall be in excess of the amount of the Base Rate Loans, Canadian U.S. Base Rate Loans, Canadian Prime Rate Loans or Overnight LIBO Rate Loans at the time outstanding (an “</w:t>
      </w:r>
      <w:r>
        <w:rPr>
          <w:rFonts w:ascii="Arial" w:cs="Arial" w:eastAsia="Arial" w:hAnsi="Arial"/>
          <w:sz w:val="16"/>
          <w:szCs w:val="16"/>
          <w:u w:val="single" w:color="auto"/>
          <w:color w:val="auto"/>
        </w:rPr>
        <w:t>Excess Amount</w:t>
      </w:r>
      <w:r>
        <w:rPr>
          <w:rFonts w:ascii="Arial" w:cs="Arial" w:eastAsia="Arial" w:hAnsi="Arial"/>
          <w:sz w:val="16"/>
          <w:szCs w:val="16"/>
          <w:color w:val="auto"/>
        </w:rPr>
        <w:t>”), only the portion of the amount of such prepayment as is equal to the amount of such outstanding Base Rate Loans, Canadian U.S. Base Rate Loans, Canadian Prime Rate Loans or Overnight LIBO Rate Loans shall be immediately prepaid and, at the election of the applicable Borrower, the Excess Amount shall be either</w:t>
      </w:r>
    </w:p>
    <w:p>
      <w:pPr>
        <w:spacing w:after="0" w:line="2" w:lineRule="exact"/>
        <w:rPr>
          <w:sz w:val="20"/>
          <w:szCs w:val="20"/>
          <w:color w:val="auto"/>
        </w:rPr>
      </w:pPr>
    </w:p>
    <w:p>
      <w:pPr>
        <w:jc w:val="both"/>
        <w:ind w:right="240" w:firstLine="8"/>
        <w:spacing w:after="0" w:line="253" w:lineRule="auto"/>
        <w:tabs>
          <w:tab w:leader="none" w:pos="2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deposited in an escrow account on terms reasonably satisfactory to the Collateral Agent and the U.S. Borrower and applied to the prepayment of Eurodollar Rate Loans on the last day of the then next-expiring Interest Period for Eurodollar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in respect of such Excess Amount shall continue to accrue thereon at the rate provided hereunder for the Loans which such Excess Amount is intended to repay until such Excess Amount (and any returns on investment relating thereto) shall have been used in full to repay such Loans and (ii) at any time while a Default has occurred and is continuing, the applicable Facility</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341" w:right="379" w:bottom="1440" w:gutter="0" w:footer="0" w:header="0"/>
        </w:sectPr>
      </w:pPr>
    </w:p>
    <w:bookmarkStart w:id="140" w:name="page141"/>
    <w:bookmarkEnd w:id="140"/>
    <w:p>
      <w:pPr>
        <w:ind w:right="180" w:firstLine="648"/>
        <w:spacing w:after="0" w:line="311" w:lineRule="auto"/>
        <w:rPr>
          <w:sz w:val="20"/>
          <w:szCs w:val="20"/>
          <w:color w:val="auto"/>
        </w:rPr>
      </w:pPr>
      <w:r>
        <w:rPr>
          <w:rFonts w:ascii="Arial" w:cs="Arial" w:eastAsia="Arial" w:hAnsi="Arial"/>
          <w:sz w:val="16"/>
          <w:szCs w:val="16"/>
          <w:color w:val="auto"/>
        </w:rPr>
        <w:t xml:space="preserve">Agent may, and upon written direction from the Required Lenders (in the case of U.S. Dollar Facility Revolving Loans) or the Required Multicurrency Facility Lenders (in the case of Multicurrency Facility Revolving Loans) shall, apply any or all proceeds then on deposit to the payment of such Loans in an amount equal to such Excess Amount or (B) prepaid immediately, together with any amounts owing to the Lenders under </w:t>
      </w:r>
      <w:r>
        <w:rPr>
          <w:rFonts w:ascii="Arial" w:cs="Arial" w:eastAsia="Arial" w:hAnsi="Arial"/>
          <w:sz w:val="16"/>
          <w:szCs w:val="16"/>
          <w:u w:val="single" w:color="auto"/>
          <w:color w:val="auto"/>
        </w:rPr>
        <w:t>Section 3.05</w:t>
      </w:r>
      <w:r>
        <w:rPr>
          <w:rFonts w:ascii="Arial" w:cs="Arial" w:eastAsia="Arial" w:hAnsi="Arial"/>
          <w:sz w:val="16"/>
          <w:szCs w:val="16"/>
          <w:color w:val="auto"/>
        </w:rPr>
        <w:t>.</w:t>
      </w:r>
    </w:p>
    <w:p>
      <w:pPr>
        <w:spacing w:after="0" w:line="162" w:lineRule="exact"/>
        <w:rPr>
          <w:sz w:val="20"/>
          <w:szCs w:val="20"/>
          <w:color w:val="auto"/>
        </w:rPr>
      </w:pPr>
    </w:p>
    <w:p>
      <w:pPr>
        <w:ind w:right="20" w:firstLine="656"/>
        <w:spacing w:after="0" w:line="302" w:lineRule="auto"/>
        <w:tabs>
          <w:tab w:leader="none" w:pos="1058" w:val="left"/>
        </w:tabs>
        <w:numPr>
          <w:ilvl w:val="0"/>
          <w:numId w:val="104"/>
        </w:numPr>
        <w:rPr>
          <w:rFonts w:ascii="Arial" w:cs="Arial" w:eastAsia="Arial" w:hAnsi="Arial"/>
          <w:sz w:val="18"/>
          <w:szCs w:val="18"/>
          <w:color w:val="auto"/>
        </w:rPr>
      </w:pPr>
      <w:r>
        <w:rPr>
          <w:rFonts w:ascii="Arial" w:cs="Arial" w:eastAsia="Arial" w:hAnsi="Arial"/>
          <w:sz w:val="16"/>
          <w:szCs w:val="16"/>
          <w:u w:val="single" w:color="auto"/>
          <w:color w:val="auto"/>
        </w:rPr>
        <w:t>Notice of Mandatory Prepayment</w:t>
      </w:r>
      <w:r>
        <w:rPr>
          <w:rFonts w:ascii="Arial" w:cs="Arial" w:eastAsia="Arial" w:hAnsi="Arial"/>
          <w:sz w:val="16"/>
          <w:szCs w:val="16"/>
          <w:color w:val="auto"/>
        </w:rPr>
        <w:t xml:space="preserve">. The applicable Borrower shall notify the applicable Facility Agent by written notice of any mandatory prepayment pursuant to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(i) in the case of prepayment of a Eurodollar Rate Loan, not later than 1:00 p.m., three Business Days before the date of prepayment, and (ii) in the case of prepayment of a Base Rate Loan, Canadian U.S. Base Rate Loan, Canadian Prime Rate Loan or Overnight LIBO Rate Loan, not later than 1:00 p.m., one Business Day before the date of prepayment. Each such notice shall be irrevocable. Each such notice shall be in the form of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and shall specify the prepayment date, the principal amount of each Borrowing or portion thereof to be prepaid and shall include a reasonably detailed calculation of the amount of such prepayment. Promptly following receipt of any such notice, the applicable Facility Agent shall advise the Lenders of the contents thereof. Each prepayment of a Borrowing shall be applied ratably to the Loans included in the prepaid Borrowing and otherwise in accordance with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Prepayments shall be accompanied by accrued interest to the extent required by </w:t>
      </w:r>
      <w:r>
        <w:rPr>
          <w:rFonts w:ascii="Arial" w:cs="Arial" w:eastAsia="Arial" w:hAnsi="Arial"/>
          <w:sz w:val="16"/>
          <w:szCs w:val="16"/>
          <w:u w:val="single" w:color="auto"/>
          <w:color w:val="auto"/>
        </w:rPr>
        <w:t>Section 2.08</w:t>
      </w:r>
      <w:r>
        <w:rPr>
          <w:rFonts w:ascii="Arial" w:cs="Arial" w:eastAsia="Arial" w:hAnsi="Arial"/>
          <w:sz w:val="16"/>
          <w:szCs w:val="16"/>
          <w:color w:val="auto"/>
        </w:rPr>
        <w:t>.</w:t>
      </w:r>
    </w:p>
    <w:p>
      <w:pPr>
        <w:spacing w:after="0" w:line="170" w:lineRule="exact"/>
        <w:rPr>
          <w:rFonts w:ascii="Arial" w:cs="Arial" w:eastAsia="Arial" w:hAnsi="Arial"/>
          <w:sz w:val="18"/>
          <w:szCs w:val="18"/>
          <w:color w:val="auto"/>
        </w:rPr>
      </w:pPr>
    </w:p>
    <w:p>
      <w:pPr>
        <w:ind w:right="40" w:firstLine="656"/>
        <w:spacing w:after="0" w:line="301" w:lineRule="auto"/>
        <w:tabs>
          <w:tab w:leader="none" w:pos="1048" w:val="left"/>
        </w:tabs>
        <w:numPr>
          <w:ilvl w:val="0"/>
          <w:numId w:val="104"/>
        </w:numPr>
        <w:rPr>
          <w:rFonts w:ascii="Arial" w:cs="Arial" w:eastAsia="Arial" w:hAnsi="Arial"/>
          <w:sz w:val="18"/>
          <w:szCs w:val="18"/>
          <w:color w:val="auto"/>
        </w:rPr>
      </w:pPr>
      <w:r>
        <w:rPr>
          <w:rFonts w:ascii="Arial" w:cs="Arial" w:eastAsia="Arial" w:hAnsi="Arial"/>
          <w:sz w:val="16"/>
          <w:szCs w:val="16"/>
          <w:u w:val="single" w:color="auto"/>
          <w:color w:val="auto"/>
        </w:rPr>
        <w:t>*Limitations. Notwithstanding any other provision of Section 2.05(b) to the contrary, to the extent that all or any of the Net Cash Proceeds giving rise to a mandatory prepayment pursuant to clause (B) of the last sentence of Section 2.05(b) is attributable to an Asset Sale by or of a Foreign Restricted Subsidiary or non-wholly owned Restricted Subsidiary, such mandatory prepayment (x) in the case of Net Cash Proceeds of a Foreign Restricted Subsidiary, will be limited to the extent the repatriation of such Net Cash Proceeds would, in the good faith judgment of the Borrowers, result in adverse tax consequences that are material (taking into account the imposition of withholding taxes and foreign tax benefits, if any) and/or (y) shall be subject to permissibility under (A) local law (including financial assistance, corporate benefit, restrictions on repatriating or upstreaming of cash intra-group and the fiduciary and statutory duties of the directors of the relevant Restricted Subsidiaries) and (B) organizational document restrictions (including as a result of minority ownership) and restrictions in other material agreements; provided that Holdings and its Restricted Subsidiaries shall take commercially reasonable actions to permit repatriation of the Net Cash Proceeds that are the subject of such mandatory prepayments without violating local law or incurring material adverse tax consequences in the good faith judgment of the Borrowers, but shall not otherwise be subject to further limitations as a result of such restrictions. Notwithstanding the foregoing, any prepayments made after application of the foregoing proviso shall be net of any costs, expenses or taxes incurred by Holdings, the Borrowers or any of their Restricted Subsidiaries arising as a result of compliance with such proviso. Further, there will be no requirement to make any prepayment with respect to any portion of any required prepayment pursuant to clause (y)(B) above to the extent that the repatriation of such Net Cash Proceeds would reasonably be expected to give rise to risk of liability for the directors of such Restricted Subsidiaries.*</w:t>
      </w:r>
    </w:p>
    <w:p>
      <w:pPr>
        <w:spacing w:after="0" w:line="14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2.06</w:t>
      </w:r>
      <w:r>
        <w:rPr>
          <w:sz w:val="20"/>
          <w:szCs w:val="20"/>
          <w:color w:val="auto"/>
        </w:rPr>
        <w:tab/>
      </w:r>
      <w:r>
        <w:rPr>
          <w:rFonts w:ascii="Arial" w:cs="Arial" w:eastAsia="Arial" w:hAnsi="Arial"/>
          <w:sz w:val="16"/>
          <w:szCs w:val="16"/>
          <w:b w:val="1"/>
          <w:bCs w:val="1"/>
          <w:u w:val="single" w:color="auto"/>
          <w:color w:val="auto"/>
        </w:rPr>
        <w:t>Termination or Reduction of Commitments</w:t>
      </w:r>
      <w:r>
        <w:rPr>
          <w:rFonts w:ascii="Arial" w:cs="Arial" w:eastAsia="Arial" w:hAnsi="Arial"/>
          <w:sz w:val="16"/>
          <w:szCs w:val="16"/>
          <w:color w:val="auto"/>
        </w:rPr>
        <w:t>.</w:t>
      </w:r>
    </w:p>
    <w:p>
      <w:pPr>
        <w:spacing w:after="0" w:line="22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 xml:space="preserve">The U.S. Borrower may, upon notice to the Administrative Agent, the Canadian Agent, the European Agent and any other Facility Agent, terminate the Aggregate Commitments, or from time to time permanently reduce the Aggregate Commitments (in each case,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between the Aggregate U.S. Dollar Facility Commitments and the Aggregate Multicurrency Facility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the Administrative Agent, the Canadian Agent, the European Agent and any other Facility Agent not later than 1:00 p.m. three Business Days prior to the date of termination or reduction, (ii) any such partial reduction shall be in an aggregate amount of $1,000,000 or a whole multiple of $500,000 in excess thereof and (iii) the U.S. Borrower shall not terminate or reduce the Aggregate Commitments if, after giving effect thereto and to any concurrent prepayments hereunder, (x) the Outstanding Amount of U.S. Dollar Facility Revolving Loans, U.S. Dollar Facility Swing Line Loans and U.S. Dollar Facility L/C Obligations would exceed the Aggregate U.S. Dollar Facility Commitments or (y) the Outstanding Amount of Multicurrency Facility Revolving Loans, Multicurrency Facility Swing Line Loans and Multicurrency Facility L/C Obligations would exceed the Aggregate Multicurrency Facility Commitments. The Administrative Agent will promptly notify the Lenders of any such notice of termination or reduction of the Aggregate Commitments. Any reduction of the Aggregate Commitments shall be applied ratably (x) to the U.S. Dollar Facility Commitment of each U.S. Dollar Facility Lender according to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and (y) to the Multicurrency Facility Commitment of each Multicurrency Facility Lender according to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41"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auto"/>
        </w:rPr>
        <w:t>All fees accrued until the effective date of any termination of the Aggregate Commitments shall be paid on the effective date of such termination.</w:t>
      </w:r>
    </w:p>
    <w:p>
      <w:pPr>
        <w:spacing w:after="0" w:line="22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2.07</w:t>
      </w:r>
      <w:r>
        <w:rPr>
          <w:sz w:val="20"/>
          <w:szCs w:val="20"/>
          <w:color w:val="auto"/>
        </w:rPr>
        <w:tab/>
      </w:r>
      <w:r>
        <w:rPr>
          <w:rFonts w:ascii="Arial" w:cs="Arial" w:eastAsia="Arial" w:hAnsi="Arial"/>
          <w:sz w:val="16"/>
          <w:szCs w:val="16"/>
          <w:b w:val="1"/>
          <w:bCs w:val="1"/>
          <w:u w:val="single" w:color="auto"/>
          <w:color w:val="auto"/>
        </w:rPr>
        <w:t>Repayment of Loans</w:t>
      </w:r>
      <w:r>
        <w:rPr>
          <w:rFonts w:ascii="Arial" w:cs="Arial" w:eastAsia="Arial" w:hAnsi="Arial"/>
          <w:sz w:val="16"/>
          <w:szCs w:val="16"/>
          <w:color w:val="auto"/>
        </w:rPr>
        <w:t>.</w:t>
      </w:r>
    </w:p>
    <w:p>
      <w:pPr>
        <w:spacing w:after="0" w:line="238" w:lineRule="exact"/>
        <w:rPr>
          <w:sz w:val="20"/>
          <w:szCs w:val="20"/>
          <w:color w:val="auto"/>
        </w:rPr>
      </w:pPr>
    </w:p>
    <w:p>
      <w:pPr>
        <w:ind w:right="100" w:firstLine="656"/>
        <w:spacing w:after="0" w:line="265" w:lineRule="auto"/>
        <w:tabs>
          <w:tab w:leader="none" w:pos="1048" w:val="left"/>
        </w:tabs>
        <w:numPr>
          <w:ilvl w:val="0"/>
          <w:numId w:val="105"/>
        </w:numPr>
        <w:rPr>
          <w:rFonts w:ascii="Arial" w:cs="Arial" w:eastAsia="Arial" w:hAnsi="Arial"/>
          <w:sz w:val="20"/>
          <w:szCs w:val="20"/>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U.S. Borrower shall repay to the Administrative Agent for the ratable account of the applicable U.S. Dollar Facility Lenders on the U.S. Dollar Facility Maturity Date the aggregate principal amount of all U.S. Dollar Facility Revolving Loans outstanding on such date. Each applicable Borrower shall repay to each applicable Facility Agent, for the ratable account of the applicable Multicurrency Facility Lenders on the Multicurrency Facility Maturity Date the aggregate principal amount of all Multicurrency Facility Revolving Loans outstanding on such date borrowed by such Borrower.</w:t>
      </w:r>
    </w:p>
    <w:p>
      <w:pPr>
        <w:spacing w:after="0" w:line="195" w:lineRule="exact"/>
        <w:rPr>
          <w:rFonts w:ascii="Arial" w:cs="Arial" w:eastAsia="Arial" w:hAnsi="Arial"/>
          <w:sz w:val="20"/>
          <w:szCs w:val="20"/>
          <w:color w:val="auto"/>
        </w:rPr>
      </w:pPr>
    </w:p>
    <w:p>
      <w:pPr>
        <w:ind w:right="160" w:firstLine="656"/>
        <w:spacing w:after="0" w:line="310" w:lineRule="auto"/>
        <w:tabs>
          <w:tab w:leader="none" w:pos="1058" w:val="left"/>
        </w:tabs>
        <w:numPr>
          <w:ilvl w:val="0"/>
          <w:numId w:val="105"/>
        </w:numPr>
        <w:rPr>
          <w:rFonts w:ascii="Arial" w:cs="Arial" w:eastAsia="Arial" w:hAnsi="Arial"/>
          <w:sz w:val="18"/>
          <w:szCs w:val="18"/>
          <w:color w:val="auto"/>
        </w:rPr>
      </w:pPr>
      <w:r>
        <w:rPr>
          <w:rFonts w:ascii="Arial" w:cs="Arial" w:eastAsia="Arial" w:hAnsi="Arial"/>
          <w:sz w:val="16"/>
          <w:szCs w:val="16"/>
          <w:u w:val="single" w:color="auto"/>
          <w:color w:val="auto"/>
        </w:rPr>
        <w:t>Swing Line Loans</w:t>
      </w:r>
      <w:r>
        <w:rPr>
          <w:rFonts w:ascii="Arial" w:cs="Arial" w:eastAsia="Arial" w:hAnsi="Arial"/>
          <w:sz w:val="16"/>
          <w:szCs w:val="16"/>
          <w:color w:val="auto"/>
        </w:rPr>
        <w:t>. The U.S. Borrower shall repay the U.S. Dollar Facility Swing Line Loans on the earlier to occur of (i) the date ten (10) Business Days after such Loan is made and (ii) the U.S. Dollar Facility Maturity Date. Each applicable Borrower shall repay the Multicurrency Facility Swing Line Loans on the earlier to occur of (i) the date ten (10) Business Days after such Loan is made and (ii) the Multicurrency Facility Maturity Date.</w:t>
      </w:r>
    </w:p>
    <w:p>
      <w:pPr>
        <w:spacing w:after="0" w:line="14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2.08</w:t>
      </w:r>
      <w:r>
        <w:rPr>
          <w:sz w:val="20"/>
          <w:szCs w:val="20"/>
          <w:color w:val="auto"/>
        </w:rPr>
        <w:tab/>
      </w:r>
      <w:r>
        <w:rPr>
          <w:rFonts w:ascii="Arial" w:cs="Arial" w:eastAsia="Arial" w:hAnsi="Arial"/>
          <w:sz w:val="16"/>
          <w:szCs w:val="16"/>
          <w:b w:val="1"/>
          <w:bCs w:val="1"/>
          <w:u w:val="single" w:color="auto"/>
          <w:color w:val="auto"/>
        </w:rPr>
        <w:t>Interest</w:t>
      </w:r>
      <w:r>
        <w:rPr>
          <w:rFonts w:ascii="Arial" w:cs="Arial" w:eastAsia="Arial" w:hAnsi="Arial"/>
          <w:sz w:val="16"/>
          <w:szCs w:val="16"/>
          <w:color w:val="auto"/>
        </w:rPr>
        <w:t>.</w:t>
      </w:r>
    </w:p>
    <w:p>
      <w:pPr>
        <w:spacing w:after="0" w:line="238" w:lineRule="exact"/>
        <w:rPr>
          <w:sz w:val="20"/>
          <w:szCs w:val="20"/>
          <w:color w:val="auto"/>
        </w:rPr>
      </w:pPr>
    </w:p>
    <w:p>
      <w:pPr>
        <w:ind w:left="1060" w:hanging="404"/>
        <w:spacing w:after="0"/>
        <w:tabs>
          <w:tab w:leader="none" w:pos="1060" w:val="left"/>
        </w:tabs>
        <w:numPr>
          <w:ilvl w:val="0"/>
          <w:numId w:val="106"/>
        </w:numPr>
        <w:rPr>
          <w:rFonts w:ascii="Arial" w:cs="Arial" w:eastAsia="Arial" w:hAnsi="Arial"/>
          <w:sz w:val="20"/>
          <w:szCs w:val="20"/>
          <w:color w:val="auto"/>
        </w:rPr>
      </w:pPr>
      <w:r>
        <w:rPr>
          <w:rFonts w:ascii="Arial" w:cs="Arial" w:eastAsia="Arial" w:hAnsi="Arial"/>
          <w:sz w:val="18"/>
          <w:szCs w:val="18"/>
          <w:color w:val="auto"/>
        </w:rPr>
        <w:t>Subject to the provisions of subsection (b) below:</w:t>
      </w:r>
    </w:p>
    <w:p>
      <w:pPr>
        <w:spacing w:after="0" w:line="215" w:lineRule="exact"/>
        <w:rPr>
          <w:rFonts w:ascii="Arial" w:cs="Arial" w:eastAsia="Arial" w:hAnsi="Arial"/>
          <w:sz w:val="20"/>
          <w:szCs w:val="20"/>
          <w:color w:val="auto"/>
        </w:rPr>
      </w:pPr>
    </w:p>
    <w:p>
      <w:pPr>
        <w:ind w:left="660" w:right="480" w:firstLine="644"/>
        <w:spacing w:after="0" w:line="266" w:lineRule="auto"/>
        <w:tabs>
          <w:tab w:leader="none" w:pos="1675" w:val="left"/>
        </w:tabs>
        <w:numPr>
          <w:ilvl w:val="1"/>
          <w:numId w:val="106"/>
        </w:numPr>
        <w:rPr>
          <w:rFonts w:ascii="Arial" w:cs="Arial" w:eastAsia="Arial" w:hAnsi="Arial"/>
          <w:sz w:val="20"/>
          <w:szCs w:val="20"/>
          <w:color w:val="auto"/>
        </w:rPr>
      </w:pPr>
      <w:r>
        <w:rPr>
          <w:rFonts w:ascii="Arial" w:cs="Arial" w:eastAsia="Arial" w:hAnsi="Arial"/>
          <w:sz w:val="18"/>
          <w:szCs w:val="18"/>
          <w:color w:val="auto"/>
        </w:rPr>
        <w:t xml:space="preserve">each Eurodollar Rate Loan shall bear interest on the outstanding principal amount thereof for each Interest Period at a rate </w:t>
      </w:r>
      <w:r>
        <w:rPr>
          <w:rFonts w:ascii="Arial" w:cs="Arial" w:eastAsia="Arial" w:hAnsi="Arial"/>
          <w:sz w:val="18"/>
          <w:szCs w:val="18"/>
          <w:u w:val="single" w:color="auto"/>
          <w:color w:val="auto"/>
        </w:rPr>
        <w:t>per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annum</w:t>
      </w:r>
      <w:r>
        <w:rPr>
          <w:rFonts w:ascii="Arial" w:cs="Arial" w:eastAsia="Arial" w:hAnsi="Arial"/>
          <w:sz w:val="18"/>
          <w:szCs w:val="18"/>
          <w:color w:val="auto"/>
        </w:rPr>
        <w:t xml:space="preserve"> equal to the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90" w:lineRule="exact"/>
        <w:rPr>
          <w:rFonts w:ascii="Arial" w:cs="Arial" w:eastAsia="Arial" w:hAnsi="Arial"/>
          <w:sz w:val="20"/>
          <w:szCs w:val="20"/>
          <w:color w:val="auto"/>
        </w:rPr>
      </w:pPr>
    </w:p>
    <w:p>
      <w:pPr>
        <w:ind w:left="660" w:firstLine="644"/>
        <w:spacing w:after="0" w:line="266" w:lineRule="auto"/>
        <w:tabs>
          <w:tab w:leader="none" w:pos="1729" w:val="left"/>
        </w:tabs>
        <w:numPr>
          <w:ilvl w:val="1"/>
          <w:numId w:val="106"/>
        </w:numPr>
        <w:rPr>
          <w:rFonts w:ascii="Arial" w:cs="Arial" w:eastAsia="Arial" w:hAnsi="Arial"/>
          <w:sz w:val="20"/>
          <w:szCs w:val="20"/>
          <w:color w:val="auto"/>
        </w:rPr>
      </w:pPr>
      <w:r>
        <w:rPr>
          <w:rFonts w:ascii="Arial" w:cs="Arial" w:eastAsia="Arial" w:hAnsi="Arial"/>
          <w:sz w:val="18"/>
          <w:szCs w:val="18"/>
          <w:color w:val="auto"/>
        </w:rPr>
        <w:t xml:space="preserve">each Base Rate Loan shall bear interest on the outstanding principal amount thereof from the applicable borrowing date at a rate </w:t>
      </w:r>
      <w:r>
        <w:rPr>
          <w:rFonts w:ascii="Arial" w:cs="Arial" w:eastAsia="Arial" w:hAnsi="Arial"/>
          <w:sz w:val="18"/>
          <w:szCs w:val="18"/>
          <w:u w:val="single" w:color="auto"/>
          <w:color w:val="auto"/>
        </w:rPr>
        <w:t>per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annum</w:t>
      </w:r>
      <w:r>
        <w:rPr>
          <w:rFonts w:ascii="Arial" w:cs="Arial" w:eastAsia="Arial" w:hAnsi="Arial"/>
          <w:sz w:val="18"/>
          <w:szCs w:val="18"/>
          <w:color w:val="auto"/>
        </w:rPr>
        <w:t xml:space="preserve">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90" w:lineRule="exact"/>
        <w:rPr>
          <w:rFonts w:ascii="Arial" w:cs="Arial" w:eastAsia="Arial" w:hAnsi="Arial"/>
          <w:sz w:val="20"/>
          <w:szCs w:val="20"/>
          <w:color w:val="auto"/>
        </w:rPr>
      </w:pPr>
    </w:p>
    <w:p>
      <w:pPr>
        <w:ind w:left="660" w:right="80" w:firstLine="644"/>
        <w:spacing w:after="0" w:line="266" w:lineRule="auto"/>
        <w:tabs>
          <w:tab w:leader="none" w:pos="1785" w:val="left"/>
        </w:tabs>
        <w:numPr>
          <w:ilvl w:val="1"/>
          <w:numId w:val="106"/>
        </w:numPr>
        <w:rPr>
          <w:rFonts w:ascii="Arial" w:cs="Arial" w:eastAsia="Arial" w:hAnsi="Arial"/>
          <w:sz w:val="20"/>
          <w:szCs w:val="20"/>
          <w:color w:val="auto"/>
        </w:rPr>
      </w:pPr>
      <w:r>
        <w:rPr>
          <w:rFonts w:ascii="Arial" w:cs="Arial" w:eastAsia="Arial" w:hAnsi="Arial"/>
          <w:sz w:val="18"/>
          <w:szCs w:val="18"/>
          <w:color w:val="auto"/>
        </w:rPr>
        <w:t xml:space="preserve">each Canadian U.S. Base Rate Loan shall bear interest on the outstanding principal amount thereof from the applicable borrowing date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Canadian U.S.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90" w:lineRule="exact"/>
        <w:rPr>
          <w:rFonts w:ascii="Arial" w:cs="Arial" w:eastAsia="Arial" w:hAnsi="Arial"/>
          <w:sz w:val="20"/>
          <w:szCs w:val="20"/>
          <w:color w:val="auto"/>
        </w:rPr>
      </w:pPr>
    </w:p>
    <w:p>
      <w:pPr>
        <w:ind w:left="660" w:right="40" w:firstLine="644"/>
        <w:spacing w:after="0" w:line="266" w:lineRule="auto"/>
        <w:tabs>
          <w:tab w:leader="none" w:pos="1774" w:val="left"/>
        </w:tabs>
        <w:numPr>
          <w:ilvl w:val="1"/>
          <w:numId w:val="106"/>
        </w:numPr>
        <w:rPr>
          <w:rFonts w:ascii="Arial" w:cs="Arial" w:eastAsia="Arial" w:hAnsi="Arial"/>
          <w:sz w:val="20"/>
          <w:szCs w:val="20"/>
          <w:color w:val="auto"/>
        </w:rPr>
      </w:pPr>
      <w:r>
        <w:rPr>
          <w:rFonts w:ascii="Arial" w:cs="Arial" w:eastAsia="Arial" w:hAnsi="Arial"/>
          <w:sz w:val="18"/>
          <w:szCs w:val="18"/>
          <w:color w:val="auto"/>
        </w:rPr>
        <w:t xml:space="preserve">each Canadian Prime Rate Loan shall bear interest on the outstanding principal amount thereof from the applicable borrowing date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Canadian Prime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90" w:lineRule="exact"/>
        <w:rPr>
          <w:rFonts w:ascii="Arial" w:cs="Arial" w:eastAsia="Arial" w:hAnsi="Arial"/>
          <w:sz w:val="20"/>
          <w:szCs w:val="20"/>
          <w:color w:val="auto"/>
        </w:rPr>
      </w:pPr>
    </w:p>
    <w:p>
      <w:pPr>
        <w:ind w:left="660" w:right="60" w:firstLine="644"/>
        <w:spacing w:after="0" w:line="266" w:lineRule="auto"/>
        <w:tabs>
          <w:tab w:leader="none" w:pos="1718" w:val="left"/>
        </w:tabs>
        <w:numPr>
          <w:ilvl w:val="1"/>
          <w:numId w:val="106"/>
        </w:numPr>
        <w:rPr>
          <w:rFonts w:ascii="Arial" w:cs="Arial" w:eastAsia="Arial" w:hAnsi="Arial"/>
          <w:sz w:val="20"/>
          <w:szCs w:val="20"/>
          <w:color w:val="auto"/>
        </w:rPr>
      </w:pPr>
      <w:r>
        <w:rPr>
          <w:rFonts w:ascii="Arial" w:cs="Arial" w:eastAsia="Arial" w:hAnsi="Arial"/>
          <w:sz w:val="18"/>
          <w:szCs w:val="18"/>
          <w:color w:val="auto"/>
        </w:rPr>
        <w:t xml:space="preserve">each Overnight LIBO Rate Loan shall bear interest on the outstanding principal amount thereof from the applicable borrowing date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Overnight LIBO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90" w:lineRule="exact"/>
        <w:rPr>
          <w:rFonts w:ascii="Arial" w:cs="Arial" w:eastAsia="Arial" w:hAnsi="Arial"/>
          <w:sz w:val="20"/>
          <w:szCs w:val="20"/>
          <w:color w:val="auto"/>
        </w:rPr>
      </w:pPr>
    </w:p>
    <w:p>
      <w:pPr>
        <w:ind w:left="660" w:right="400" w:firstLine="644"/>
        <w:spacing w:after="0" w:line="266" w:lineRule="auto"/>
        <w:tabs>
          <w:tab w:leader="none" w:pos="1774" w:val="left"/>
        </w:tabs>
        <w:numPr>
          <w:ilvl w:val="1"/>
          <w:numId w:val="106"/>
        </w:numPr>
        <w:rPr>
          <w:rFonts w:ascii="Arial" w:cs="Arial" w:eastAsia="Arial" w:hAnsi="Arial"/>
          <w:sz w:val="20"/>
          <w:szCs w:val="20"/>
          <w:color w:val="auto"/>
        </w:rPr>
      </w:pPr>
      <w:r>
        <w:rPr>
          <w:rFonts w:ascii="Arial" w:cs="Arial" w:eastAsia="Arial" w:hAnsi="Arial"/>
          <w:sz w:val="18"/>
          <w:szCs w:val="18"/>
          <w:color w:val="auto"/>
        </w:rPr>
        <w:t xml:space="preserve">each U.S. Dollar Facility Swing Line Loan shall bear interest on the outstanding principal amount thereof from the applicable borrowing date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90" w:lineRule="exact"/>
        <w:rPr>
          <w:rFonts w:ascii="Arial" w:cs="Arial" w:eastAsia="Arial" w:hAnsi="Arial"/>
          <w:sz w:val="20"/>
          <w:szCs w:val="20"/>
          <w:color w:val="auto"/>
        </w:rPr>
      </w:pPr>
    </w:p>
    <w:p>
      <w:pPr>
        <w:ind w:left="660" w:right="40" w:firstLine="644"/>
        <w:spacing w:after="0" w:line="271" w:lineRule="auto"/>
        <w:tabs>
          <w:tab w:leader="none" w:pos="1828" w:val="left"/>
        </w:tabs>
        <w:numPr>
          <w:ilvl w:val="1"/>
          <w:numId w:val="106"/>
        </w:numPr>
        <w:rPr>
          <w:rFonts w:ascii="Arial" w:cs="Arial" w:eastAsia="Arial" w:hAnsi="Arial"/>
          <w:sz w:val="19"/>
          <w:szCs w:val="19"/>
          <w:color w:val="auto"/>
        </w:rPr>
      </w:pPr>
      <w:r>
        <w:rPr>
          <w:rFonts w:ascii="Arial" w:cs="Arial" w:eastAsia="Arial" w:hAnsi="Arial"/>
          <w:sz w:val="17"/>
          <w:szCs w:val="17"/>
          <w:color w:val="auto"/>
        </w:rPr>
        <w:t xml:space="preserve">each Multicurrency Facility Swing Line Loan shall bear interest on the outstanding principal amount thereof from the applicable borrowing date at a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equal to the Canadian U.S. Base Rate (if denominated in Dollars), the Canadian Prime Rate (if denominated in Canadian Dollars), the Overnight LIBO Rate (if denominated in Euros or Pounds Sterling) </w:t>
      </w:r>
      <w:r>
        <w:rPr>
          <w:rFonts w:ascii="Arial" w:cs="Arial" w:eastAsia="Arial" w:hAnsi="Arial"/>
          <w:sz w:val="17"/>
          <w:szCs w:val="17"/>
          <w:u w:val="single" w:color="auto"/>
          <w:color w:val="auto"/>
        </w:rPr>
        <w:t>plus</w:t>
      </w:r>
      <w:r>
        <w:rPr>
          <w:rFonts w:ascii="Arial" w:cs="Arial" w:eastAsia="Arial" w:hAnsi="Arial"/>
          <w:sz w:val="17"/>
          <w:szCs w:val="17"/>
          <w:color w:val="auto"/>
        </w:rPr>
        <w:t>, in each case, the</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8"/>
          <w:szCs w:val="18"/>
          <w:color w:val="auto"/>
        </w:rPr>
        <w:t>Applicable Rate;</w:t>
      </w:r>
    </w:p>
    <w:p>
      <w:pPr>
        <w:spacing w:after="0" w:line="237" w:lineRule="exact"/>
        <w:rPr>
          <w:rFonts w:ascii="Arial" w:cs="Arial" w:eastAsia="Arial" w:hAnsi="Arial"/>
          <w:sz w:val="19"/>
          <w:szCs w:val="19"/>
          <w:color w:val="auto"/>
        </w:rPr>
      </w:pPr>
    </w:p>
    <w:p>
      <w:pPr>
        <w:ind w:left="1880" w:hanging="576"/>
        <w:spacing w:after="0"/>
        <w:tabs>
          <w:tab w:leader="none" w:pos="1880" w:val="left"/>
        </w:tabs>
        <w:numPr>
          <w:ilvl w:val="1"/>
          <w:numId w:val="106"/>
        </w:numPr>
        <w:rPr>
          <w:rFonts w:ascii="Arial" w:cs="Arial" w:eastAsia="Arial" w:hAnsi="Arial"/>
          <w:sz w:val="20"/>
          <w:szCs w:val="20"/>
          <w:color w:val="auto"/>
        </w:rPr>
      </w:pPr>
      <w:r>
        <w:rPr>
          <w:rFonts w:ascii="Arial" w:cs="Arial" w:eastAsia="Arial" w:hAnsi="Arial"/>
          <w:sz w:val="18"/>
          <w:szCs w:val="18"/>
          <w:color w:val="auto"/>
        </w:rPr>
        <w:t>interest on each Loan shall be payable in the currency in which such Loan was made.</w:t>
      </w:r>
    </w:p>
    <w:p>
      <w:pPr>
        <w:spacing w:after="0" w:line="215" w:lineRule="exact"/>
        <w:rPr>
          <w:rFonts w:ascii="Arial" w:cs="Arial" w:eastAsia="Arial" w:hAnsi="Arial"/>
          <w:sz w:val="20"/>
          <w:szCs w:val="20"/>
          <w:color w:val="auto"/>
        </w:rPr>
      </w:pPr>
    </w:p>
    <w:p>
      <w:pPr>
        <w:ind w:right="100" w:firstLine="656"/>
        <w:spacing w:after="0" w:line="266" w:lineRule="auto"/>
        <w:tabs>
          <w:tab w:leader="none" w:pos="1058" w:val="left"/>
        </w:tabs>
        <w:numPr>
          <w:ilvl w:val="0"/>
          <w:numId w:val="106"/>
        </w:numPr>
        <w:rPr>
          <w:rFonts w:ascii="Arial" w:cs="Arial" w:eastAsia="Arial" w:hAnsi="Arial"/>
          <w:sz w:val="20"/>
          <w:szCs w:val="20"/>
          <w:color w:val="auto"/>
        </w:rPr>
      </w:pPr>
      <w:r>
        <w:rPr>
          <w:rFonts w:ascii="Arial" w:cs="Arial" w:eastAsia="Arial" w:hAnsi="Arial"/>
          <w:sz w:val="18"/>
          <w:szCs w:val="18"/>
          <w:color w:val="auto"/>
        </w:rPr>
        <w:t>Notwithstanding the foregoing, if any principal of or interest on any Loan or any fee or other amount payable by any Borrower hereunder is not paid when due (without regard to any applicable grace periods),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341" w:right="359" w:bottom="1440" w:gutter="0" w:footer="0" w:header="0"/>
        </w:sectPr>
      </w:pPr>
    </w:p>
    <w:bookmarkStart w:id="142" w:name="page143"/>
    <w:bookmarkEnd w:id="142"/>
    <w:p>
      <w:pPr>
        <w:ind w:right="80"/>
        <w:spacing w:after="0" w:line="259" w:lineRule="auto"/>
        <w:rPr>
          <w:sz w:val="20"/>
          <w:szCs w:val="20"/>
          <w:color w:val="auto"/>
        </w:rPr>
      </w:pPr>
      <w:r>
        <w:rPr>
          <w:rFonts w:ascii="Arial" w:cs="Arial" w:eastAsia="Arial" w:hAnsi="Arial"/>
          <w:sz w:val="18"/>
          <w:szCs w:val="18"/>
          <w:color w:val="auto"/>
        </w:rPr>
        <w:t xml:space="preserve">whether at stated maturity, upon acceleration or otherwise, such overdue amount shall, to the extent permitted by applicable law, bear interest, after as well as before judgment,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(i) in the case of overdue principal and premium, if any, of or interest on any Loan,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otherwise applicable to such Loan as provided in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or (ii) in the case of any other overdue amount,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applicable to Base Rate Revolving Loans as provided in </w:t>
      </w:r>
      <w:r>
        <w:rPr>
          <w:rFonts w:ascii="Arial" w:cs="Arial" w:eastAsia="Arial" w:hAnsi="Arial"/>
          <w:sz w:val="18"/>
          <w:szCs w:val="18"/>
          <w:u w:val="single" w:color="auto"/>
          <w:color w:val="auto"/>
        </w:rPr>
        <w:t>Section 2.08(a)(ii)</w:t>
      </w:r>
      <w:r>
        <w:rPr>
          <w:rFonts w:ascii="Arial" w:cs="Arial" w:eastAsia="Arial" w:hAnsi="Arial"/>
          <w:sz w:val="18"/>
          <w:szCs w:val="18"/>
          <w:color w:val="auto"/>
        </w:rPr>
        <w:t xml:space="preserve"> (in either case, the “</w:t>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200" w:lineRule="exact"/>
        <w:rPr>
          <w:sz w:val="20"/>
          <w:szCs w:val="20"/>
          <w:color w:val="auto"/>
        </w:rPr>
      </w:pPr>
    </w:p>
    <w:p>
      <w:pPr>
        <w:ind w:firstLine="656"/>
        <w:spacing w:after="0" w:line="303" w:lineRule="auto"/>
        <w:tabs>
          <w:tab w:leader="none" w:pos="1048" w:val="left"/>
        </w:tabs>
        <w:numPr>
          <w:ilvl w:val="0"/>
          <w:numId w:val="107"/>
        </w:numPr>
        <w:rPr>
          <w:rFonts w:ascii="Arial" w:cs="Arial" w:eastAsia="Arial" w:hAnsi="Arial"/>
          <w:sz w:val="18"/>
          <w:szCs w:val="18"/>
          <w:color w:val="auto"/>
        </w:rPr>
      </w:pPr>
      <w:r>
        <w:rPr>
          <w:rFonts w:ascii="Arial" w:cs="Arial" w:eastAsia="Arial" w:hAnsi="Arial"/>
          <w:sz w:val="16"/>
          <w:szCs w:val="16"/>
          <w:color w:val="auto"/>
        </w:rPr>
        <w:t xml:space="preserve">Interest on each Loan shall be due and payable in arrears on each Interest Payment Date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w:t>
      </w:r>
      <w:r>
        <w:rPr>
          <w:rFonts w:ascii="Arial" w:cs="Arial" w:eastAsia="Arial" w:hAnsi="Arial"/>
          <w:sz w:val="16"/>
          <w:szCs w:val="16"/>
          <w:u w:val="single" w:color="auto"/>
          <w:color w:val="auto"/>
        </w:rPr>
        <w:t>Section 2.08(b</w:t>
      </w:r>
      <w:r>
        <w:rPr>
          <w:rFonts w:ascii="Arial" w:cs="Arial" w:eastAsia="Arial" w:hAnsi="Arial"/>
          <w:sz w:val="16"/>
          <w:szCs w:val="16"/>
          <w:color w:val="auto"/>
        </w:rPr>
        <w:t>) shall be payable on demand, (ii) in the event of any repayment or prepayment of any Loan (other than a prepayment of a Base Rate Revolving Loan, a Canadian U.S. Base Rate Revolving Loan, a Canadian Prime Rate Revolving Loan, an Overnight LIBO Rate Loan or a Swing Line Loan without a permanent reduction in Commitments),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 Interest hereunder shall be due and payable in accordance with the terms hereof before and after judgment, and before and after the commencement of any proceeding under any Debtor Relief Law.</w:t>
      </w:r>
    </w:p>
    <w:p>
      <w:pPr>
        <w:spacing w:after="0" w:line="14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2.09</w:t>
      </w:r>
      <w:r>
        <w:rPr>
          <w:sz w:val="20"/>
          <w:szCs w:val="20"/>
          <w:color w:val="auto"/>
        </w:rPr>
        <w:tab/>
      </w:r>
      <w:r>
        <w:rPr>
          <w:rFonts w:ascii="Arial" w:cs="Arial" w:eastAsia="Arial" w:hAnsi="Arial"/>
          <w:sz w:val="16"/>
          <w:szCs w:val="16"/>
          <w:b w:val="1"/>
          <w:bCs w:val="1"/>
          <w:u w:val="single" w:color="auto"/>
          <w:color w:val="auto"/>
        </w:rPr>
        <w:t>Fees</w:t>
      </w:r>
      <w:r>
        <w:rPr>
          <w:rFonts w:ascii="Arial" w:cs="Arial" w:eastAsia="Arial" w:hAnsi="Arial"/>
          <w:sz w:val="16"/>
          <w:szCs w:val="16"/>
          <w:color w:val="auto"/>
        </w:rPr>
        <w:t>. In addition to certain fees described in subsections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2.03(i)</w:t>
      </w:r>
      <w:r>
        <w:rPr>
          <w:rFonts w:ascii="Arial" w:cs="Arial" w:eastAsia="Arial" w:hAnsi="Arial"/>
          <w:sz w:val="16"/>
          <w:szCs w:val="16"/>
          <w:color w:val="auto"/>
        </w:rPr>
        <w:t>:</w:t>
      </w:r>
    </w:p>
    <w:p>
      <w:pPr>
        <w:spacing w:after="0" w:line="238" w:lineRule="exact"/>
        <w:rPr>
          <w:sz w:val="20"/>
          <w:szCs w:val="20"/>
          <w:color w:val="auto"/>
        </w:rPr>
      </w:pPr>
    </w:p>
    <w:p>
      <w:pPr>
        <w:ind w:left="1700" w:hanging="396"/>
        <w:spacing w:after="0"/>
        <w:tabs>
          <w:tab w:leader="none" w:pos="1700" w:val="left"/>
        </w:tabs>
        <w:numPr>
          <w:ilvl w:val="0"/>
          <w:numId w:val="108"/>
        </w:numPr>
        <w:rPr>
          <w:rFonts w:ascii="Arial" w:cs="Arial" w:eastAsia="Arial" w:hAnsi="Arial"/>
          <w:sz w:val="20"/>
          <w:szCs w:val="20"/>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The U.S. Borrower shall pay to the Administrative Agent, for the</w:t>
      </w:r>
    </w:p>
    <w:p>
      <w:pPr>
        <w:spacing w:after="0" w:line="4" w:lineRule="exact"/>
        <w:rPr>
          <w:sz w:val="20"/>
          <w:szCs w:val="20"/>
          <w:color w:val="auto"/>
        </w:rPr>
      </w:pPr>
    </w:p>
    <w:p>
      <w:pPr>
        <w:ind w:left="660"/>
        <w:spacing w:after="0" w:line="303" w:lineRule="auto"/>
        <w:rPr>
          <w:sz w:val="20"/>
          <w:szCs w:val="20"/>
          <w:color w:val="auto"/>
        </w:rPr>
      </w:pPr>
      <w:r>
        <w:rPr>
          <w:rFonts w:ascii="Arial" w:cs="Arial" w:eastAsia="Arial" w:hAnsi="Arial"/>
          <w:sz w:val="16"/>
          <w:szCs w:val="16"/>
          <w:color w:val="auto"/>
        </w:rPr>
        <w:t xml:space="preserve">account of each U.S. Dollar Facility Lender in accordance with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a fee in Dollars equal to the Applicable Commitment Fee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times the actual daily amount by which the Aggregate U.S. Dollar Facility Commitments exceed the sum of (i) the Outstanding Amount of U.S. Dollar Facility Revolving Loans (which for the avoidance of doubt does not include the outstanding amount of U.S. Dollar Facility Swing Line Loans) and (ii) the Outstanding Amount of U.S. Dollar Facility L/C Obligations, subject to adjustment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Such commitment fee shall accrue at all times during the period commencing on the Closing Date and ending on the last day of the U.S. Dollar Facility Availability Period,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met, and shall be due and payable quarterly in arrears (A) on the last Business Day of each March, June, September and December, commencing with the first such date to occur after the Closing Date, and (B) on the U.S. Dollar Facility Maturity Date. The U.S. Borrower shall pay to the Canadian Agent, for the account of each Multicurrency Facility Lender in accordance with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a fee in Dollars equal to the Applicable Commitment Fee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times the actual daily amount by which the Aggregate Multicurrency Facility Commitments exceed the sum of (i) the Outstanding Amount of Multicurrency Facility Revolving Loans (which for the avoidance of doubt does not include the outstanding amount of Multicurrency Facility Swing Line Loans) and (ii) the Outstanding Amount of Multicurrency Facility L/C Obligations, subject to adjustment as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Such commitment fee shall accrue at all times during the period commencing on the Fourth Restatement Date and ending on the last day of the Multicurrency Facility Availability Period,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met, and shall be due and payable quarterly in arrears (A) on the last Business Day of each March, June, September and December, commencing with the first such date to occur after the Fourth Restatement Date, and (B) on the Multicurrency Facility Maturity Date. Such fees shall be fully earned when paid and shall not be refundable for any reason whatsoever.</w:t>
      </w:r>
    </w:p>
    <w:p>
      <w:pPr>
        <w:spacing w:after="0" w:line="396" w:lineRule="exact"/>
        <w:rPr>
          <w:sz w:val="20"/>
          <w:szCs w:val="20"/>
          <w:color w:val="auto"/>
        </w:rPr>
      </w:pPr>
    </w:p>
    <w:p>
      <w:pPr>
        <w:ind w:left="1720" w:hanging="416"/>
        <w:spacing w:after="0"/>
        <w:tabs>
          <w:tab w:leader="none" w:pos="1720" w:val="left"/>
        </w:tabs>
        <w:numPr>
          <w:ilvl w:val="0"/>
          <w:numId w:val="109"/>
        </w:numPr>
        <w:rPr>
          <w:rFonts w:ascii="Arial" w:cs="Arial" w:eastAsia="Arial" w:hAnsi="Arial"/>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1300" w:right="140" w:firstLine="652"/>
        <w:spacing w:after="0" w:line="283" w:lineRule="auto"/>
        <w:tabs>
          <w:tab w:leader="none" w:pos="2311" w:val="left"/>
        </w:tabs>
        <w:numPr>
          <w:ilvl w:val="1"/>
          <w:numId w:val="109"/>
        </w:numPr>
        <w:rPr>
          <w:rFonts w:ascii="Arial" w:cs="Arial" w:eastAsia="Arial" w:hAnsi="Arial"/>
          <w:sz w:val="19"/>
          <w:szCs w:val="19"/>
          <w:color w:val="auto"/>
        </w:rPr>
      </w:pPr>
      <w:r>
        <w:rPr>
          <w:rFonts w:ascii="Arial" w:cs="Arial" w:eastAsia="Arial" w:hAnsi="Arial"/>
          <w:sz w:val="17"/>
          <w:szCs w:val="17"/>
          <w:color w:val="auto"/>
        </w:rPr>
        <w:t xml:space="preserve">The U.S. Borrower shall pay to the Arrangers, the L/C Issuers and the Administrative Agent for their own respective accounts fees in Dollars (i) with respect to each commercial Letter of Credit, at the rate specified in the Fee Letters, as applicable, computed on the amount of such Letter of Credit, and payable upon the issuance thereof and (ii) with respect to each standby Letter of Credit, at the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specified in the Fee Letters, as applicable, computed on the daily amount available to be drawn under such Letter of Credit on a quarterly basis in arrears (it being understood and agreed that JPMorgan Chase Bank, N.A., Toronto Branch, JPMorgan Chase Bank, N.A., London Branch and Bank of America, N.A., Canada Branch, shall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341" w:right="359" w:bottom="1440" w:gutter="0" w:footer="0" w:header="0"/>
        </w:sectPr>
      </w:pPr>
    </w:p>
    <w:bookmarkStart w:id="143" w:name="page144"/>
    <w:bookmarkEnd w:id="143"/>
    <w:p>
      <w:pPr>
        <w:ind w:right="80"/>
        <w:spacing w:after="0" w:line="277" w:lineRule="auto"/>
        <w:rPr>
          <w:sz w:val="20"/>
          <w:szCs w:val="20"/>
          <w:color w:val="auto"/>
        </w:rPr>
      </w:pPr>
      <w:r>
        <w:rPr>
          <w:rFonts w:ascii="Arial" w:cs="Arial" w:eastAsia="Arial" w:hAnsi="Arial"/>
          <w:sz w:val="18"/>
          <w:szCs w:val="18"/>
          <w:color w:val="auto"/>
        </w:rPr>
        <w:t>be entitled to the same letter of credit fees as JPMCB and Bank of America, N.A., respectively). Such fees shall be fully earned when paid and shall not be refundable for any reason whatsoever.</w:t>
      </w:r>
    </w:p>
    <w:p>
      <w:pPr>
        <w:spacing w:after="0" w:line="184" w:lineRule="exact"/>
        <w:rPr>
          <w:sz w:val="20"/>
          <w:szCs w:val="20"/>
          <w:color w:val="auto"/>
        </w:rPr>
      </w:pPr>
    </w:p>
    <w:p>
      <w:pPr>
        <w:ind w:left="1300" w:right="100" w:firstLine="652"/>
        <w:spacing w:after="0" w:line="266" w:lineRule="auto"/>
        <w:tabs>
          <w:tab w:leader="none" w:pos="2366" w:val="left"/>
        </w:tabs>
        <w:numPr>
          <w:ilvl w:val="0"/>
          <w:numId w:val="110"/>
        </w:numPr>
        <w:rPr>
          <w:rFonts w:ascii="Arial" w:cs="Arial" w:eastAsia="Arial" w:hAnsi="Arial"/>
          <w:sz w:val="20"/>
          <w:szCs w:val="20"/>
          <w:color w:val="auto"/>
        </w:rPr>
      </w:pPr>
      <w:r>
        <w:rPr>
          <w:rFonts w:ascii="Arial" w:cs="Arial" w:eastAsia="Arial" w:hAnsi="Arial"/>
          <w:sz w:val="18"/>
          <w:szCs w:val="18"/>
          <w:color w:val="auto"/>
        </w:rPr>
        <w:t>The U.S. Borrower shall pay to the Lenders such fees as shall have been separately agreed upon in writing in the amounts and at the times so specified.</w:t>
      </w:r>
    </w:p>
    <w:p>
      <w:pPr>
        <w:spacing w:after="0" w:line="169" w:lineRule="exact"/>
        <w:rPr>
          <w:sz w:val="20"/>
          <w:szCs w:val="20"/>
          <w:color w:val="auto"/>
        </w:rPr>
      </w:pPr>
    </w:p>
    <w:p>
      <w:pPr>
        <w:ind w:right="20" w:firstLine="648"/>
        <w:spacing w:after="0" w:line="279" w:lineRule="auto"/>
        <w:rPr>
          <w:sz w:val="20"/>
          <w:szCs w:val="20"/>
          <w:color w:val="auto"/>
        </w:rPr>
      </w:pPr>
      <w:r>
        <w:rPr>
          <w:rFonts w:ascii="Arial" w:cs="Arial" w:eastAsia="Arial" w:hAnsi="Arial"/>
          <w:sz w:val="20"/>
          <w:szCs w:val="20"/>
          <w:b w:val="1"/>
          <w:bCs w:val="1"/>
          <w:color w:val="auto"/>
        </w:rPr>
        <w:t xml:space="preserve">2.10 </w:t>
      </w:r>
      <w:r>
        <w:rPr>
          <w:rFonts w:ascii="Arial" w:cs="Arial" w:eastAsia="Arial" w:hAnsi="Arial"/>
          <w:sz w:val="17"/>
          <w:szCs w:val="17"/>
          <w:b w:val="1"/>
          <w:bCs w:val="1"/>
          <w:u w:val="single" w:color="auto"/>
          <w:color w:val="auto"/>
        </w:rPr>
        <w:t>Computation of Interest and Fees</w:t>
      </w:r>
      <w:r>
        <w:rPr>
          <w:rFonts w:ascii="Arial" w:cs="Arial" w:eastAsia="Arial" w:hAnsi="Arial"/>
          <w:sz w:val="17"/>
          <w:szCs w:val="17"/>
          <w:color w:val="auto"/>
        </w:rPr>
        <w:t>. All computations of interest for Base Rate Loans when the Base Rate is determined by JPMCB’s</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“prime rate” shall be made on the basis of a year of 365 or 366 days, as the case may be, and actual days elapsed. All computations of interest for Canadian U.S. Base Rate Loans when the Canadian U.S. Base Rate is determined by JPMorgan Chase Bank, N.A., Toronto Branch’s “reference rate of interest” and all computations of interest for Canadian Prime Rate Loans and any other Loans based on the CDOR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continued or converted from a Loan of another Type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2.12(a</w:t>
      </w:r>
      <w:r>
        <w:rPr>
          <w:rFonts w:ascii="Arial" w:cs="Arial" w:eastAsia="Arial" w:hAnsi="Arial"/>
          <w:sz w:val="17"/>
          <w:szCs w:val="17"/>
          <w:color w:val="auto"/>
        </w:rPr>
        <w:t>), bear interest for one day. Any change in the interest rate in a Loan resulting from a change in the Base Rate, the Canadian Prime Rate or the Eurodollar Reserve Percentage shall become effective as of the opening of business on the day on which such change becomes effective. Each determination by the applicable Facility Agent of an interest rate or fee hereunder shall be conclusive and binding for all purposes, absent manifest error.</w:t>
      </w:r>
    </w:p>
    <w:p>
      <w:pPr>
        <w:spacing w:after="0" w:line="17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For the purposes of the Interest Act (Canada), (a) whenever a rate of interest or fee rate hereunder is calculated on the basis of a year (the “</w:t>
      </w:r>
      <w:r>
        <w:rPr>
          <w:rFonts w:ascii="Arial" w:cs="Arial" w:eastAsia="Arial" w:hAnsi="Arial"/>
          <w:sz w:val="16"/>
          <w:szCs w:val="16"/>
          <w:u w:val="single" w:color="auto"/>
          <w:color w:val="auto"/>
        </w:rPr>
        <w:t>Deemed Year</w:t>
      </w:r>
      <w:r>
        <w:rPr>
          <w:rFonts w:ascii="Arial" w:cs="Arial" w:eastAsia="Arial" w:hAnsi="Arial"/>
          <w:sz w:val="16"/>
          <w:szCs w:val="16"/>
          <w:color w:val="auto"/>
        </w:rPr>
        <w:t>”) that contains fewer days than the actual number of days in the calendar year of calculation, such rate of interest or fee rate shall be expressed as a yearly rate by multiplying such rate of interest by the actual number of days in the calendar year of calculation and dividing it by the number of days in the Deemed Year, (b) the principle of deemed reinvestment of interest shall not apply to any interest calculation hereunder and (c) the rates of interest quoted by the Canadian Agent to any Borrower pursuant hereto are intended to be nominal rates and not effective rates or yields.</w:t>
      </w:r>
    </w:p>
    <w:p>
      <w:pPr>
        <w:spacing w:after="0" w:line="15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5"/>
          <w:szCs w:val="15"/>
          <w:b w:val="1"/>
          <w:bCs w:val="1"/>
          <w:u w:val="single" w:color="auto"/>
          <w:color w:val="auto"/>
        </w:rPr>
        <w:t>Evidence of Debt</w:t>
      </w:r>
      <w:r>
        <w:rPr>
          <w:rFonts w:ascii="Arial" w:cs="Arial" w:eastAsia="Arial" w:hAnsi="Arial"/>
          <w:sz w:val="15"/>
          <w:szCs w:val="15"/>
          <w:color w:val="auto"/>
        </w:rPr>
        <w:t>.</w:t>
      </w:r>
    </w:p>
    <w:p>
      <w:pPr>
        <w:spacing w:after="0" w:line="238" w:lineRule="exact"/>
        <w:rPr>
          <w:sz w:val="20"/>
          <w:szCs w:val="20"/>
          <w:color w:val="auto"/>
        </w:rPr>
      </w:pPr>
    </w:p>
    <w:p>
      <w:pPr>
        <w:ind w:firstLine="656"/>
        <w:spacing w:after="0" w:line="282" w:lineRule="auto"/>
        <w:tabs>
          <w:tab w:leader="none" w:pos="1044" w:val="left"/>
        </w:tabs>
        <w:numPr>
          <w:ilvl w:val="0"/>
          <w:numId w:val="111"/>
        </w:numPr>
        <w:rPr>
          <w:rFonts w:ascii="Arial" w:cs="Arial" w:eastAsia="Arial" w:hAnsi="Arial"/>
          <w:sz w:val="19"/>
          <w:szCs w:val="19"/>
          <w:color w:val="auto"/>
        </w:rPr>
      </w:pPr>
      <w:r>
        <w:rPr>
          <w:rFonts w:ascii="Arial" w:cs="Arial" w:eastAsia="Arial" w:hAnsi="Arial"/>
          <w:sz w:val="17"/>
          <w:szCs w:val="17"/>
          <w:color w:val="auto"/>
        </w:rPr>
        <w:t>The Credit Extensions made by each Lender shall be evidenced by one or more accounts or records maintained by such Lender and by the Administrative Agent, the Canadian Agent, the European Agent and any other applicable Facility Agent in the ordinary course of business. The accounts or records maintained by the Administrative Agent, the Canadian Agent, the European Agent and any other applicable Facility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the Canadian Agent, the European Agent and any other applicable Facility Agent in respect of such matters, the accounts and records of the Administrative Agent, the Canadian Agent, the European Agent and any other applicable Facility Agent shall control in the absence of manifest error.</w:t>
      </w:r>
    </w:p>
    <w:p>
      <w:pPr>
        <w:spacing w:after="0" w:line="187" w:lineRule="exact"/>
        <w:rPr>
          <w:rFonts w:ascii="Arial" w:cs="Arial" w:eastAsia="Arial" w:hAnsi="Arial"/>
          <w:sz w:val="19"/>
          <w:szCs w:val="19"/>
          <w:color w:val="auto"/>
        </w:rPr>
      </w:pPr>
    </w:p>
    <w:p>
      <w:pPr>
        <w:ind w:right="180" w:firstLine="656"/>
        <w:spacing w:after="0" w:line="310" w:lineRule="auto"/>
        <w:tabs>
          <w:tab w:leader="none" w:pos="1058" w:val="left"/>
        </w:tabs>
        <w:numPr>
          <w:ilvl w:val="0"/>
          <w:numId w:val="111"/>
        </w:numPr>
        <w:rPr>
          <w:rFonts w:ascii="Arial" w:cs="Arial" w:eastAsia="Arial" w:hAnsi="Arial"/>
          <w:sz w:val="18"/>
          <w:szCs w:val="18"/>
          <w:color w:val="auto"/>
        </w:rPr>
      </w:pPr>
      <w:r>
        <w:rPr>
          <w:rFonts w:ascii="Arial" w:cs="Arial" w:eastAsia="Arial" w:hAnsi="Arial"/>
          <w:sz w:val="16"/>
          <w:szCs w:val="16"/>
          <w:color w:val="auto"/>
        </w:rPr>
        <w:t>Upon the request of any Lender made through the Administrative Agent, the applicable Borrower shall execute and deliver to such Lender (through the Administrative Agent) a Note, which shall evidence such Lender’s Loans in addition to such accounts or records. Each Lender may attach schedules to a Note and endorse thereon the date, Type (if applicable), amount, currency and maturity of its Loans and payments with respect thereto.</w:t>
      </w:r>
    </w:p>
    <w:p>
      <w:pPr>
        <w:spacing w:after="0" w:line="161" w:lineRule="exact"/>
        <w:rPr>
          <w:rFonts w:ascii="Arial" w:cs="Arial" w:eastAsia="Arial" w:hAnsi="Arial"/>
          <w:sz w:val="18"/>
          <w:szCs w:val="18"/>
          <w:color w:val="auto"/>
        </w:rPr>
      </w:pPr>
    </w:p>
    <w:p>
      <w:pPr>
        <w:ind w:right="240" w:firstLine="656"/>
        <w:spacing w:after="0" w:line="310" w:lineRule="auto"/>
        <w:tabs>
          <w:tab w:leader="none" w:pos="1048" w:val="left"/>
        </w:tabs>
        <w:numPr>
          <w:ilvl w:val="0"/>
          <w:numId w:val="111"/>
        </w:numPr>
        <w:rPr>
          <w:rFonts w:ascii="Arial" w:cs="Arial" w:eastAsia="Arial" w:hAnsi="Arial"/>
          <w:sz w:val="18"/>
          <w:szCs w:val="18"/>
          <w:color w:val="auto"/>
        </w:rPr>
      </w:pPr>
      <w:r>
        <w:rPr>
          <w:rFonts w:ascii="Arial" w:cs="Arial" w:eastAsia="Arial" w:hAnsi="Arial"/>
          <w:sz w:val="16"/>
          <w:szCs w:val="16"/>
          <w:color w:val="auto"/>
        </w:rPr>
        <w:t xml:space="preserve">In addition to the accounts and records referred to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in this </w:t>
      </w:r>
      <w:r>
        <w:rPr>
          <w:rFonts w:ascii="Arial" w:cs="Arial" w:eastAsia="Arial" w:hAnsi="Arial"/>
          <w:sz w:val="16"/>
          <w:szCs w:val="16"/>
          <w:u w:val="single" w:color="auto"/>
          <w:color w:val="auto"/>
        </w:rPr>
        <w:t>Section 2.11</w:t>
      </w:r>
      <w:r>
        <w:rPr>
          <w:rFonts w:ascii="Arial" w:cs="Arial" w:eastAsia="Arial" w:hAnsi="Arial"/>
          <w:sz w:val="16"/>
          <w:szCs w:val="16"/>
          <w:color w:val="auto"/>
        </w:rPr>
        <w:t>, each Lender, the Administrative Agent, the Canadian Agent, the European Agent and any other applicable Facility Agent shall maintain in accordance with its usual practice accounts or records evidencing the purchases and sales by such Lender of participations in Letters of Credit and Swing Line Loans. In the event of any conflict</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773" w:right="359" w:bottom="1440" w:gutter="0" w:footer="0" w:header="0"/>
        </w:sectPr>
      </w:pPr>
    </w:p>
    <w:bookmarkStart w:id="144" w:name="page145"/>
    <w:bookmarkEnd w:id="144"/>
    <w:p>
      <w:pPr>
        <w:ind w:right="20"/>
        <w:spacing w:after="0" w:line="263" w:lineRule="auto"/>
        <w:rPr>
          <w:sz w:val="20"/>
          <w:szCs w:val="20"/>
          <w:color w:val="auto"/>
        </w:rPr>
      </w:pPr>
      <w:r>
        <w:rPr>
          <w:rFonts w:ascii="Arial" w:cs="Arial" w:eastAsia="Arial" w:hAnsi="Arial"/>
          <w:sz w:val="18"/>
          <w:szCs w:val="18"/>
          <w:color w:val="auto"/>
        </w:rPr>
        <w:t>between the accounts and records maintained by the Administrative Agent, the Canadian Agent, the European Agent or any other applicable Facility Agent and the accounts and records of any Lender in respect of such matters, the accounts and records of the Administrative Agent, the Canadian Agent, the European Agent and any other applicable Facility Agent shall control in the absence of manifest error.</w:t>
      </w:r>
    </w:p>
    <w:p>
      <w:pPr>
        <w:spacing w:after="0" w:line="197" w:lineRule="exact"/>
        <w:rPr>
          <w:sz w:val="20"/>
          <w:szCs w:val="20"/>
          <w:color w:val="auto"/>
        </w:rPr>
      </w:pPr>
    </w:p>
    <w:p>
      <w:pPr>
        <w:ind w:right="340" w:firstLine="656"/>
        <w:spacing w:after="0" w:line="266" w:lineRule="auto"/>
        <w:tabs>
          <w:tab w:leader="none" w:pos="1055" w:val="left"/>
        </w:tabs>
        <w:numPr>
          <w:ilvl w:val="0"/>
          <w:numId w:val="112"/>
        </w:numPr>
        <w:rPr>
          <w:rFonts w:ascii="Arial" w:cs="Arial" w:eastAsia="Arial" w:hAnsi="Arial"/>
          <w:sz w:val="20"/>
          <w:szCs w:val="20"/>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in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subject to the provisions of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regarding the Register and the Participant Register (as such terms are defined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6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6"/>
          <w:szCs w:val="16"/>
          <w:b w:val="1"/>
          <w:bCs w:val="1"/>
          <w:u w:val="single" w:color="auto"/>
          <w:color w:val="auto"/>
        </w:rPr>
        <w:t>Payments Generally; Applicable Facility Agent’s Clawback</w:t>
      </w:r>
      <w:r>
        <w:rPr>
          <w:rFonts w:ascii="Arial" w:cs="Arial" w:eastAsia="Arial" w:hAnsi="Arial"/>
          <w:sz w:val="16"/>
          <w:szCs w:val="16"/>
          <w:color w:val="auto"/>
        </w:rPr>
        <w:t>.</w:t>
      </w:r>
    </w:p>
    <w:p>
      <w:pPr>
        <w:spacing w:after="0" w:line="238" w:lineRule="exact"/>
        <w:rPr>
          <w:sz w:val="20"/>
          <w:szCs w:val="20"/>
          <w:color w:val="auto"/>
        </w:rPr>
      </w:pPr>
    </w:p>
    <w:p>
      <w:pPr>
        <w:ind w:right="20" w:firstLine="656"/>
        <w:spacing w:after="0" w:line="300" w:lineRule="auto"/>
        <w:tabs>
          <w:tab w:leader="none" w:pos="1048" w:val="left"/>
        </w:tabs>
        <w:numPr>
          <w:ilvl w:val="0"/>
          <w:numId w:val="113"/>
        </w:numPr>
        <w:rPr>
          <w:rFonts w:ascii="Arial" w:cs="Arial" w:eastAsia="Arial" w:hAnsi="Arial"/>
          <w:sz w:val="18"/>
          <w:szCs w:val="18"/>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Except as otherwise required by applicable Law, all payments to be made by a Borrower shall be made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the Canadian Agent or the European Agent, as applicable, for the account of the respective Lenders to which such payment is owed, at the Administrative Agent’s Office in Dollars, at the Canadian Agent’s Office in Canadian Dollars or Dollars or at the European Agent’s Office in Euros or Pounds Sterling, as applicable, and in immediately available funds not later than 2:00 p.m. on the date specified herein. Except as otherwise expressly provided herein, all payments by the Borrowers hereunder with respect to principal and interest on Loans denominated in an Alternative Currency shall be made to the applicable Facility Agent, for the account of the respective Lenders to which such payment is owed, at the applicable Facility Agent’s Office, in such Alternative Currency and in Same Day Funds not later than the Applicable Time specified by the applicable Facility Agent on the dates specified herein. If, for any reason, any Borrower is prohibited by any Law from making any required payment hereunder in an Alternative Currency, such Borrower shall make such payment in Dollars in the Dollar Equivalent of the Alternative Currency payment amount. The applicable Facility Agent will promptly distribute to each Lender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(or other applicable share as provided herein) of such payment in like funds as received by wire transfer to such Lender’s Lending Office. All payments received by the applicable Facility Agent (i) after 2:00 p.m. in the case of payments in Dollars, Canadian Dollars, Euros or Pounds Sterling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 Borrower shall come due on a day other than a Business Day, payment shall be made on the next following Business Day, and such extension of time shall be reflected in computing interest or fees,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extension would cause payment of interest on or principal of Eurodollar Rate Loans to be made in the next succeeding calendar month, such payment shall be made on the immediately preceding Business Day.</w:t>
      </w:r>
    </w:p>
    <w:p>
      <w:pPr>
        <w:spacing w:after="0" w:line="178" w:lineRule="exact"/>
        <w:rPr>
          <w:rFonts w:ascii="Arial" w:cs="Arial" w:eastAsia="Arial" w:hAnsi="Arial"/>
          <w:sz w:val="18"/>
          <w:szCs w:val="18"/>
          <w:color w:val="auto"/>
        </w:rPr>
      </w:pPr>
    </w:p>
    <w:p>
      <w:pPr>
        <w:ind w:firstLine="656"/>
        <w:spacing w:after="0" w:line="302" w:lineRule="auto"/>
        <w:tabs>
          <w:tab w:leader="none" w:pos="1058" w:val="left"/>
        </w:tabs>
        <w:numPr>
          <w:ilvl w:val="0"/>
          <w:numId w:val="113"/>
        </w:numPr>
        <w:rPr>
          <w:rFonts w:ascii="Arial" w:cs="Arial" w:eastAsia="Arial" w:hAnsi="Arial"/>
          <w:sz w:val="18"/>
          <w:szCs w:val="18"/>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Applicable Facility Agent</w:t>
      </w:r>
      <w:r>
        <w:rPr>
          <w:rFonts w:ascii="Arial" w:cs="Arial" w:eastAsia="Arial" w:hAnsi="Arial"/>
          <w:sz w:val="16"/>
          <w:szCs w:val="16"/>
          <w:color w:val="auto"/>
        </w:rPr>
        <w:t xml:space="preserve">. Unless the applicable Facility Agent shall have received notice from a Lender prior to the proposed date of any Borrowing that such Lender will not make available to the applicable Facility Agent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such Borrowing, the applicable Facility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may, in reliance upon such assumption, make available to a Borrower, a corresponding amount. In such event, if a Lender has not in fact made its share of the applicable Borrowing available to the applicable Facility Agent, then each of the applicable Lender and the applicable Borrower, agrees to pay to the applicable Facility Agent forthwith on demand such corresponding amount in immediately available funds (or, in the case of an amount demanded in any Alternative Currency, such corresponding amount in Same Day Funds) with interest thereon, for each day from and including the date such amount is made available to the applicable Borrower, to but excluding the date of payment to the applicable Facility Agent at (A) in the case of a payment to be made by such Lender, (i) with respect to amounts denominated in Dollars or Canadian Dollars, the greater of (x)(1) with respect to amounts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557" w:right="359" w:bottom="1440" w:gutter="0" w:footer="0" w:header="0"/>
        </w:sectPr>
      </w:pPr>
    </w:p>
    <w:bookmarkStart w:id="145" w:name="page146"/>
    <w:bookmarkEnd w:id="145"/>
    <w:p>
      <w:pPr>
        <w:ind w:right="120"/>
        <w:spacing w:after="0" w:line="286" w:lineRule="auto"/>
        <w:rPr>
          <w:sz w:val="20"/>
          <w:szCs w:val="20"/>
          <w:color w:val="auto"/>
        </w:rPr>
      </w:pPr>
      <w:r>
        <w:rPr>
          <w:rFonts w:ascii="Arial" w:cs="Arial" w:eastAsia="Arial" w:hAnsi="Arial"/>
          <w:sz w:val="16"/>
          <w:szCs w:val="16"/>
          <w:color w:val="auto"/>
        </w:rPr>
        <w:t xml:space="preserve">denominated in Dollars, the Federal Funds Rate and (2) with respect to amounts denominated in Canadian Dollars, the rate of interest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at which overnight deposits in any amount approximately equal to the amount with respect to which such rate is determined, would be offered for such day by JPMorgan Chase Bank, N.A., Toronto Branch, plus any administrative, processing or similar fees customarily charged by JPMorgan Chase Bank, N.A., Toronto Branch, and (y) a rate determined by the Administrative Agent, the Canadian Agent or the European Agent, as applicable, in accordance with banking industry rules on interbank compensation, (ii) with respect to amounts denominated in Euros or Pounds Sterling, a rate determined by the European Agent in accordance with banking industry rules on interbank compensation and (iii) with respect to amounts denominated in an Alternative Currency, the rate of interest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at which overnight deposits in the applicable Alternative Currency, in an amount approximately equal to the amount with respect to which such rate is being determined, would be offered for such day by a branch or Affiliate of JPMCB in the applicable offshore interbank market for such currency to major banks in such interbank market plus any administrative, processing or similar fees customarily charged by JPMCB and (B) in the case of a payment to be made by the applicable Borrower, the interest rate applicable to Loans of the Type comprising such Borrowing. If the applicable Borrower and such Lender shall pay such interest to the applicable Facility Agent for the same or an overlapping period, the applicable Facility Agent shall promptly remit to the applicable Borrower the amount of such interest paid by the applicable Borrower for such period. If such Lender pays its share of the applicable Borrowing to the applicable Facility Agent then the amount so paid shall constitute such Lender’s Revolving Loan, included in such Borrowing. Any payment by the applicable Borrower shall be without prejudice to any claim such Borrower may have against a Lender that shall have failed to make such payment to the applicable Facility Agent.</w:t>
      </w:r>
    </w:p>
    <w:p>
      <w:pPr>
        <w:spacing w:after="0" w:line="181" w:lineRule="exact"/>
        <w:rPr>
          <w:sz w:val="20"/>
          <w:szCs w:val="20"/>
          <w:color w:val="auto"/>
        </w:rPr>
      </w:pPr>
    </w:p>
    <w:p>
      <w:pPr>
        <w:ind w:firstLine="656"/>
        <w:spacing w:after="0" w:line="300" w:lineRule="auto"/>
        <w:tabs>
          <w:tab w:leader="none" w:pos="1015" w:val="left"/>
        </w:tabs>
        <w:numPr>
          <w:ilvl w:val="0"/>
          <w:numId w:val="114"/>
        </w:numPr>
        <w:rPr>
          <w:rFonts w:ascii="Arial" w:cs="Arial" w:eastAsia="Arial" w:hAnsi="Arial"/>
          <w:sz w:val="18"/>
          <w:szCs w:val="18"/>
          <w:color w:val="auto"/>
        </w:rPr>
      </w:pPr>
      <w:r>
        <w:rPr>
          <w:rFonts w:ascii="Arial" w:cs="Arial" w:eastAsia="Arial" w:hAnsi="Arial"/>
          <w:sz w:val="16"/>
          <w:szCs w:val="16"/>
          <w:u w:val="single" w:color="auto"/>
          <w:color w:val="auto"/>
        </w:rPr>
        <w:t>Payments by the Borrowers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Presumptions by Applicable Facility Agent</w:t>
      </w:r>
      <w:r>
        <w:rPr>
          <w:rFonts w:ascii="Arial" w:cs="Arial" w:eastAsia="Arial" w:hAnsi="Arial"/>
          <w:sz w:val="16"/>
          <w:szCs w:val="16"/>
          <w:color w:val="auto"/>
        </w:rPr>
        <w:t xml:space="preserve">. Unless the applicable Facility Agent shall have received notice from the applicable Borrower prior to the date on which any payment is due to the applicable Facility Agent for the account of the Lenders or an L/C Issuer hereunder that such Borrower will not make such payment, the applicable Facility Agent may assume that such Borrower has made such payment on such date in accordance herewith and may, in reliance upon such assumption, distribute to the Lenders or the applicable L/C Issuer, as the case may be, the amount due. In such event, if such Borrower has not in fact made such payment, then each of the Lenders or the applicable L/C Issuer, as the case may be, severally agrees to repay to the applicable Facility Agent forthwith on demand the amount so distributed to such Lender or such L/C Issuer, in immediately available funds (or, in the case of an amount distributed in any Alternative Currency, in Same Day Funds) with interest thereon, for each day from and including the date such amount is distributed to it to but excluding the date of payment to the applicable Facility Agent at (i) with respect to amounts denominated in Dollars or Canadian Dollars, the greater of (x)(A) with respect to amounts denominated in Dollars, the Federal Funds Rate and (B) with respect to amounts denominated in Canadian Dollars, the rate of interest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at which overnight deposits in any amount approximately equal to the amount with respect to which such rate is determined, would be offered for such day by JPMorgan Chase Bank, N.A., Toronto Branch, plus any administrative, processing or similar fees customarily charged by JPMorgan Chase Bank, N.A., Toronto Branch, and (y) a rate determined by the Administrative Agent, the Canadian Agent or the European Agent, as applicable, in accordance with banking industry rules on interbank compensation, (ii) with respect to amounts denominated in Euros or Pounds Sterling, a rate determined by the European Agent in accordance with banking industry rules on interbank compensation and (iii) with respect to amounts denominated in an Alternative Currency, the rate of interest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at which overnight deposits in the applicable Alternative Currency, in an amount approximately equal to the amount with respect to which such rate is being determined, would be offered for such day by a branch or Affiliate of JPMCB in the applicable offshore interbank market for such currency to major banks in such interbank market plus any administrative, processing or similar fees customarily charged by JPMCB. A notice of the applicable Facility Agent to any Lender or any Borrower with respect to any amount owing under this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shall be conclusive, absent manifest error.</w:t>
      </w:r>
    </w:p>
    <w:p>
      <w:pPr>
        <w:spacing w:after="0" w:line="178" w:lineRule="exact"/>
        <w:rPr>
          <w:sz w:val="20"/>
          <w:szCs w:val="20"/>
          <w:color w:val="auto"/>
        </w:rPr>
      </w:pPr>
    </w:p>
    <w:p>
      <w:pPr>
        <w:ind w:right="20" w:firstLine="656"/>
        <w:spacing w:after="0" w:line="284" w:lineRule="auto"/>
        <w:tabs>
          <w:tab w:leader="none" w:pos="1048" w:val="left"/>
        </w:tabs>
        <w:numPr>
          <w:ilvl w:val="0"/>
          <w:numId w:val="115"/>
        </w:numPr>
        <w:rPr>
          <w:rFonts w:ascii="Arial" w:cs="Arial" w:eastAsia="Arial" w:hAnsi="Arial"/>
          <w:sz w:val="19"/>
          <w:szCs w:val="19"/>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applicable Facility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a Borrower by the applicable Facility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applicable Facility Agent shall return such funds (in like funds as received from such Lender) to such Lender, without interest.</w:t>
      </w:r>
    </w:p>
    <w:p>
      <w:pPr>
        <w:spacing w:after="0" w:line="181" w:lineRule="exact"/>
        <w:rPr>
          <w:rFonts w:ascii="Arial" w:cs="Arial" w:eastAsia="Arial" w:hAnsi="Arial"/>
          <w:sz w:val="19"/>
          <w:szCs w:val="19"/>
          <w:color w:val="auto"/>
        </w:rPr>
      </w:pPr>
    </w:p>
    <w:p>
      <w:pPr>
        <w:ind w:right="140" w:firstLine="656"/>
        <w:spacing w:after="0" w:line="265" w:lineRule="auto"/>
        <w:tabs>
          <w:tab w:leader="none" w:pos="1058" w:val="left"/>
        </w:tabs>
        <w:numPr>
          <w:ilvl w:val="0"/>
          <w:numId w:val="115"/>
        </w:numPr>
        <w:rPr>
          <w:rFonts w:ascii="Arial" w:cs="Arial" w:eastAsia="Arial" w:hAnsi="Arial"/>
          <w:sz w:val="20"/>
          <w:szCs w:val="20"/>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Revolving Loans, to fund participations in Letters of Credit and Swing Line Loans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Revolving Loan, to fund any such participation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Revolving Loan, to purchase its participation or to make its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341" w:right="359" w:bottom="1440" w:gutter="0" w:footer="0" w:header="0"/>
        </w:sectPr>
      </w:pPr>
    </w:p>
    <w:bookmarkStart w:id="146" w:name="page147"/>
    <w:bookmarkEnd w:id="146"/>
    <w:p>
      <w:pPr>
        <w:ind w:firstLine="656"/>
        <w:spacing w:after="0" w:line="264" w:lineRule="auto"/>
        <w:tabs>
          <w:tab w:leader="none" w:pos="1048" w:val="left"/>
        </w:tabs>
        <w:numPr>
          <w:ilvl w:val="0"/>
          <w:numId w:val="116"/>
        </w:numPr>
        <w:rPr>
          <w:rFonts w:ascii="Arial" w:cs="Arial" w:eastAsia="Arial" w:hAnsi="Arial"/>
          <w:sz w:val="20"/>
          <w:szCs w:val="20"/>
          <w:color w:val="auto"/>
        </w:rPr>
      </w:pPr>
      <w:r>
        <w:rPr>
          <w:rFonts w:ascii="Arial" w:cs="Arial" w:eastAsia="Arial" w:hAnsi="Arial"/>
          <w:sz w:val="18"/>
          <w:szCs w:val="18"/>
          <w:u w:val="single" w:color="auto"/>
          <w:color w:val="auto"/>
        </w:rPr>
        <w:t>Funding Source</w:t>
      </w:r>
      <w:r>
        <w:rPr>
          <w:rFonts w:ascii="Arial" w:cs="Arial" w:eastAsia="Arial" w:hAnsi="Arial"/>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 Notwithstanding anything herein to the contrary, the Lenders may make and book Loans through any of their branches or Affiliates.</w:t>
      </w:r>
    </w:p>
    <w:p>
      <w:pPr>
        <w:spacing w:after="0" w:line="174" w:lineRule="exact"/>
        <w:rPr>
          <w:sz w:val="20"/>
          <w:szCs w:val="20"/>
          <w:color w:val="auto"/>
        </w:rPr>
      </w:pPr>
    </w:p>
    <w:p>
      <w:pPr>
        <w:ind w:right="40" w:firstLine="648"/>
        <w:spacing w:after="0" w:line="301" w:lineRule="auto"/>
        <w:rPr>
          <w:sz w:val="20"/>
          <w:szCs w:val="20"/>
          <w:color w:val="auto"/>
        </w:rPr>
      </w:pPr>
      <w:r>
        <w:rPr>
          <w:rFonts w:ascii="Arial" w:cs="Arial" w:eastAsia="Arial" w:hAnsi="Arial"/>
          <w:sz w:val="19"/>
          <w:szCs w:val="19"/>
          <w:b w:val="1"/>
          <w:bCs w:val="1"/>
          <w:color w:val="auto"/>
        </w:rPr>
        <w:t xml:space="preserve">2.13 </w:t>
      </w:r>
      <w:r>
        <w:rPr>
          <w:rFonts w:ascii="Arial" w:cs="Arial" w:eastAsia="Arial" w:hAnsi="Arial"/>
          <w:sz w:val="16"/>
          <w:szCs w:val="16"/>
          <w:b w:val="1"/>
          <w:bCs w:val="1"/>
          <w:u w:val="single" w:color="auto"/>
          <w:color w:val="auto"/>
        </w:rPr>
        <w:t>Sharing of Payments by Lenders</w:t>
      </w:r>
      <w:r>
        <w:rPr>
          <w:rFonts w:ascii="Arial" w:cs="Arial" w:eastAsia="Arial" w:hAnsi="Arial"/>
          <w:sz w:val="16"/>
          <w:szCs w:val="16"/>
          <w:color w:val="auto"/>
        </w:rPr>
        <w:t>. If (x) any U.S. Dollar Facility Lender shall, by exercising any right of setoff or counterclaim or</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otherwise, obtain payment in respect of any principal of or interest or fees on any of the U.S. Dollar Facility Revolving Loans made by it, or the participations in U.S. Dollar Facility L/C Obligations or in U.S. Dollar Facility Swing Line Loans held by it resulting in such U.S. Dollar Facility Lender’s receiving payment of a proportion of the aggregate amount of such U.S. Dollar Facility Revolving Loans or participations and accrued interest or fees thereon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(or other ratable share provided under this Agreement) thereof as provided herein, then the U.S. Dollar Facility Lender receiving such greater proportion shall (a) notify the Administrative Agent of such fact, and (b) purchase (for cash at face value) participations in the U.S. Dollar Facility Revolving Loans and subparticipations in U.S. Dollar Facility L/C Obligations and U.S. Dollar Facility Swing Line Loans of the other U.S. Dollar Facility Lenders, or make such other adjustments as shall be equitable, so that the benefit of all such payments shall be shared by the U.S. Dollar Facility Lenders ratably in accordance with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(or other ratable share provided under this Agreement) or (y) any Multicurrency Facility Lender shall, by exercising any right of setoff or counterclaim or otherwise, obtain payment in respect of any principal of or interest or fees on any of the Multicurrency Facility Revolving Loans made by it, or the participations in Multicurrency Facility L/C Obligations or in Multicurrency Facility Swing Line Loans held by it resulting in such Multicurrency Facility Lender’s receiving payment of a proportion of the aggregate amount of such Multicurrency Facility Revolving Loans or participations and accrued interest or fees thereon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(or other ratable share provided under this Agreement) thereof as provided herein, then the Multicurrency Facility Lender receiving such greater proportion shall (a) notify the applicable Facility Agent of such fact, and (b) purchase (for cash at face value) participations in the Multicurrency Facility Revolving Loans and subparticipations in Multicurrency Facility L/C Obligations and Multicurrency Facility Swing Line Loans of the other Multicurrency Facility Lenders, or make such other adjustments as shall be equitable, so that the benefit of all such payments shall be shared by the Multicurrency Facility Lenders ratably in accordance with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(or other ratable share provided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2" w:lineRule="exact"/>
        <w:rPr>
          <w:sz w:val="20"/>
          <w:szCs w:val="20"/>
          <w:color w:val="auto"/>
        </w:rPr>
      </w:pPr>
    </w:p>
    <w:p>
      <w:pPr>
        <w:ind w:left="660" w:right="220" w:firstLine="644"/>
        <w:spacing w:after="0" w:line="329" w:lineRule="auto"/>
        <w:tabs>
          <w:tab w:leader="none" w:pos="1675" w:val="left"/>
        </w:tabs>
        <w:numPr>
          <w:ilvl w:val="0"/>
          <w:numId w:val="117"/>
        </w:numPr>
        <w:rPr>
          <w:rFonts w:ascii="Arial" w:cs="Arial" w:eastAsia="Arial" w:hAnsi="Arial"/>
          <w:sz w:val="18"/>
          <w:szCs w:val="18"/>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39" w:lineRule="exact"/>
        <w:rPr>
          <w:rFonts w:ascii="Arial" w:cs="Arial" w:eastAsia="Arial" w:hAnsi="Arial"/>
          <w:sz w:val="18"/>
          <w:szCs w:val="18"/>
          <w:color w:val="auto"/>
        </w:rPr>
      </w:pPr>
    </w:p>
    <w:p>
      <w:pPr>
        <w:ind w:left="660" w:right="20" w:firstLine="644"/>
        <w:spacing w:after="0" w:line="265" w:lineRule="auto"/>
        <w:tabs>
          <w:tab w:leader="none" w:pos="1729" w:val="left"/>
        </w:tabs>
        <w:numPr>
          <w:ilvl w:val="0"/>
          <w:numId w:val="117"/>
        </w:numPr>
        <w:rPr>
          <w:rFonts w:ascii="Arial" w:cs="Arial" w:eastAsia="Arial" w:hAnsi="Arial"/>
          <w:sz w:val="20"/>
          <w:szCs w:val="20"/>
          <w:color w:val="auto"/>
        </w:rPr>
      </w:pPr>
      <w:r>
        <w:rPr>
          <w:rFonts w:ascii="Arial" w:cs="Arial" w:eastAsia="Arial" w:hAnsi="Arial"/>
          <w:sz w:val="18"/>
          <w:szCs w:val="18"/>
          <w:color w:val="auto"/>
        </w:rPr>
        <w:t>the provisions of this section shall not be construed to apply to (x) any payment made by a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Revolving Loans or subparticipations in L/C Obligations or Swing Line Loans to any assignee or participant, other than to such Borrower or any Subsidiary thereof (as to which the provisions of this section shall apply).</w:t>
      </w:r>
    </w:p>
    <w:p>
      <w:pPr>
        <w:spacing w:after="0" w:line="18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Sections 10.06(d)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8" w:lineRule="exact"/>
        <w:rPr>
          <w:sz w:val="20"/>
          <w:szCs w:val="20"/>
          <w:color w:val="auto"/>
        </w:rPr>
      </w:pPr>
    </w:p>
    <w:p>
      <w:pPr>
        <w:ind w:right="80" w:firstLine="648"/>
        <w:spacing w:after="0" w:line="305" w:lineRule="auto"/>
        <w:rPr>
          <w:sz w:val="20"/>
          <w:szCs w:val="20"/>
          <w:color w:val="auto"/>
        </w:rPr>
      </w:pPr>
      <w:r>
        <w:rPr>
          <w:rFonts w:ascii="Arial" w:cs="Arial" w:eastAsia="Arial" w:hAnsi="Arial"/>
          <w:sz w:val="19"/>
          <w:szCs w:val="19"/>
          <w:b w:val="1"/>
          <w:bCs w:val="1"/>
          <w:color w:val="auto"/>
        </w:rPr>
        <w:t xml:space="preserve">2.14 </w:t>
      </w:r>
      <w:r>
        <w:rPr>
          <w:rFonts w:ascii="Arial" w:cs="Arial" w:eastAsia="Arial" w:hAnsi="Arial"/>
          <w:sz w:val="16"/>
          <w:szCs w:val="16"/>
          <w:b w:val="1"/>
          <w:bCs w:val="1"/>
          <w:u w:val="single" w:color="auto"/>
          <w:color w:val="auto"/>
        </w:rPr>
        <w:t>Incremental Credit Extensions</w:t>
      </w:r>
      <w:r>
        <w:rPr>
          <w:rFonts w:ascii="Arial" w:cs="Arial" w:eastAsia="Arial" w:hAnsi="Arial"/>
          <w:sz w:val="16"/>
          <w:szCs w:val="16"/>
          <w:color w:val="auto"/>
        </w:rPr>
        <w:t>.</w:t>
      </w:r>
      <w:r>
        <w:rPr>
          <w:rFonts w:ascii="Arial" w:cs="Arial" w:eastAsia="Arial" w:hAnsi="Arial"/>
          <w:sz w:val="19"/>
          <w:szCs w:val="19"/>
          <w:b w:val="1"/>
          <w:bCs w:val="1"/>
          <w:color w:val="auto"/>
        </w:rPr>
        <w:t xml:space="preserve"> </w:t>
      </w:r>
      <w:r>
        <w:rPr>
          <w:rFonts w:ascii="Arial" w:cs="Arial" w:eastAsia="Arial" w:hAnsi="Arial"/>
          <w:sz w:val="16"/>
          <w:szCs w:val="16"/>
          <w:color w:val="auto"/>
          <w:strike w:val="1"/>
        </w:rPr>
        <w:t>The</w:t>
      </w:r>
      <w:r>
        <w:rPr>
          <w:rFonts w:ascii="Arial" w:cs="Arial" w:eastAsia="Arial" w:hAnsi="Arial"/>
          <w:sz w:val="16"/>
          <w:szCs w:val="16"/>
          <w:u w:val="single" w:color="auto"/>
          <w:color w:val="auto"/>
        </w:rPr>
        <w:t>*Other than during the Restricted Period, the*</w:t>
      </w:r>
      <w:r>
        <w:rPr>
          <w:rFonts w:ascii="Arial" w:cs="Arial" w:eastAsia="Arial" w:hAnsi="Arial"/>
          <w:sz w:val="19"/>
          <w:szCs w:val="19"/>
          <w:b w:val="1"/>
          <w:bCs w:val="1"/>
          <w:color w:val="auto"/>
        </w:rPr>
        <w:t xml:space="preserve"> </w:t>
      </w:r>
      <w:r>
        <w:rPr>
          <w:rFonts w:ascii="Arial" w:cs="Arial" w:eastAsia="Arial" w:hAnsi="Arial"/>
          <w:sz w:val="16"/>
          <w:szCs w:val="16"/>
          <w:color w:val="auto"/>
        </w:rPr>
        <w:t>U.S. Borrower may at any time or from time to time</w:t>
      </w:r>
      <w:r>
        <w:rPr>
          <w:rFonts w:ascii="Arial" w:cs="Arial" w:eastAsia="Arial" w:hAnsi="Arial"/>
          <w:sz w:val="19"/>
          <w:szCs w:val="19"/>
          <w:b w:val="1"/>
          <w:bCs w:val="1"/>
          <w:color w:val="auto"/>
        </w:rPr>
        <w:t xml:space="preserve"> </w:t>
      </w:r>
      <w:r>
        <w:rPr>
          <w:rFonts w:ascii="Arial" w:cs="Arial" w:eastAsia="Arial" w:hAnsi="Arial"/>
          <w:sz w:val="16"/>
          <w:szCs w:val="16"/>
          <w:color w:val="auto"/>
        </w:rPr>
        <w:t>after the Closing Date, by notice to the Administrative Agent, the Canadian Agent, the European Agent and any other applicable Facility Agent (whereupon the Administrative Agent shall promptly deliver a copy to each of the Lenders), request (i) one or more increases in the amount of (x) the U.S. Dollar Facility Commitments to be made available to the U.S. Borrower (each such increase, a “</w:t>
      </w:r>
      <w:r>
        <w:rPr>
          <w:rFonts w:ascii="Arial" w:cs="Arial" w:eastAsia="Arial" w:hAnsi="Arial"/>
          <w:sz w:val="16"/>
          <w:szCs w:val="16"/>
          <w:u w:val="single" w:color="auto"/>
          <w:color w:val="auto"/>
        </w:rPr>
        <w:t>U.S. Dollar Facility Commitment Increase</w:t>
      </w:r>
      <w:r>
        <w:rPr>
          <w:rFonts w:ascii="Arial" w:cs="Arial" w:eastAsia="Arial" w:hAnsi="Arial"/>
          <w:sz w:val="16"/>
          <w:szCs w:val="16"/>
          <w:color w:val="auto"/>
        </w:rPr>
        <w:t>”), or (y) the Multicurrency Facility Commitments to be made available to the U.S. Borrower, the Canadian Borrower and the Dutch Borrower (each such increase, a “</w:t>
      </w:r>
      <w:r>
        <w:rPr>
          <w:rFonts w:ascii="Arial" w:cs="Arial" w:eastAsia="Arial" w:hAnsi="Arial"/>
          <w:sz w:val="16"/>
          <w:szCs w:val="16"/>
          <w:u w:val="single" w:color="auto"/>
          <w:color w:val="auto"/>
        </w:rPr>
        <w:t>Multicurrency Facility Commitment Increase</w:t>
      </w:r>
      <w:r>
        <w:rPr>
          <w:rFonts w:ascii="Arial" w:cs="Arial" w:eastAsia="Arial" w:hAnsi="Arial"/>
          <w:sz w:val="16"/>
          <w:szCs w:val="16"/>
          <w:color w:val="auto"/>
        </w:rPr>
        <w:t>”) or (ii) to add one or more tranches of term loans (each,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both</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787" w:right="339" w:bottom="1440" w:gutter="0" w:footer="0" w:header="0"/>
        </w:sectPr>
      </w:pPr>
    </w:p>
    <w:bookmarkStart w:id="147" w:name="page148"/>
    <w:bookmarkEnd w:id="147"/>
    <w:p>
      <w:pPr>
        <w:spacing w:after="0" w:line="283" w:lineRule="auto"/>
        <w:rPr>
          <w:sz w:val="20"/>
          <w:szCs w:val="20"/>
          <w:color w:val="auto"/>
        </w:rPr>
      </w:pPr>
      <w:r>
        <w:rPr>
          <w:rFonts w:ascii="Arial" w:cs="Arial" w:eastAsia="Arial" w:hAnsi="Arial"/>
          <w:sz w:val="16"/>
          <w:szCs w:val="16"/>
          <w:color w:val="auto"/>
        </w:rPr>
        <w:t>at the time of any such request and upon the effectiveness of any Incremental Amendment referred to below, no Default or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Lenders providing any such Loans constituting Incremental Term Loans may agree to a ”funds certain” provision that does not impose as a condition to funding thereof that no Default or Event of Default exist at the time of funding or requires only a bring down of only certain representations and warranties, in which case such “funds certain” provision shall be applicable) shall exist and at the time that any such Commitment Increase or Incremental Term Loan is provided (and after giving effect thereto) no Default or Event of Default shall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Lenders providing any such Loans constituting Incremental Term Loans may agree to a “funds certain” provision that does not impose as a condition to funding thereof that no Default or Event of Default exist at the time of funding or requires only a bring down of only certain representations and warranties, in which case such “funds certain” provision shall be applicable) and the U.S. Borrower shall be in compliance with each of the covenants set forth in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determined on a Pro forma Basis as of the last day of the most recently ended Test Period as if the Commitments, after giving effect to such Commitment Increase, had been fully drawn on the last day of such fiscal quarter of the U.S. Borrower for testing compliance therewith. Each Incremental Term Loan shall be in an aggregate principal amount not less than $25,000,000 and each Commitment Increase shall be in an aggregate principal amount that is not less than $10,000,000. Notwithstanding anything to the contrary herein, (i) the aggregate amount of U.S. Dollar Facility Commitment Increases and Incremental Term Loans made available only to the U.S. Borrower in Dollars shall not exceed (A) $350,000,000 plus (B) an unlimited amount so long as the Consolidated First Lien Leverage Ratio (determined on a Pro forma Basis as of the last day of the most recently ended Test Period as if the Commitments, including any requested Commitment Increase, had been fully drawn and any requested Incremental Term Loan had been made) is less than or equal to 2.25:1.00;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U.S. Dollar Facility Commitment Increase or Incremental Term Loan made available pursuant to this clause (i) may be incurred under either clauses (A) or (B) above in the Borrowers’ discretion, and absent an election, to the extent that the Consolidated First Lien Leverage Ratio set forth in clause (B) above has been satisfied, such U.S. Dollar Facility Increase or Incremental Term Loan will be deemed to have been made pursuant to clause (B) above, and (ii) the aggregate amount of Multicurrency Facility Commitment Increases and Incremental Term Loans made available to the U.S. Borrower, the Canadian Borrower or the Dutch Borrower in Dollars, Canadian Dollars, Euros, Pound Sterling or any Alternative Currency shall not exceed $75,000,000. Each U.S. Dollar Facility Commitment Increase shall be on the same terms and conditions as the U.S. Dollar Facility Commitments in effect immediately prior to such U.S. Dollar Facility Commitment Increase. Each Multicurrency Facility Commitment Increase shall be on the same terms and conditions as the Multicurrency Facility Commitments in effect immediately prior to such Multicurrency Facility Commitment Increase. The terms of any Incremental Term Loans shall be as set forth in an Incremental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final maturity date of any Incremental Term Loans shall be no earlier than the U.S. Dollar Facility Maturity Date, (ii) the all-in-yield (whether in the form of interest rate margins, original issue discount, upfront fees, or any interest rate floor) for the Incremental Term Loans shall be determined by the U.S. Borrower and the lenders providing such Incremental Term Loans and any prepayment premiums applicable to any Incremental Term Loans will be determined by the U.S. Borrower and the lenders providing such Incremental Term Loans, (iii) any Incremental Term Loans will rank pari passu in right of payment and be secured on a pari passu basis with the obligations in respect of the Aggregate U.S. Dollar Facility Commitments, (iv) subject to clause (i), the amortization schedule applicable to any Incremental Term Loans shall be determined by the U.S. Borrower and the lenders thereunder, (v) the mandatory prepayments applicable to any Incremental Term Loans will be determined by the U.S. Borrower and the lenders providing such Incremental Term Loans and (vi) any Incremental Term Loans shall otherwise be on terms and pursuant to documentation reasonably satisfactory to the Administrative Agent. Each notice from the U.S. Borrower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set forth the requested amount of the relevant Commitment Increase or Incremental Term Loans. (x) Incremental Term Loans may be provided by any existing Lender or any Additional Lender reasonably acceptable to the Administrative Agent, (y) U.S. Dollar Facility Commitment Increases may be provided by any existing U.S. Dollar Facility Lender (and each existing U.S. Dollar Facility Lender will have the right to provide a portion of any U.S. Dollar Facility Commitment Increase, in each case on terms permitted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Multicurrency Facility Commitment Increases may be provided by any existing Multicurrency Facility Lender (and each existing Multicurrency Facility Lender will have the right to provide a portion of any Multicurrency Facility Commitment Increase, in each case on terms permitted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Administrative Agent shall have consented (not to be unreasonably withheld) to such Lender’s providing such Incremental Term Loan if such consent would be required under </w:t>
      </w:r>
      <w:r>
        <w:rPr>
          <w:rFonts w:ascii="Arial" w:cs="Arial" w:eastAsia="Arial" w:hAnsi="Arial"/>
          <w:sz w:val="16"/>
          <w:szCs w:val="16"/>
          <w:u w:val="single" w:color="auto"/>
          <w:color w:val="auto"/>
        </w:rPr>
        <w:t>Section 10.06(a)</w:t>
      </w:r>
      <w:r>
        <w:rPr>
          <w:rFonts w:ascii="Arial" w:cs="Arial" w:eastAsia="Arial" w:hAnsi="Arial"/>
          <w:sz w:val="16"/>
          <w:szCs w:val="16"/>
          <w:color w:val="auto"/>
        </w:rPr>
        <w:t xml:space="preserve"> for an assignment of Loans or Commitments, as applicable, to such Lender and (ii) each of the Administrative Agent, the applicable Facility Agent (in the case of a Multicurrency Facility Commitment Increase), the applicable Swing Line Lender and the applicable L/C Issuers shall have consented (not to be unreasonably withheld) to such Lender’s providing such Commitment Increase, in each case, if such consent would be required under </w:t>
      </w:r>
      <w:r>
        <w:rPr>
          <w:rFonts w:ascii="Arial" w:cs="Arial" w:eastAsia="Arial" w:hAnsi="Arial"/>
          <w:sz w:val="16"/>
          <w:szCs w:val="16"/>
          <w:u w:val="single" w:color="auto"/>
          <w:color w:val="auto"/>
        </w:rPr>
        <w:t>Section 10.06(a)</w:t>
      </w:r>
      <w:r>
        <w:rPr>
          <w:rFonts w:ascii="Arial" w:cs="Arial" w:eastAsia="Arial" w:hAnsi="Arial"/>
          <w:sz w:val="16"/>
          <w:szCs w:val="16"/>
          <w:color w:val="auto"/>
        </w:rPr>
        <w:t xml:space="preserve"> for 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557" w:right="359" w:bottom="1440" w:gutter="0" w:footer="0" w:header="0"/>
        </w:sectPr>
      </w:pPr>
    </w:p>
    <w:bookmarkStart w:id="148" w:name="page149"/>
    <w:bookmarkEnd w:id="148"/>
    <w:p>
      <w:pPr>
        <w:ind w:right="20"/>
        <w:spacing w:after="0" w:line="284" w:lineRule="auto"/>
        <w:rPr>
          <w:sz w:val="20"/>
          <w:szCs w:val="20"/>
          <w:color w:val="auto"/>
        </w:rPr>
      </w:pPr>
      <w:r>
        <w:rPr>
          <w:rFonts w:ascii="Arial" w:cs="Arial" w:eastAsia="Arial" w:hAnsi="Arial"/>
          <w:sz w:val="16"/>
          <w:szCs w:val="16"/>
          <w:color w:val="auto"/>
        </w:rPr>
        <w:t>assignment of Loans or Commitments, as applicable, to such Lender. Each applicable existing Lender shall, by notice to the U.S. Borrower and the Administrative Agent given not later than 10 days after the date of the Administrative Agent’s notice delivered pursuant to the first sentence of this paragraph, either agree to make a portion of any Commitment Increase or Incremental Term Loan, or decline to do so (and any existing Lender that does not deliver such notice within such period of 10 days shall be deemed to have declined to do so). In the event that, on the 10th day after the Administrative Agent shall have delivered the notice pursuant to the first sentence of this paragraph, the applicable existing Lenders shall have agreed pursuant to the preceding sentence to provide any Commitment Increase or Incremental Term Loan, as applicable, in an aggregate amount less than the amount requested by the U.S. Borrower, any Commitment Increase or Incremental Term Loan may be provided by any other bank or other financial institution (any such other bank or other financial institution being called an “</w:t>
      </w:r>
      <w:r>
        <w:rPr>
          <w:rFonts w:ascii="Arial" w:cs="Arial" w:eastAsia="Arial" w:hAnsi="Arial"/>
          <w:sz w:val="16"/>
          <w:szCs w:val="16"/>
          <w:u w:val="single" w:color="auto"/>
          <w:color w:val="auto"/>
        </w:rPr>
        <w:t>Additional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Administrative Agent shall have consented (not to be unreasonably withheld) to such Additional Lender’s providing such Incremental Term Loan if such consent would be required under </w:t>
      </w:r>
      <w:r>
        <w:rPr>
          <w:rFonts w:ascii="Arial" w:cs="Arial" w:eastAsia="Arial" w:hAnsi="Arial"/>
          <w:sz w:val="16"/>
          <w:szCs w:val="16"/>
          <w:u w:val="single" w:color="auto"/>
          <w:color w:val="auto"/>
        </w:rPr>
        <w:t>Section 10.06(a)</w:t>
      </w:r>
      <w:r>
        <w:rPr>
          <w:rFonts w:ascii="Arial" w:cs="Arial" w:eastAsia="Arial" w:hAnsi="Arial"/>
          <w:sz w:val="16"/>
          <w:szCs w:val="16"/>
          <w:color w:val="auto"/>
        </w:rPr>
        <w:t xml:space="preserve"> for an assignment of Loans or Commitments, as applicable, to such Lender and (ii) each of the Administrative Agent, the applicable Facility Agent (in the case of a Multicurrency Facility Commitment Increase), the applicable Swing Line Lender and the applicable L/C Issuers shall have consented (not to be unreasonably withheld) to such Additional Lender’s providing such Commitment Increase, in each case, if such consent would be required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10.06(a)</w:t>
      </w:r>
      <w:r>
        <w:rPr>
          <w:rFonts w:ascii="Arial" w:cs="Arial" w:eastAsia="Arial" w:hAnsi="Arial"/>
          <w:sz w:val="16"/>
          <w:szCs w:val="16"/>
          <w:color w:val="auto"/>
        </w:rPr>
        <w:t xml:space="preserve"> for an assignment of Loans or Commitments, as applicable, to such Additional Lender. (x) Commitments in respect of Commitment Increases shall become Commitments (or in the case of a Commitment Increase to be provided by an existing Lender that already has such a Commitment, an increase in such Lender’s U.S. Dollar Facility Commitment or Multicurrency Facility Commitment, as the case may be) under this Agreement and (y) Incremental Term Loans, in each case, shall be effected pursuant to an amendment (an “</w:t>
      </w:r>
      <w:r>
        <w:rPr>
          <w:rFonts w:ascii="Arial" w:cs="Arial" w:eastAsia="Arial" w:hAnsi="Arial"/>
          <w:sz w:val="16"/>
          <w:szCs w:val="16"/>
          <w:u w:val="single" w:color="auto"/>
          <w:color w:val="auto"/>
        </w:rPr>
        <w:t>Incremental Amendment</w:t>
      </w:r>
      <w:r>
        <w:rPr>
          <w:rFonts w:ascii="Arial" w:cs="Arial" w:eastAsia="Arial" w:hAnsi="Arial"/>
          <w:sz w:val="16"/>
          <w:szCs w:val="16"/>
          <w:color w:val="auto"/>
        </w:rPr>
        <w:t>”) to this Agreement and, as appropriate, the other Loan Documents, executed by the U.S. Borrower, the Canadian Borrower (in the case of a Multicurrency Facility Commitment Increase for the benefit of the Canadian Borrower), the Dutch Borrower (in the case of a Multicurrency Facility Commitment Increase for the benefit of the Dutch Borrower), each Lender agreeing to provide such Commitment or Incremental Term Loans, if any, each Additional Lender, if any, the Administrative Agent, and, in the case of a Multicurrency Facility Commitment Increase, the applicable Facility Agent. The Incremental Amendment may, without the consent of any other Lenders, effect such amendments to this Agreement and the other Loan Documents as may be necessary or appropriate, in the reasonable opinion of the Administrative Agent, to effect the provisions of this Section. The effectiveness of any Incremental Amendment shall be subject to the satisfaction on the date thereof (each, an “</w:t>
      </w:r>
      <w:r>
        <w:rPr>
          <w:rFonts w:ascii="Arial" w:cs="Arial" w:eastAsia="Arial" w:hAnsi="Arial"/>
          <w:sz w:val="16"/>
          <w:szCs w:val="16"/>
          <w:u w:val="single" w:color="auto"/>
          <w:color w:val="auto"/>
        </w:rPr>
        <w:t>Incremental Facility Closing Date</w:t>
      </w:r>
      <w:r>
        <w:rPr>
          <w:rFonts w:ascii="Arial" w:cs="Arial" w:eastAsia="Arial" w:hAnsi="Arial"/>
          <w:sz w:val="16"/>
          <w:szCs w:val="16"/>
          <w:color w:val="auto"/>
        </w:rPr>
        <w:t xml:space="preserve">”) of each of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(it being understood that all references to “the date of such Credit Extension” or similar language in such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shall be deemed to refer to the Incremental Facility Closing Date of such Incremental Amendment) and such other conditions as the parties thereto shall agree.</w:t>
      </w:r>
    </w:p>
    <w:p>
      <w:pPr>
        <w:spacing w:after="0" w:line="17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Subject to the minimum principal amount requirements specified above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no more than five Incremental Facility Closing Dates may be selected by the U.S. Borrower (it being understood and agreed that a U.S. Dollar Facility Commitment Increase and Multicurrency Facility Commitment Increase consummated on the same day shall constitute a single Incremental Facility Closing Date). The U.S. Borrower will use the proceeds of the Commitment Increases and Incremental Term Loans for any purpose not prohibited by this Agreement. No Lender shall be obligated to provide any Commitment Increases or Incremental Term Loans, unless it so agrees in its sole discretion. Upon each increase in the U.S. Dollar Facility Commitments pursuant to this Section, each U.S. Dollar Facility Lender immediately prior to such increase will automatically and without further act be deemed to have assigned to each Lender providing a portion of the U.S. Dollar Facility Commitment Increase (each a “</w:t>
      </w:r>
      <w:r>
        <w:rPr>
          <w:rFonts w:ascii="Arial" w:cs="Arial" w:eastAsia="Arial" w:hAnsi="Arial"/>
          <w:sz w:val="16"/>
          <w:szCs w:val="16"/>
          <w:u w:val="single" w:color="auto"/>
          <w:color w:val="auto"/>
        </w:rPr>
        <w:t>U.S. Dollar Facility Commitment Increase Lender</w:t>
      </w:r>
      <w:r>
        <w:rPr>
          <w:rFonts w:ascii="Arial" w:cs="Arial" w:eastAsia="Arial" w:hAnsi="Arial"/>
          <w:sz w:val="16"/>
          <w:szCs w:val="16"/>
          <w:color w:val="auto"/>
        </w:rPr>
        <w:t>”), and each such U.S. Dollar Facility Commitment Increase Lender will automatically and without further act be deemed to have assumed, a portion of such Lender’s participations hereunder in outstanding U.S. Dollar Facility Letters of Credit and U.S. Dollar Facility Swing Line Loans such that, after giving effect to each such deemed assignment and assumption of participations, the percentage of the aggregate outstanding (i) participations hereunder in U.S. Dollar Facility Letters of Credit and (ii) participations hereunder in U.S. Dollar Facility Swing Line Loans held by each U.S. Dollar Facility Lender (including each such U.S. Dollar Facility Commitment Increase Lender) will equal the percentage of the aggregate U.S. Dollar Facility Commitments of all U.S. Dollar Facility Lenders represented by such U.S. Dollar Facility Lender’s U.S. Dollar Facility Commitment and (b) if, on the date of such increase, there are any U.S. Dollar Facility Revolving Loans outstanding, such U.S. Dollar Facility Revolving Loans shall on or prior to the effectiveness of such U.S. Dollar Facility Commitment Increase be prepaid from the proceeds of additional U.S. Dollar Facility Revolving Loans made hereunder (reflecting such increase in U.S. Dollar Facility Commitments), which prepayment shall be accompanied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341" w:right="359" w:bottom="1440" w:gutter="0" w:footer="0" w:header="0"/>
        </w:sectPr>
      </w:pPr>
    </w:p>
    <w:bookmarkStart w:id="149" w:name="page150"/>
    <w:bookmarkEnd w:id="149"/>
    <w:p>
      <w:pPr>
        <w:ind w:right="20"/>
        <w:spacing w:after="0" w:line="285" w:lineRule="auto"/>
        <w:rPr>
          <w:sz w:val="20"/>
          <w:szCs w:val="20"/>
          <w:color w:val="auto"/>
        </w:rPr>
      </w:pPr>
      <w:r>
        <w:rPr>
          <w:rFonts w:ascii="Arial" w:cs="Arial" w:eastAsia="Arial" w:hAnsi="Arial"/>
          <w:sz w:val="16"/>
          <w:szCs w:val="16"/>
          <w:color w:val="auto"/>
        </w:rPr>
        <w:t xml:space="preserve">by accrued interest on the U.S. Dollar Facility Revolving Loans being prepaid and any costs incurred by any U.S. Dollar Facility Lender in accordance with </w:t>
      </w:r>
      <w:r>
        <w:rPr>
          <w:rFonts w:ascii="Arial" w:cs="Arial" w:eastAsia="Arial" w:hAnsi="Arial"/>
          <w:sz w:val="16"/>
          <w:szCs w:val="16"/>
          <w:u w:val="single" w:color="auto"/>
          <w:color w:val="auto"/>
        </w:rPr>
        <w:t>Section 3.05</w:t>
      </w:r>
      <w:r>
        <w:rPr>
          <w:rFonts w:ascii="Arial" w:cs="Arial" w:eastAsia="Arial" w:hAnsi="Arial"/>
          <w:sz w:val="16"/>
          <w:szCs w:val="16"/>
          <w:color w:val="auto"/>
        </w:rPr>
        <w:t>. Upon each increase in the Multicurrency Facility Commitments pursuant to this Section, each Multicurrency Facility Lender immediately prior to such increase will automatically and without further act be deemed to have assigned to each Lender providing a portion of the Multicurrency Facility Commitment Increase (each a “</w:t>
      </w:r>
      <w:r>
        <w:rPr>
          <w:rFonts w:ascii="Arial" w:cs="Arial" w:eastAsia="Arial" w:hAnsi="Arial"/>
          <w:sz w:val="16"/>
          <w:szCs w:val="16"/>
          <w:u w:val="single" w:color="auto"/>
          <w:color w:val="auto"/>
        </w:rPr>
        <w:t>Multicurrency Facility Commitment Increase Lender</w:t>
      </w:r>
      <w:r>
        <w:rPr>
          <w:rFonts w:ascii="Arial" w:cs="Arial" w:eastAsia="Arial" w:hAnsi="Arial"/>
          <w:sz w:val="16"/>
          <w:szCs w:val="16"/>
          <w:color w:val="auto"/>
        </w:rPr>
        <w:t xml:space="preserve">”), and each such Multicurrency Facility Commitment Increase Lender will automatically and without further act be deemed to have assumed, a portion of such Lender’s participations hereunder in outstanding Multicurrency Facility Letters of Credit and Multicurrency Facility Swing Line Loans such that, after giving effect to each such deemed assignment and assumption of participations, the percentage of the aggregate outstanding (i) participations hereunder in Multicurrency Facility Letters of Credit and (ii) participations hereunder in Multicurrency Facility Swing Line Loans held by each Multicurrency Facility Lender (including each such Multicurrency Facility Commitment Increase Lender) will equal the percentage of the aggregate Multicurrency Facility Commitments of all Multicurrency Facility Lenders represented by such Multicurrency Facility Lender’s Multicurrency Facility Commitment and (b) if, on the date of such increase, there are any Multicurrency Facility Revolving Loans outstanding, such Multicurrency Facility Revolving Loans shall on or prior to the effectiveness of such Multicurrency Facility Commitment Increase be prepaid from the proceeds of additional Multicurrency Facility Revolving Loans made hereunder (reflecting such increase in Multicurrency Facility Commitments), which prepayment shall be accompanied by accrued interest on the Multicurrency Facility Revolving Loans being prepaid and any costs incurred by any Multicurrency Facility Lender in accordance with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The Administrative Agent, the Canadian Agent, the European Agent, any other applicable Facility Agent and the Lenders hereby agree that the minimum borrowing,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borrowing and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payment requirements contained elsewhere in this Agreement shall not apply to the transactions effected pursuant to the two immediately preceding sentences.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10.01</w:t>
      </w:r>
      <w:r>
        <w:rPr>
          <w:rFonts w:ascii="Arial" w:cs="Arial" w:eastAsia="Arial" w:hAnsi="Arial"/>
          <w:sz w:val="16"/>
          <w:szCs w:val="16"/>
          <w:color w:val="auto"/>
        </w:rPr>
        <w:t xml:space="preserve"> to the contrary.</w:t>
      </w:r>
    </w:p>
    <w:p>
      <w:pPr>
        <w:spacing w:after="0" w:line="16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6"/>
          <w:szCs w:val="16"/>
          <w:b w:val="1"/>
          <w:bCs w:val="1"/>
          <w:u w:val="single" w:color="auto"/>
          <w:color w:val="auto"/>
        </w:rPr>
        <w:t>Cash Collateral</w:t>
      </w:r>
      <w:r>
        <w:rPr>
          <w:rFonts w:ascii="Arial" w:cs="Arial" w:eastAsia="Arial" w:hAnsi="Arial"/>
          <w:sz w:val="16"/>
          <w:szCs w:val="16"/>
          <w:color w:val="auto"/>
        </w:rPr>
        <w:t>.</w:t>
      </w:r>
    </w:p>
    <w:p>
      <w:pPr>
        <w:spacing w:after="0" w:line="238" w:lineRule="exact"/>
        <w:rPr>
          <w:sz w:val="20"/>
          <w:szCs w:val="20"/>
          <w:color w:val="auto"/>
        </w:rPr>
      </w:pPr>
    </w:p>
    <w:p>
      <w:pPr>
        <w:ind w:firstLine="656"/>
        <w:spacing w:after="0" w:line="282" w:lineRule="auto"/>
        <w:tabs>
          <w:tab w:leader="none" w:pos="1048" w:val="left"/>
        </w:tabs>
        <w:numPr>
          <w:ilvl w:val="0"/>
          <w:numId w:val="118"/>
        </w:numPr>
        <w:rPr>
          <w:rFonts w:ascii="Arial" w:cs="Arial" w:eastAsia="Arial" w:hAnsi="Arial"/>
          <w:sz w:val="19"/>
          <w:szCs w:val="19"/>
          <w:color w:val="auto"/>
        </w:rPr>
      </w:pPr>
      <w:r>
        <w:rPr>
          <w:rFonts w:ascii="Arial" w:cs="Arial" w:eastAsia="Arial" w:hAnsi="Arial"/>
          <w:sz w:val="17"/>
          <w:szCs w:val="17"/>
          <w:u w:val="single" w:color="auto"/>
          <w:color w:val="auto"/>
        </w:rPr>
        <w:t>Certain Credit Support Events</w:t>
      </w:r>
      <w:r>
        <w:rPr>
          <w:rFonts w:ascii="Arial" w:cs="Arial" w:eastAsia="Arial" w:hAnsi="Arial"/>
          <w:sz w:val="17"/>
          <w:szCs w:val="17"/>
          <w:color w:val="auto"/>
        </w:rPr>
        <w:t xml:space="preserve">. Upon the request of the Administrative Agent or the U.S. Dollar Facility L/C Issuer (i) if such L/C Issuer has honored any full or partial drawing request under any U.S. Dollar Facility Letter of Credit and such drawing has resulted in a U.S. Dollar Facility L/C Borrowing, or (ii) if, as of the applicable Letter of Credit Expiration Date, any U.S. Dollar Facility L/C Obligation for any reason remains outstanding, the U.S. Borrower shall, in each case, immediately Cash Collateralize the then Outstanding Amount of all U.S. Dollar Facility L/C Obligations. Upon the request of the applicable Facility Agent or the Multicurrency Facility L/C Issuer (i) if such L/C Issuer has honored any full or partial drawing request under any Multicurrency Facility Letter of Credit and such drawing has resulted in a Multicurrency Facility L/C Borrowing, or (ii) if, as of the applicable Letter of Credit Expiration Date, any Multicurrency Facility L/C Obligation for any reason remains outstanding, the U.S. Borrower shall, in each case, immediately Cash Collateralize the then Outstanding Amount of all Multicurrency Facility L/C Obligations. In addition, if the Administrative Agent notifies the U.S. Borrower at any time that the Outstanding Amount of all Multicurrency Facility L/C Obligations at such time exceeds 105% of the Multicurrency Facility Letter of Credit Sublimit then in effect, then, within two Business Days after receipt of such notice, the U.S. Borrower shall deliver to the Administrative Agent Cash Collateral in an amount equal to the amount by which the Outstanding Amount of all Multicurrency Facility L/C Obligations exceeds the Multicurrency Facility Letter of Credit Sublimit. At any time that there shall exist a Defaulting Lender, immediately upon the request of the applicable Facility Agent, the applicable L/C Issuer or the applicable Swing Line Lender, the U.S. Borrower shall deliver to the Administrative Agent Cash Collateral in an amount sufficient to cover all Fronting Exposure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and any Cash Collateral provided by the Defaulting Lender). If at any time the Administrative Agent determines that any funds held as Cash Collateral are subject to any right or claim of any Person other than the Administrative Agent or that the total amount of such funds is less than the aggregate Outstanding Amount of all L/C Obligations or Swing Line Loans, the U.S. Borrower will, forthwith upon demand by the Administrative Agent, pay to the Administrative Agent, as additional funds to be deposited as Cash Collateral, an amount equal to the excess of (x) such aggregate Outstanding Amount over (y) the total amount of funds, if any, then held as Cash Collateral that the Administrative Agent determines to be free and clear of any such right and claim. Upon the drawing of any Letter of Credit for which funds are on deposit as Cash Collateral, such funds shall be applied, to the extent permitted under applicable Laws, to reimburse the applicable L/C Issuer and the applicable Swing Line Lender.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341" w:right="359" w:bottom="1440" w:gutter="0" w:footer="0" w:header="0"/>
        </w:sectPr>
      </w:pPr>
    </w:p>
    <w:bookmarkStart w:id="150" w:name="page151"/>
    <w:bookmarkEnd w:id="150"/>
    <w:p>
      <w:pPr>
        <w:ind w:firstLine="656"/>
        <w:spacing w:after="0" w:line="277" w:lineRule="auto"/>
        <w:tabs>
          <w:tab w:leader="none" w:pos="1058" w:val="left"/>
        </w:tabs>
        <w:numPr>
          <w:ilvl w:val="0"/>
          <w:numId w:val="119"/>
        </w:numPr>
        <w:rPr>
          <w:rFonts w:ascii="Arial" w:cs="Arial" w:eastAsia="Arial" w:hAnsi="Arial"/>
          <w:sz w:val="19"/>
          <w:szCs w:val="19"/>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All Cash Collateral (other than credit support not constituting funds subject to deposit) shall be maintained in blocked, non-interest bearing deposit accounts at JPMC. The U.S. Borrower, and to the extent provided by any Lender, such Lender, hereby grants to (and subjects to the control of) the Administrative Agent, for the benefit of the Administrative Agent, each L/C Issuer and the Lenders (including each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2.15(c)</w:t>
      </w:r>
      <w:r>
        <w:rPr>
          <w:rFonts w:ascii="Arial" w:cs="Arial" w:eastAsia="Arial" w:hAnsi="Arial"/>
          <w:sz w:val="17"/>
          <w:szCs w:val="17"/>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U.S. Borrower or the</w:t>
      </w:r>
    </w:p>
    <w:p>
      <w:pPr>
        <w:spacing w:after="0" w:line="5" w:lineRule="exact"/>
        <w:rPr>
          <w:rFonts w:ascii="Arial" w:cs="Arial" w:eastAsia="Arial" w:hAnsi="Arial"/>
          <w:sz w:val="19"/>
          <w:szCs w:val="19"/>
          <w:color w:val="auto"/>
        </w:rPr>
      </w:pPr>
    </w:p>
    <w:p>
      <w:pPr>
        <w:ind w:right="720"/>
        <w:spacing w:after="0" w:line="292" w:lineRule="auto"/>
        <w:rPr>
          <w:rFonts w:ascii="Arial" w:cs="Arial" w:eastAsia="Arial" w:hAnsi="Arial"/>
          <w:sz w:val="19"/>
          <w:szCs w:val="19"/>
          <w:color w:val="auto"/>
        </w:rPr>
      </w:pPr>
      <w:r>
        <w:rPr>
          <w:rFonts w:ascii="Arial" w:cs="Arial" w:eastAsia="Arial" w:hAnsi="Arial"/>
          <w:sz w:val="18"/>
          <w:szCs w:val="18"/>
          <w:color w:val="auto"/>
        </w:rPr>
        <w:t>relevant Defaulting Lender will, promptly upon demand by the Administrative Agent, pay or provide to the Administrative Agent additional Cash Collateral in an amount sufficient to eliminate such deficiency.</w:t>
      </w:r>
    </w:p>
    <w:p>
      <w:pPr>
        <w:spacing w:after="0" w:line="170" w:lineRule="exact"/>
        <w:rPr>
          <w:rFonts w:ascii="Arial" w:cs="Arial" w:eastAsia="Arial" w:hAnsi="Arial"/>
          <w:sz w:val="19"/>
          <w:szCs w:val="19"/>
          <w:color w:val="auto"/>
        </w:rPr>
      </w:pPr>
    </w:p>
    <w:p>
      <w:pPr>
        <w:ind w:right="40" w:firstLine="656"/>
        <w:spacing w:after="0" w:line="265" w:lineRule="auto"/>
        <w:tabs>
          <w:tab w:leader="none" w:pos="1048" w:val="left"/>
        </w:tabs>
        <w:numPr>
          <w:ilvl w:val="0"/>
          <w:numId w:val="119"/>
        </w:numPr>
        <w:rPr>
          <w:rFonts w:ascii="Arial" w:cs="Arial" w:eastAsia="Arial" w:hAnsi="Arial"/>
          <w:sz w:val="20"/>
          <w:szCs w:val="20"/>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95" w:lineRule="exact"/>
        <w:rPr>
          <w:rFonts w:ascii="Arial" w:cs="Arial" w:eastAsia="Arial" w:hAnsi="Arial"/>
          <w:sz w:val="20"/>
          <w:szCs w:val="20"/>
          <w:color w:val="auto"/>
        </w:rPr>
      </w:pPr>
    </w:p>
    <w:p>
      <w:pPr>
        <w:ind w:right="80" w:firstLine="656"/>
        <w:spacing w:after="0" w:line="265" w:lineRule="auto"/>
        <w:tabs>
          <w:tab w:leader="none" w:pos="1058" w:val="left"/>
        </w:tabs>
        <w:numPr>
          <w:ilvl w:val="0"/>
          <w:numId w:val="119"/>
        </w:numPr>
        <w:rPr>
          <w:rFonts w:ascii="Arial" w:cs="Arial" w:eastAsia="Arial" w:hAnsi="Arial"/>
          <w:sz w:val="20"/>
          <w:szCs w:val="20"/>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10.06(b)(iv))</w:t>
      </w:r>
      <w:r>
        <w:rPr>
          <w:rFonts w:ascii="Arial" w:cs="Arial" w:eastAsia="Arial" w:hAnsi="Arial"/>
          <w:sz w:val="18"/>
          <w:szCs w:val="18"/>
          <w:color w:val="auto"/>
        </w:rPr>
        <w:t xml:space="preserve">) or (ii) the Administrative Agent’s good faith determination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(x) that Cash Collateral furnished by or on behalf of a Loan Party shall not be released during the continuance of a Default or Event of Default (and following application as provided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may be otherwise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and (y) the Person providing Cash Collateral and the applicable L/C Issuer or Swing Line Lender, as applicable, may agree that Cash Collateral shall not be released but instead held to support future anticipated Fronting Exposure or other obligations.</w:t>
      </w:r>
    </w:p>
    <w:p>
      <w:pPr>
        <w:spacing w:after="0" w:line="1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6"/>
          <w:szCs w:val="16"/>
          <w:b w:val="1"/>
          <w:bCs w:val="1"/>
          <w:u w:val="single" w:color="auto"/>
          <w:color w:val="auto"/>
        </w:rPr>
        <w:t>Defaulting Lenders</w:t>
      </w:r>
      <w:r>
        <w:rPr>
          <w:rFonts w:ascii="Arial" w:cs="Arial" w:eastAsia="Arial" w:hAnsi="Arial"/>
          <w:sz w:val="16"/>
          <w:szCs w:val="16"/>
          <w:color w:val="auto"/>
        </w:rPr>
        <w:t>.</w:t>
      </w:r>
    </w:p>
    <w:p>
      <w:pPr>
        <w:spacing w:after="0" w:line="238" w:lineRule="exact"/>
        <w:rPr>
          <w:sz w:val="20"/>
          <w:szCs w:val="20"/>
          <w:color w:val="auto"/>
        </w:rPr>
      </w:pPr>
    </w:p>
    <w:p>
      <w:pPr>
        <w:ind w:right="100" w:firstLine="656"/>
        <w:spacing w:after="0" w:line="266" w:lineRule="auto"/>
        <w:tabs>
          <w:tab w:leader="none" w:pos="1048" w:val="left"/>
        </w:tabs>
        <w:numPr>
          <w:ilvl w:val="0"/>
          <w:numId w:val="120"/>
        </w:numPr>
        <w:rPr>
          <w:rFonts w:ascii="Arial" w:cs="Arial" w:eastAsia="Arial" w:hAnsi="Arial"/>
          <w:sz w:val="20"/>
          <w:szCs w:val="20"/>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90" w:lineRule="exact"/>
        <w:rPr>
          <w:rFonts w:ascii="Arial" w:cs="Arial" w:eastAsia="Arial" w:hAnsi="Arial"/>
          <w:sz w:val="20"/>
          <w:szCs w:val="20"/>
          <w:color w:val="auto"/>
        </w:rPr>
      </w:pPr>
    </w:p>
    <w:p>
      <w:pPr>
        <w:ind w:left="660" w:right="60" w:firstLine="644"/>
        <w:spacing w:after="0" w:line="266" w:lineRule="auto"/>
        <w:tabs>
          <w:tab w:leader="none" w:pos="1675" w:val="left"/>
        </w:tabs>
        <w:numPr>
          <w:ilvl w:val="1"/>
          <w:numId w:val="120"/>
        </w:numPr>
        <w:rPr>
          <w:rFonts w:ascii="Arial" w:cs="Arial" w:eastAsia="Arial" w:hAnsi="Arial"/>
          <w:sz w:val="20"/>
          <w:szCs w:val="20"/>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90" w:lineRule="exact"/>
        <w:rPr>
          <w:rFonts w:ascii="Arial" w:cs="Arial" w:eastAsia="Arial" w:hAnsi="Arial"/>
          <w:sz w:val="20"/>
          <w:szCs w:val="20"/>
          <w:color w:val="auto"/>
        </w:rPr>
      </w:pPr>
    </w:p>
    <w:p>
      <w:pPr>
        <w:ind w:left="660" w:right="40" w:firstLine="644"/>
        <w:spacing w:after="0" w:line="301" w:lineRule="auto"/>
        <w:tabs>
          <w:tab w:leader="none" w:pos="1729" w:val="left"/>
        </w:tabs>
        <w:numPr>
          <w:ilvl w:val="1"/>
          <w:numId w:val="120"/>
        </w:numPr>
        <w:rPr>
          <w:rFonts w:ascii="Arial" w:cs="Arial" w:eastAsia="Arial" w:hAnsi="Arial"/>
          <w:sz w:val="18"/>
          <w:szCs w:val="18"/>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applicable Facility Agent for the account of that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and including any amounts made available to the applicable Facility Agent by that Defaulting Lender pursuant to the Guarantee),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applicable Facility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that Defaulting Lender to any L/C Issuer or Swing Line Lender hereunder,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or requested by any L/C Issuer or Swing Line Lender, to be held as Cash Collateral for future funding obligations of that Defaulting Lender of any participation in any Swing Line Loan or Letter of Credit;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U.S.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the Administrative Agent and the U.S. Borrower, to be held in a non-interest bearing deposit account and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787" w:right="339" w:bottom="1440" w:gutter="0" w:footer="0" w:header="0"/>
        </w:sectPr>
      </w:pPr>
    </w:p>
    <w:bookmarkStart w:id="151" w:name="page152"/>
    <w:bookmarkEnd w:id="151"/>
    <w:p>
      <w:pPr>
        <w:ind w:left="640"/>
        <w:spacing w:after="0" w:line="268" w:lineRule="auto"/>
        <w:rPr>
          <w:sz w:val="20"/>
          <w:szCs w:val="20"/>
          <w:color w:val="auto"/>
        </w:rPr>
      </w:pPr>
      <w:r>
        <w:rPr>
          <w:rFonts w:ascii="Arial" w:cs="Arial" w:eastAsia="Arial" w:hAnsi="Arial"/>
          <w:sz w:val="17"/>
          <w:szCs w:val="17"/>
          <w:color w:val="auto"/>
        </w:rPr>
        <w:t xml:space="preserve">released in order to satisfy obligations of that Defaulting Lender to fund Loans under this Agreement;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the L/C Issuers or Swing Line Lenders as a result of any judgment of a court of competent jurisdiction obtained by any Lender, any L/C Issuer or Swing Line Lender against that Defaulting Lender as a result of that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a Borrower as a result of any judgment of a court of competent jurisdiction obtained by such Borrower against that Defaulting Lender as a result of that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that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or waived, such payment shall be applied solely to pay the applicable Loans of, and applicable L/C Borrowings owed to, all applicable non-Defaulting Lenders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2.16(a)(ii)</w:t>
      </w:r>
      <w:r>
        <w:rPr>
          <w:rFonts w:ascii="Arial" w:cs="Arial" w:eastAsia="Arial" w:hAnsi="Arial"/>
          <w:sz w:val="17"/>
          <w:szCs w:val="17"/>
          <w:color w:val="auto"/>
        </w:rPr>
        <w:t xml:space="preserve"> shall be deemed paid to and redirected by that Defaulting Lender, and each Lender irrevocably consents hereto.</w:t>
      </w:r>
    </w:p>
    <w:p>
      <w:pPr>
        <w:spacing w:after="0" w:line="200" w:lineRule="exact"/>
        <w:rPr>
          <w:sz w:val="20"/>
          <w:szCs w:val="20"/>
          <w:color w:val="auto"/>
        </w:rPr>
      </w:pPr>
    </w:p>
    <w:p>
      <w:pPr>
        <w:ind w:left="640" w:right="80" w:firstLine="644"/>
        <w:spacing w:after="0" w:line="283" w:lineRule="auto"/>
        <w:tabs>
          <w:tab w:leader="none" w:pos="1765" w:val="left"/>
        </w:tabs>
        <w:numPr>
          <w:ilvl w:val="1"/>
          <w:numId w:val="121"/>
        </w:numPr>
        <w:rPr>
          <w:rFonts w:ascii="Arial" w:cs="Arial" w:eastAsia="Arial" w:hAnsi="Arial"/>
          <w:sz w:val="19"/>
          <w:szCs w:val="19"/>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xml:space="preserve">. That Defaulting Lender (x) shall not be entitled to receive any fee pursuant to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for any period during which that Lender is a Defaulting Lender (and no Borrower shall be required to pay any such fee that otherwise would have been required to have been paid to that Defaulting Lender), and the applicable Borrower shall (A) be required to pay to each L/C Issuer and Swing Line Lender, as applicable, the amount of such fee allocable to its Fronting Exposure arising from that Defaulting Lender and (B) not be required to pay the remaining amount of such fee that otherwise would have been required to have been paid to that Defaulting Lender and (y) shall be limited in its right to receive Letter of Credit Fees as provided in </w:t>
      </w:r>
      <w:r>
        <w:rPr>
          <w:rFonts w:ascii="Arial" w:cs="Arial" w:eastAsia="Arial" w:hAnsi="Arial"/>
          <w:sz w:val="17"/>
          <w:szCs w:val="17"/>
          <w:u w:val="single" w:color="auto"/>
          <w:color w:val="auto"/>
        </w:rPr>
        <w:t>Section 2.03(i)</w:t>
      </w:r>
      <w:r>
        <w:rPr>
          <w:rFonts w:ascii="Arial" w:cs="Arial" w:eastAsia="Arial" w:hAnsi="Arial"/>
          <w:sz w:val="17"/>
          <w:szCs w:val="17"/>
          <w:color w:val="auto"/>
        </w:rPr>
        <w:t>.</w:t>
      </w:r>
    </w:p>
    <w:p>
      <w:pPr>
        <w:spacing w:after="0" w:line="182" w:lineRule="exact"/>
        <w:rPr>
          <w:rFonts w:ascii="Arial" w:cs="Arial" w:eastAsia="Arial" w:hAnsi="Arial"/>
          <w:sz w:val="19"/>
          <w:szCs w:val="19"/>
          <w:color w:val="auto"/>
        </w:rPr>
      </w:pPr>
    </w:p>
    <w:p>
      <w:pPr>
        <w:ind w:left="640" w:right="40" w:firstLine="644"/>
        <w:spacing w:after="0" w:line="303" w:lineRule="auto"/>
        <w:tabs>
          <w:tab w:leader="none" w:pos="1754" w:val="left"/>
        </w:tabs>
        <w:numPr>
          <w:ilvl w:val="1"/>
          <w:numId w:val="121"/>
        </w:numPr>
        <w:rPr>
          <w:rFonts w:ascii="Arial" w:cs="Arial" w:eastAsia="Arial" w:hAnsi="Arial"/>
          <w:sz w:val="18"/>
          <w:szCs w:val="18"/>
          <w:color w:val="auto"/>
        </w:rPr>
      </w:pPr>
      <w:r>
        <w:rPr>
          <w:rFonts w:ascii="Arial" w:cs="Arial" w:eastAsia="Arial" w:hAnsi="Arial"/>
          <w:sz w:val="16"/>
          <w:szCs w:val="16"/>
          <w:u w:val="single" w:color="auto"/>
          <w:color w:val="auto"/>
        </w:rPr>
        <w:t>Reallocation of Pro rata Shares to Reduce Fronting Exposure</w:t>
      </w:r>
      <w:r>
        <w:rPr>
          <w:rFonts w:ascii="Arial" w:cs="Arial" w:eastAsia="Arial" w:hAnsi="Arial"/>
          <w:sz w:val="16"/>
          <w:szCs w:val="16"/>
          <w:color w:val="auto"/>
        </w:rPr>
        <w:t xml:space="preserve">. During any period in which there is a Defaulting Lender, for purposes of computing the amount of the obligation of each non-Defaulting Lender to acquire, refinance or fund participations in Letters of Credit or Swing Line Loans pursuant to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the “</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of each non-Defaulting Lender shall be computed without giving effect to the Commitment of that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such reallocation shall be given effect only if, at the date the applicable Lender becomes a Defaulting Lender, no Default or Event of Default exists; and (ii) the aggregate obligation of each non-Defaulting Lender to acquire, refinance or fund participations in Letters of Credit and Swing Line Loans shall not exceed the positive difference, if any, of (1) the Commitment of that non-Defaulting Lender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(2) the aggregate Outstanding Amount of the Loans of that Lender.</w:t>
      </w:r>
    </w:p>
    <w:p>
      <w:pPr>
        <w:spacing w:after="0" w:line="167" w:lineRule="exact"/>
        <w:rPr>
          <w:rFonts w:ascii="Arial" w:cs="Arial" w:eastAsia="Arial" w:hAnsi="Arial"/>
          <w:sz w:val="18"/>
          <w:szCs w:val="18"/>
          <w:color w:val="auto"/>
        </w:rPr>
      </w:pPr>
    </w:p>
    <w:p>
      <w:pPr>
        <w:ind w:left="-20" w:right="60" w:firstLine="656"/>
        <w:spacing w:after="0" w:line="282" w:lineRule="auto"/>
        <w:tabs>
          <w:tab w:leader="none" w:pos="1038" w:val="left"/>
        </w:tabs>
        <w:numPr>
          <w:ilvl w:val="0"/>
          <w:numId w:val="122"/>
        </w:numPr>
        <w:rPr>
          <w:rFonts w:ascii="Arial" w:cs="Arial" w:eastAsia="Arial" w:hAnsi="Arial"/>
          <w:sz w:val="19"/>
          <w:szCs w:val="19"/>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applicable Borrower, the Administrative Agent, the Canadian Agent, the European Agent, any other applicable Facility Agent, each Swing Line Lender and each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applicable Loans and funded and unfunded participations in applicable Letters of Credit and Swing Line Loans to be held on a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rata</w:t>
      </w:r>
      <w:r>
        <w:rPr>
          <w:rFonts w:ascii="Arial" w:cs="Arial" w:eastAsia="Arial" w:hAnsi="Arial"/>
          <w:sz w:val="17"/>
          <w:szCs w:val="17"/>
          <w:color w:val="auto"/>
        </w:rPr>
        <w:t xml:space="preserve"> basis by the applicable Lenders in accordance with their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Shares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whereupon that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such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40" w:top="557" w:right="339" w:bottom="1440" w:gutter="0" w:footer="0" w:header="0"/>
        </w:sectPr>
      </w:pPr>
    </w:p>
    <w:bookmarkStart w:id="152" w:name="page153"/>
    <w:bookmarkEnd w:id="152"/>
    <w:p>
      <w:pPr>
        <w:spacing w:after="0" w:line="189"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ARTICLE III</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2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5"/>
          <w:szCs w:val="15"/>
          <w:b w:val="1"/>
          <w:bCs w:val="1"/>
          <w:u w:val="single" w:color="auto"/>
          <w:color w:val="auto"/>
        </w:rPr>
        <w:t>Taxes</w:t>
      </w:r>
      <w:r>
        <w:rPr>
          <w:rFonts w:ascii="Arial" w:cs="Arial" w:eastAsia="Arial" w:hAnsi="Arial"/>
          <w:sz w:val="15"/>
          <w:szCs w:val="15"/>
          <w:color w:val="auto"/>
        </w:rPr>
        <w:t>.</w:t>
      </w:r>
    </w:p>
    <w:p>
      <w:pPr>
        <w:spacing w:after="0" w:line="238" w:lineRule="exact"/>
        <w:rPr>
          <w:sz w:val="20"/>
          <w:szCs w:val="20"/>
          <w:color w:val="auto"/>
        </w:rPr>
      </w:pPr>
    </w:p>
    <w:p>
      <w:pPr>
        <w:ind w:firstLine="656"/>
        <w:spacing w:after="0" w:line="302" w:lineRule="auto"/>
        <w:tabs>
          <w:tab w:leader="none" w:pos="1048" w:val="left"/>
        </w:tabs>
        <w:numPr>
          <w:ilvl w:val="0"/>
          <w:numId w:val="123"/>
        </w:numPr>
        <w:rPr>
          <w:rFonts w:ascii="Arial" w:cs="Arial" w:eastAsia="Arial" w:hAnsi="Arial"/>
          <w:sz w:val="18"/>
          <w:szCs w:val="18"/>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xml:space="preserve">. Except as required by applicable Law, any and all payments by or on account of any obligation of any Loan Party hereunder or under any other Loan Document shall be made free and clear of and without deduction or withholding for any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applicable withholding agent shall be required by applicable law to deduct any Indemnified Taxes or any Other Taxes from such payments, then (i) the sum payable by the applicable Loan Party shall be increased as necessary so that after all required deductions have been made (including deductions applicable to additional sums payable under this Section) the applicable Lender, Swing Line Lender, or L/C Issuer, as the case may be (or, in the case of payments made to a Facility Agent for its own account, the applicable Facility Agent),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law.</w:t>
      </w:r>
    </w:p>
    <w:p>
      <w:pPr>
        <w:spacing w:after="0" w:line="170" w:lineRule="exact"/>
        <w:rPr>
          <w:rFonts w:ascii="Arial" w:cs="Arial" w:eastAsia="Arial" w:hAnsi="Arial"/>
          <w:sz w:val="18"/>
          <w:szCs w:val="18"/>
          <w:color w:val="auto"/>
        </w:rPr>
      </w:pPr>
    </w:p>
    <w:p>
      <w:pPr>
        <w:ind w:right="140" w:firstLine="656"/>
        <w:spacing w:after="0" w:line="266" w:lineRule="auto"/>
        <w:tabs>
          <w:tab w:leader="none" w:pos="1058" w:val="left"/>
        </w:tabs>
        <w:numPr>
          <w:ilvl w:val="0"/>
          <w:numId w:val="123"/>
        </w:numPr>
        <w:rPr>
          <w:rFonts w:ascii="Arial" w:cs="Arial" w:eastAsia="Arial" w:hAnsi="Arial"/>
          <w:sz w:val="20"/>
          <w:szCs w:val="20"/>
          <w:color w:val="auto"/>
        </w:rPr>
      </w:pPr>
      <w:r>
        <w:rPr>
          <w:rFonts w:ascii="Arial" w:cs="Arial" w:eastAsia="Arial" w:hAnsi="Arial"/>
          <w:sz w:val="18"/>
          <w:szCs w:val="18"/>
          <w:u w:val="single" w:color="auto"/>
          <w:color w:val="auto"/>
        </w:rPr>
        <w:t>Payment of Other Taxes by the U.S. Borrower.</w:t>
      </w:r>
      <w:r>
        <w:rPr>
          <w:rFonts w:ascii="Arial" w:cs="Arial" w:eastAsia="Arial" w:hAnsi="Arial"/>
          <w:sz w:val="18"/>
          <w:szCs w:val="18"/>
          <w:color w:val="auto"/>
        </w:rPr>
        <w:t xml:space="preserve"> Without limiting the provisions of subsection (a) above, the U.S. Borrower shall timely pay any Other Taxes to the relevant Governmental Authority in accordance with applicable Law.</w:t>
      </w:r>
    </w:p>
    <w:p>
      <w:pPr>
        <w:spacing w:after="0" w:line="190" w:lineRule="exact"/>
        <w:rPr>
          <w:rFonts w:ascii="Arial" w:cs="Arial" w:eastAsia="Arial" w:hAnsi="Arial"/>
          <w:sz w:val="20"/>
          <w:szCs w:val="20"/>
          <w:color w:val="auto"/>
        </w:rPr>
      </w:pPr>
    </w:p>
    <w:p>
      <w:pPr>
        <w:ind w:firstLine="656"/>
        <w:spacing w:after="0" w:line="292" w:lineRule="auto"/>
        <w:tabs>
          <w:tab w:leader="none" w:pos="1048" w:val="left"/>
        </w:tabs>
        <w:numPr>
          <w:ilvl w:val="0"/>
          <w:numId w:val="123"/>
        </w:numPr>
        <w:rPr>
          <w:rFonts w:ascii="Arial" w:cs="Arial" w:eastAsia="Arial" w:hAnsi="Arial"/>
          <w:sz w:val="18"/>
          <w:szCs w:val="18"/>
          <w:color w:val="auto"/>
        </w:rPr>
      </w:pPr>
      <w:r>
        <w:rPr>
          <w:rFonts w:ascii="Arial" w:cs="Arial" w:eastAsia="Arial" w:hAnsi="Arial"/>
          <w:sz w:val="16"/>
          <w:szCs w:val="16"/>
          <w:u w:val="single" w:color="auto"/>
          <w:color w:val="auto"/>
        </w:rPr>
        <w:t>Indemnification by the Borrowers</w:t>
      </w:r>
      <w:r>
        <w:rPr>
          <w:rFonts w:ascii="Arial" w:cs="Arial" w:eastAsia="Arial" w:hAnsi="Arial"/>
          <w:sz w:val="16"/>
          <w:szCs w:val="16"/>
          <w:color w:val="auto"/>
        </w:rPr>
        <w:t xml:space="preserve">. The U.S. Borrower and, with respect to Multicurrency Facility Revolving Loans, Multicurrency Facility Swing Line Loans and Multicurrency Facility L/C Obligations only, the Canadian Borrower and the Dutch Borrower shall indemnify the Administrative Agent, the Canadian Agent, the European Agent, any other applicable Facility Agent, each Lender, each Swing Line Lender and each L/C Issuer, within 10 Business Days after written demand therefor (such demand setting forth in reasonable detail the basis and calculation of such amount), for the full amount of any Indemnified Taxes or Other Taxes (including Indemnified Taxes or Other Taxes imposed on or attributable to amounts payable under this </w:t>
      </w:r>
      <w:r>
        <w:rPr>
          <w:rFonts w:ascii="Arial" w:cs="Arial" w:eastAsia="Arial" w:hAnsi="Arial"/>
          <w:sz w:val="16"/>
          <w:szCs w:val="16"/>
          <w:u w:val="single" w:color="auto"/>
          <w:color w:val="auto"/>
        </w:rPr>
        <w:t>Section</w:t>
      </w:r>
    </w:p>
    <w:p>
      <w:pPr>
        <w:spacing w:after="0" w:line="1" w:lineRule="exact"/>
        <w:rPr>
          <w:rFonts w:ascii="Arial" w:cs="Arial" w:eastAsia="Arial" w:hAnsi="Arial"/>
          <w:sz w:val="18"/>
          <w:szCs w:val="18"/>
          <w:color w:val="auto"/>
        </w:rPr>
      </w:pPr>
    </w:p>
    <w:p>
      <w:pPr>
        <w:ind w:right="60"/>
        <w:spacing w:after="0" w:line="271" w:lineRule="auto"/>
        <w:rPr>
          <w:rFonts w:ascii="Arial" w:cs="Arial" w:eastAsia="Arial" w:hAnsi="Arial"/>
          <w:sz w:val="18"/>
          <w:szCs w:val="18"/>
          <w:color w:val="auto"/>
        </w:rPr>
      </w:pPr>
      <w:r>
        <w:rPr>
          <w:rFonts w:ascii="Arial" w:cs="Arial" w:eastAsia="Arial" w:hAnsi="Arial"/>
          <w:sz w:val="18"/>
          <w:szCs w:val="18"/>
          <w:u w:val="single" w:color="auto"/>
          <w:color w:val="auto"/>
        </w:rPr>
        <w:t>3.01</w:t>
      </w:r>
      <w:r>
        <w:rPr>
          <w:rFonts w:ascii="Arial" w:cs="Arial" w:eastAsia="Arial" w:hAnsi="Arial"/>
          <w:sz w:val="18"/>
          <w:szCs w:val="18"/>
          <w:color w:val="auto"/>
        </w:rPr>
        <w:t>) payable by the applicable Facility Agent, such Lender, such Swing Line Lender or such L/C Issuer, as the case may be, and reasonable out-of-pocket expenses arising therefrom whether or not such Indemnified Taxes or Other Taxes were correctly or legally imposed or asserted by the relevant Governmental Authority. A certificate setting forth the amount of such payment or liability, the basis thereof and the calculation of such amount in reasonable detail delivered to the U.S. Borrower by a Lender, Swing Line Lender or L/C Issuer (with a copy to the Administrative Agent), or by the Administrative Agent on its own behalf or on behalf of a Lender, the Canadian Agent, the European Agent, any other applicable Facility Agent, a Swing Line Lender or an L/C Issuer, shall be conclusive absent manifest error.</w:t>
      </w:r>
    </w:p>
    <w:p>
      <w:pPr>
        <w:spacing w:after="0" w:line="189" w:lineRule="exact"/>
        <w:rPr>
          <w:rFonts w:ascii="Arial" w:cs="Arial" w:eastAsia="Arial" w:hAnsi="Arial"/>
          <w:sz w:val="18"/>
          <w:szCs w:val="18"/>
          <w:color w:val="auto"/>
        </w:rPr>
      </w:pPr>
    </w:p>
    <w:p>
      <w:pPr>
        <w:ind w:right="40" w:firstLine="656"/>
        <w:spacing w:after="0" w:line="286" w:lineRule="auto"/>
        <w:tabs>
          <w:tab w:leader="none" w:pos="1058" w:val="left"/>
        </w:tabs>
        <w:numPr>
          <w:ilvl w:val="0"/>
          <w:numId w:val="123"/>
        </w:numPr>
        <w:rPr>
          <w:rFonts w:ascii="Arial" w:cs="Arial" w:eastAsia="Arial" w:hAnsi="Arial"/>
          <w:sz w:val="19"/>
          <w:szCs w:val="19"/>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As soon as practicable after any payment of Indemnified Taxes or Other Taxes by any Loan Party to a Governmental Authority, the U.S. Borrower shall deliver to the Administrative Agent the original or a certified copy of a receipt issued by such Governmental Authority evidencing such payment or other evidence of such payment reasonably satisfactory to the Administrative Agent.</w:t>
      </w:r>
    </w:p>
    <w:p>
      <w:pPr>
        <w:spacing w:after="0" w:line="178" w:lineRule="exact"/>
        <w:rPr>
          <w:rFonts w:ascii="Arial" w:cs="Arial" w:eastAsia="Arial" w:hAnsi="Arial"/>
          <w:sz w:val="19"/>
          <w:szCs w:val="19"/>
          <w:color w:val="auto"/>
        </w:rPr>
      </w:pPr>
    </w:p>
    <w:p>
      <w:pPr>
        <w:ind w:right="140" w:firstLine="656"/>
        <w:spacing w:after="0" w:line="303" w:lineRule="auto"/>
        <w:tabs>
          <w:tab w:leader="none" w:pos="1048" w:val="left"/>
        </w:tabs>
        <w:numPr>
          <w:ilvl w:val="0"/>
          <w:numId w:val="123"/>
        </w:numPr>
        <w:rPr>
          <w:rFonts w:ascii="Arial" w:cs="Arial" w:eastAsia="Arial" w:hAnsi="Arial"/>
          <w:sz w:val="18"/>
          <w:szCs w:val="18"/>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 Each Lender shall deliver to the U.S. Borrower and to the Administrative Agent, whenever reasonably requested by any Borrower or the Administrative Agent, such properly completed and duly executed documentation prescribed by applicable Laws and such other reasonably requested information as will permit the U.S. Borrower, the Canadian Borrower, the Dutch Borrower or the applicable Facility Agent, as the case may be, (A) to determine whether or not payments made hereunder or under any other Loan Document are subject to Taxes, (B) to determine, if applicable, the required rate of withholding or deduction and (C) to establish such Lender’s entitlement to any available exemption from, or reduction of, applicable Taxes in respect of any payments to be made to such Lender pursuant to any Loan Document or otherwise to establish such Lender’s status for withholding tax purposes in an applicable jurisdiction (including, if applicable, any documentation necessary to prevent withholding under FATCA).</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Without limiting the generality of the foregoing, (A) any Lender that is a “United States person” within the meaning of Section 7701(a)(30) of the Code shall deliver to the U.S. Borrower and the Administrative Agent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1440" w:right="379" w:bottom="1440" w:gutter="0" w:footer="0" w:header="0"/>
        </w:sectPr>
      </w:pPr>
    </w:p>
    <w:bookmarkStart w:id="153" w:name="page154"/>
    <w:bookmarkEnd w:id="153"/>
    <w:p>
      <w:pPr>
        <w:spacing w:after="0" w:line="288" w:lineRule="auto"/>
        <w:rPr>
          <w:sz w:val="20"/>
          <w:szCs w:val="20"/>
          <w:color w:val="auto"/>
        </w:rPr>
      </w:pPr>
      <w:r>
        <w:rPr>
          <w:rFonts w:ascii="Arial" w:cs="Arial" w:eastAsia="Arial" w:hAnsi="Arial"/>
          <w:sz w:val="16"/>
          <w:szCs w:val="16"/>
          <w:color w:val="auto"/>
        </w:rPr>
        <w:t>executed originals of IRS Form W-9 or such other documentation or information prescribed by applicable Laws or reasonably requested by the U.S. Borrower or the Administrative Agent (in such number of signed originals as prescribed by applicable Laws or otherwise shall be requested by the recipient) on or prior to the date on which such Lender becomes a Lender under this Agreement (and from time to time thereafter (1) if any documentation previously delivered has expired or become obsolete or invalid or (2) upon the request of the U.S. Borrower or the Administrative Agent) as will enable the U.S. Borrower or the Administrative Agent, as the case may be, to determine whether or not such Lender is subject to U.S. federal backup withholding or information reporting requirements; and (B) each Foreign Lender that is entitled under the Code or any applicable treaty to an exemption from or reduction of U.S. federal withholding tax with respect to any payments hereunder or under any other Loan Document shall deliver to the U.S. Borrower and the Administrative Agent (in such number of signed originals as prescribed by applicable Laws or otherwise shall be requested by the recipient) on or prior to the date on which such Foreign Lender becomes a Lender under this Agreement (and (1) if any documentation previously delivered has expired or become obsolete or invalid or (2) upon the request of the U.S. Borrower or the Administrative Agent), whichever of the following is applicable:</w:t>
      </w:r>
    </w:p>
    <w:p>
      <w:pPr>
        <w:spacing w:after="0" w:line="182" w:lineRule="exact"/>
        <w:rPr>
          <w:sz w:val="20"/>
          <w:szCs w:val="20"/>
          <w:color w:val="auto"/>
        </w:rPr>
      </w:pPr>
    </w:p>
    <w:p>
      <w:pPr>
        <w:ind w:left="660" w:right="200" w:firstLine="644"/>
        <w:spacing w:after="0" w:line="266" w:lineRule="auto"/>
        <w:tabs>
          <w:tab w:leader="none" w:pos="1675" w:val="left"/>
        </w:tabs>
        <w:numPr>
          <w:ilvl w:val="0"/>
          <w:numId w:val="124"/>
        </w:numPr>
        <w:rPr>
          <w:rFonts w:ascii="Arial" w:cs="Arial" w:eastAsia="Arial" w:hAnsi="Arial"/>
          <w:sz w:val="20"/>
          <w:szCs w:val="20"/>
          <w:color w:val="auto"/>
        </w:rPr>
      </w:pPr>
      <w:r>
        <w:rPr>
          <w:rFonts w:ascii="Arial" w:cs="Arial" w:eastAsia="Arial" w:hAnsi="Arial"/>
          <w:sz w:val="18"/>
          <w:szCs w:val="18"/>
          <w:color w:val="auto"/>
        </w:rPr>
        <w:t>IRS Form W-8BEN or W-8BEN-E (or any successor thereto) claiming eligibility for benefits of an income tax treaty to which the United States is a party,</w:t>
      </w:r>
    </w:p>
    <w:p>
      <w:pPr>
        <w:spacing w:after="0" w:line="190" w:lineRule="exact"/>
        <w:rPr>
          <w:rFonts w:ascii="Arial" w:cs="Arial" w:eastAsia="Arial" w:hAnsi="Arial"/>
          <w:sz w:val="20"/>
          <w:szCs w:val="20"/>
          <w:color w:val="auto"/>
        </w:rPr>
      </w:pPr>
    </w:p>
    <w:p>
      <w:pPr>
        <w:ind w:left="1720" w:hanging="416"/>
        <w:spacing w:after="0"/>
        <w:tabs>
          <w:tab w:leader="none" w:pos="1720" w:val="left"/>
        </w:tabs>
        <w:numPr>
          <w:ilvl w:val="0"/>
          <w:numId w:val="124"/>
        </w:numPr>
        <w:rPr>
          <w:rFonts w:ascii="Arial" w:cs="Arial" w:eastAsia="Arial" w:hAnsi="Arial"/>
          <w:sz w:val="20"/>
          <w:szCs w:val="20"/>
          <w:color w:val="auto"/>
        </w:rPr>
      </w:pPr>
      <w:r>
        <w:rPr>
          <w:rFonts w:ascii="Arial" w:cs="Arial" w:eastAsia="Arial" w:hAnsi="Arial"/>
          <w:sz w:val="18"/>
          <w:szCs w:val="18"/>
          <w:color w:val="auto"/>
        </w:rPr>
        <w:t>IRS Form W-8ECI (or any successor thereto),</w:t>
      </w:r>
    </w:p>
    <w:p>
      <w:pPr>
        <w:spacing w:after="0" w:line="215" w:lineRule="exact"/>
        <w:rPr>
          <w:rFonts w:ascii="Arial" w:cs="Arial" w:eastAsia="Arial" w:hAnsi="Arial"/>
          <w:sz w:val="20"/>
          <w:szCs w:val="20"/>
          <w:color w:val="auto"/>
        </w:rPr>
      </w:pPr>
    </w:p>
    <w:p>
      <w:pPr>
        <w:ind w:left="660" w:right="40" w:firstLine="644"/>
        <w:spacing w:after="0" w:line="283" w:lineRule="auto"/>
        <w:tabs>
          <w:tab w:leader="none" w:pos="1785" w:val="left"/>
        </w:tabs>
        <w:numPr>
          <w:ilvl w:val="0"/>
          <w:numId w:val="124"/>
        </w:numPr>
        <w:rPr>
          <w:rFonts w:ascii="Arial" w:cs="Arial" w:eastAsia="Arial" w:hAnsi="Arial"/>
          <w:sz w:val="19"/>
          <w:szCs w:val="19"/>
          <w:color w:val="auto"/>
        </w:rPr>
      </w:pPr>
      <w:r>
        <w:rPr>
          <w:rFonts w:ascii="Arial" w:cs="Arial" w:eastAsia="Arial" w:hAnsi="Arial"/>
          <w:sz w:val="17"/>
          <w:szCs w:val="17"/>
          <w:color w:val="auto"/>
        </w:rPr>
        <w:t>in the case of a Foreign Lender claiming the benefits of the exemption for portfolio interest under Sections 881(c) or 871(h) of the Code (the “</w:t>
      </w:r>
      <w:r>
        <w:rPr>
          <w:rFonts w:ascii="Arial" w:cs="Arial" w:eastAsia="Arial" w:hAnsi="Arial"/>
          <w:sz w:val="17"/>
          <w:szCs w:val="17"/>
          <w:u w:val="single" w:color="auto"/>
          <w:color w:val="auto"/>
        </w:rPr>
        <w:t>Portfolio Interest Exemption</w:t>
      </w:r>
      <w:r>
        <w:rPr>
          <w:rFonts w:ascii="Arial" w:cs="Arial" w:eastAsia="Arial" w:hAnsi="Arial"/>
          <w:sz w:val="17"/>
          <w:szCs w:val="17"/>
          <w:color w:val="auto"/>
        </w:rPr>
        <w:t xml:space="preserve">”), (x) a certificate, substantially in the form of </w:t>
      </w:r>
      <w:r>
        <w:rPr>
          <w:rFonts w:ascii="Arial" w:cs="Arial" w:eastAsia="Arial" w:hAnsi="Arial"/>
          <w:sz w:val="17"/>
          <w:szCs w:val="17"/>
          <w:u w:val="single" w:color="auto"/>
          <w:color w:val="auto"/>
        </w:rPr>
        <w:t>Exhibit L-1</w:t>
      </w:r>
      <w:r>
        <w:rPr>
          <w:rFonts w:ascii="Arial" w:cs="Arial" w:eastAsia="Arial" w:hAnsi="Arial"/>
          <w:sz w:val="17"/>
          <w:szCs w:val="17"/>
          <w:color w:val="auto"/>
        </w:rPr>
        <w:t xml:space="preserve">, </w:t>
      </w:r>
      <w:r>
        <w:rPr>
          <w:rFonts w:ascii="Arial" w:cs="Arial" w:eastAsia="Arial" w:hAnsi="Arial"/>
          <w:sz w:val="17"/>
          <w:szCs w:val="17"/>
          <w:u w:val="single" w:color="auto"/>
          <w:color w:val="auto"/>
        </w:rPr>
        <w:t>L-2</w:t>
      </w:r>
      <w:r>
        <w:rPr>
          <w:rFonts w:ascii="Arial" w:cs="Arial" w:eastAsia="Arial" w:hAnsi="Arial"/>
          <w:sz w:val="17"/>
          <w:szCs w:val="17"/>
          <w:color w:val="auto"/>
        </w:rPr>
        <w:t xml:space="preserve">, </w:t>
      </w:r>
      <w:r>
        <w:rPr>
          <w:rFonts w:ascii="Arial" w:cs="Arial" w:eastAsia="Arial" w:hAnsi="Arial"/>
          <w:sz w:val="17"/>
          <w:szCs w:val="17"/>
          <w:u w:val="single" w:color="auto"/>
          <w:color w:val="auto"/>
        </w:rPr>
        <w:t>L-3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L-4</w:t>
      </w:r>
      <w:r>
        <w:rPr>
          <w:rFonts w:ascii="Arial" w:cs="Arial" w:eastAsia="Arial" w:hAnsi="Arial"/>
          <w:sz w:val="17"/>
          <w:szCs w:val="17"/>
          <w:color w:val="auto"/>
        </w:rPr>
        <w:t>, as applicable (a “</w:t>
      </w:r>
      <w:r>
        <w:rPr>
          <w:rFonts w:ascii="Arial" w:cs="Arial" w:eastAsia="Arial" w:hAnsi="Arial"/>
          <w:sz w:val="17"/>
          <w:szCs w:val="17"/>
          <w:u w:val="single" w:color="auto"/>
          <w:color w:val="auto"/>
        </w:rPr>
        <w:t>Tax Status</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to the effect that such Foreign Lender is not (A) a “bank” within the meaning of Section 881(c)(3)(A) of the Code, (B) a “10 percent shareholder” of the U.S. Borrower, within the meaning of Section 881(c)(3)(B) of the Code or (C) a “controlled foreign corporation” described in Section 881(c)(3)(C) of the Code, and that no interest to be received is effectively connected with a U.S. trade or business and (y) duly completed and executed original copies of IRS Form W-8BEN or W-8BEN-E (or any successor thereto),</w:t>
      </w:r>
    </w:p>
    <w:p>
      <w:pPr>
        <w:spacing w:after="0" w:line="182" w:lineRule="exact"/>
        <w:rPr>
          <w:rFonts w:ascii="Arial" w:cs="Arial" w:eastAsia="Arial" w:hAnsi="Arial"/>
          <w:sz w:val="19"/>
          <w:szCs w:val="19"/>
          <w:color w:val="auto"/>
        </w:rPr>
      </w:pPr>
    </w:p>
    <w:p>
      <w:pPr>
        <w:ind w:left="660" w:right="140" w:firstLine="644"/>
        <w:spacing w:after="0" w:line="284" w:lineRule="auto"/>
        <w:tabs>
          <w:tab w:leader="none" w:pos="1774" w:val="left"/>
        </w:tabs>
        <w:numPr>
          <w:ilvl w:val="0"/>
          <w:numId w:val="124"/>
        </w:numPr>
        <w:rPr>
          <w:rFonts w:ascii="Arial" w:cs="Arial" w:eastAsia="Arial" w:hAnsi="Arial"/>
          <w:sz w:val="19"/>
          <w:szCs w:val="19"/>
          <w:color w:val="auto"/>
        </w:rPr>
      </w:pPr>
      <w:r>
        <w:rPr>
          <w:rFonts w:ascii="Arial" w:cs="Arial" w:eastAsia="Arial" w:hAnsi="Arial"/>
          <w:sz w:val="17"/>
          <w:szCs w:val="17"/>
          <w:color w:val="auto"/>
        </w:rPr>
        <w:t>where such Lender is a partnership (for U.S. federal income tax purposes) or otherwise not a beneficial owner (e.g., where such Lender has sold a participation), IRS Form W-8IMY (or any successor thereto) and all required supporting documentation (including, where one or more of the underlying beneficial owner(s) is claiming the benefits of the Portfolio Interest Exemption, a Tax Status Certificate of such beneficial owner(s)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not a participating Lender, the Tax Status Certificate from the beneficial owner(s) may be provided by the Foreign Lender on the beneficial owner(s) behalf)), and/or</w:t>
      </w:r>
    </w:p>
    <w:p>
      <w:pPr>
        <w:spacing w:after="0" w:line="179" w:lineRule="exact"/>
        <w:rPr>
          <w:rFonts w:ascii="Arial" w:cs="Arial" w:eastAsia="Arial" w:hAnsi="Arial"/>
          <w:sz w:val="19"/>
          <w:szCs w:val="19"/>
          <w:color w:val="auto"/>
        </w:rPr>
      </w:pPr>
    </w:p>
    <w:p>
      <w:pPr>
        <w:ind w:left="660" w:right="140" w:firstLine="644"/>
        <w:spacing w:after="0" w:line="284" w:lineRule="auto"/>
        <w:tabs>
          <w:tab w:leader="none" w:pos="1718" w:val="left"/>
        </w:tabs>
        <w:numPr>
          <w:ilvl w:val="0"/>
          <w:numId w:val="124"/>
        </w:numPr>
        <w:rPr>
          <w:rFonts w:ascii="Arial" w:cs="Arial" w:eastAsia="Arial" w:hAnsi="Arial"/>
          <w:sz w:val="19"/>
          <w:szCs w:val="19"/>
          <w:color w:val="auto"/>
        </w:rPr>
      </w:pPr>
      <w:r>
        <w:rPr>
          <w:rFonts w:ascii="Arial" w:cs="Arial" w:eastAsia="Arial" w:hAnsi="Arial"/>
          <w:sz w:val="17"/>
          <w:szCs w:val="17"/>
          <w:color w:val="auto"/>
        </w:rPr>
        <w:t>any other form prescribed by applicable Laws as a basis for claiming exemption from or a reduction in United States federal withholding tax or otherwise reasonably requested by the U.S. Borrower or the Administrative Agent together with such supplementary documentation as may be prescribed by applicable Laws or otherwise reasonably requested by the U.S. Borrower or the Administrative Agent to permit the U.S. Borrower or the Administrative Agent to determine the withholding or deduction required to be made.</w:t>
      </w:r>
    </w:p>
    <w:p>
      <w:pPr>
        <w:spacing w:after="0" w:line="16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Each Lender shall promptly notify in writing the U.S. Borrower and the Administrative Agent of any change in circumstances which would modify or render invalid any documentation previously provided.</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Each Lender hereby authorizes the Administrative Agent to deliver to the U.S. Borrower and to any successor Administrative Agent any documentation provided by the Lender to the Administrative Agent pursuant to this Section 3.01(e).</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3.01(e)</w:t>
      </w:r>
      <w:r>
        <w:rPr>
          <w:rFonts w:ascii="Arial" w:cs="Arial" w:eastAsia="Arial" w:hAnsi="Arial"/>
          <w:sz w:val="18"/>
          <w:szCs w:val="18"/>
          <w:color w:val="auto"/>
        </w:rPr>
        <w:t>, no Lender shall be required to deliver any documentation that it is not legally eligible to deliver.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320" w:top="557" w:right="379" w:bottom="1440" w:gutter="0" w:footer="0" w:header="0"/>
        </w:sectPr>
      </w:pPr>
    </w:p>
    <w:bookmarkStart w:id="154" w:name="page155"/>
    <w:bookmarkEnd w:id="154"/>
    <w:p>
      <w:pPr>
        <w:ind w:right="240" w:firstLine="648"/>
        <w:spacing w:after="0" w:line="263" w:lineRule="auto"/>
        <w:rPr>
          <w:sz w:val="20"/>
          <w:szCs w:val="20"/>
          <w:color w:val="auto"/>
        </w:rPr>
      </w:pPr>
      <w:r>
        <w:rPr>
          <w:rFonts w:ascii="Arial" w:cs="Arial" w:eastAsia="Arial" w:hAnsi="Arial"/>
          <w:sz w:val="18"/>
          <w:szCs w:val="18"/>
          <w:color w:val="auto"/>
        </w:rPr>
        <w:t>For purposes of determining withholding Taxes imposed under FATCA, from and after the Fourth Restatement Date, the U.S. Borrower and the Administrative Agent shall treat (and the Lenders hereby authorize the Administrative Agent to treat) this Agreement and the Loans hereunder as not qualifying as a “grandfathered obligation” within the meaning of Treasury Regulation Section 1.1471-2(b)(2)(i).</w:t>
      </w:r>
    </w:p>
    <w:p>
      <w:pPr>
        <w:spacing w:after="0" w:line="197" w:lineRule="exact"/>
        <w:rPr>
          <w:sz w:val="20"/>
          <w:szCs w:val="20"/>
          <w:color w:val="auto"/>
        </w:rPr>
      </w:pPr>
    </w:p>
    <w:p>
      <w:pPr>
        <w:ind w:firstLine="656"/>
        <w:spacing w:after="0" w:line="300" w:lineRule="auto"/>
        <w:tabs>
          <w:tab w:leader="none" w:pos="1026" w:val="left"/>
        </w:tabs>
        <w:numPr>
          <w:ilvl w:val="0"/>
          <w:numId w:val="125"/>
        </w:numPr>
        <w:rPr>
          <w:rFonts w:ascii="Arial" w:cs="Arial" w:eastAsia="Arial" w:hAnsi="Arial"/>
          <w:sz w:val="18"/>
          <w:szCs w:val="18"/>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any applicable Facility Agent, any Lender, Swing Line Lender or L/C Issuer determines, in its good faith discretion, that it has received a refund (in cash or as an overpayment applied to future Tax payments) of any Indemnified Taxes or Other Taxes as to which it has been indemnified by the a Loan Party or with respect to which a Loan Party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promptly pay to a Loan Party an amount equal to such refund (but only to the extent of indemnity payments made, or additional amounts paid, by the U.S.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Indemnified Taxes or Other Taxes giving rise to such refund), net of all out-of-pocket expenses of such applicable Facility Agent, such Lender, Swing Line Lender or L/C Issuer,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U.S. Borrower, upon the request of such applicable Facility Agent, such Lender, Swing Line Lender or L/C Issuer, agrees to repay the amount paid over to the U.S. Borrower (plus any penalties, interest or other charges imposed by the relevant Governmental Authority (other than penalties arising from the gross negligence or willful misconduct of any applicable Facility Agent, the Lenders, Swing Line Lender or L/C Issuer)) to such applicable Facility Agent, such Lender, Swing Line Lender or L/C Issuer in the event such applicable Facility Agent, such Lender, Swing Line Lender or L/C Issuer is required to repay such refund to such Governmental Authority. Such Lender, Swing Line Lender, L/C Issuer, applicable Facility Agent, as the case may be, shall, at the U.S. Borrower’s reasonable request, provide the U.S. Borrower with a copy of any notice of assessment or other evidence of the requirement to repay such refund received from the relevant taxing authority. If the U.S. Borrower reasonably believes that any Indemnified Taxes or Other Taxes for which additional amounts or indemnification payments were made by a Loan Party were incorrectly imposed, the U.S. Borrower may request the relevant Lender to pursue a refund of such Taxes (at U.S. Borrower’s expense), and such Lender shall pursue such refund unless, in the good faith determination of such Lender, pursuing such refund would be materially disadvantageous to it. This subsection shall not be construed to interfere with the right of a Lender, Swing Line Lender, L/C Issuer or an applicable Facility Agent to arrange its Tax affairs in whatever manner it thinks fit nor oblige any Lender, Swing Line Lender, L/C Issuer or applicable Facility Agent to disclose any information relating to its tax affairs or any computations in respect thereof or require any Lender, Swing Line Lender, L/C Issuer or applicable Facility Agent to do anything that would prejudice its ability to benefit from any other refunds, credits, reliefs, remissions or repayments to which it may be entitled. Notwithstanding anything to the contrary, in no event will any Lender, Swing Line Lender or L/C Issuer be required to pay any amount to the U.S. Borrower the payment of which would place such Lender, Swing Line Lender or L/C Issuer in a less favorable net after-tax position than it would have been in if the Indemnified Taxes or Other Taxes giving rise to such refund had never been imposed.</w:t>
      </w:r>
    </w:p>
    <w:p>
      <w:pPr>
        <w:spacing w:after="0" w:line="384" w:lineRule="exact"/>
        <w:rPr>
          <w:sz w:val="20"/>
          <w:szCs w:val="20"/>
          <w:color w:val="auto"/>
        </w:rPr>
      </w:pPr>
    </w:p>
    <w:p>
      <w:pPr>
        <w:ind w:right="20" w:firstLine="648"/>
        <w:spacing w:after="0" w:line="279" w:lineRule="auto"/>
        <w:rPr>
          <w:sz w:val="20"/>
          <w:szCs w:val="20"/>
          <w:color w:val="auto"/>
        </w:rPr>
      </w:pPr>
      <w:r>
        <w:rPr>
          <w:rFonts w:ascii="Arial" w:cs="Arial" w:eastAsia="Arial" w:hAnsi="Arial"/>
          <w:sz w:val="20"/>
          <w:szCs w:val="20"/>
          <w:b w:val="1"/>
          <w:bCs w:val="1"/>
          <w:color w:val="auto"/>
        </w:rPr>
        <w:t xml:space="preserve">3.02 </w:t>
      </w:r>
      <w:r>
        <w:rPr>
          <w:rFonts w:ascii="Arial" w:cs="Arial" w:eastAsia="Arial" w:hAnsi="Arial"/>
          <w:sz w:val="17"/>
          <w:szCs w:val="17"/>
          <w:b w:val="1"/>
          <w:bCs w:val="1"/>
          <w:u w:val="single" w:color="auto"/>
          <w:color w:val="auto"/>
        </w:rPr>
        <w:t>Illegality</w:t>
      </w:r>
      <w:r>
        <w:rPr>
          <w:rFonts w:ascii="Arial" w:cs="Arial" w:eastAsia="Arial" w:hAnsi="Arial"/>
          <w:sz w:val="17"/>
          <w:szCs w:val="17"/>
          <w:color w:val="auto"/>
        </w:rPr>
        <w:t>. If any Change in Law has made it unlawful, or any Governmental Authority has asserted that it is unlawful, for any Lender or its</w:t>
      </w:r>
      <w:r>
        <w:rPr>
          <w:rFonts w:ascii="Arial" w:cs="Arial" w:eastAsia="Arial" w:hAnsi="Arial"/>
          <w:sz w:val="20"/>
          <w:szCs w:val="20"/>
          <w:b w:val="1"/>
          <w:bCs w:val="1"/>
          <w:color w:val="auto"/>
        </w:rPr>
        <w:t xml:space="preserve"> </w:t>
      </w:r>
      <w:r>
        <w:rPr>
          <w:rFonts w:ascii="Arial" w:cs="Arial" w:eastAsia="Arial" w:hAnsi="Arial"/>
          <w:sz w:val="17"/>
          <w:szCs w:val="17"/>
          <w:color w:val="auto"/>
        </w:rPr>
        <w:t>applicable Lending Office to make, maintain or fund Eurodollar Rate Loans (whether denominated in Dollars, Canadian Dollars, Euros, Pounds Sterling or an Alternative Currency), or to determine or charge interest rates based upon the Eurodollar Rate (including the Overnight LIBO Rate), or any Governmental Authority has imposed material restrictions on the authority of such Lender to purchase or sell, or to take deposits of, Dollars, Canadian Dollars, Euros, Pounds Sterling or any Alternative Currency in the London interbank market, then, on notice thereof by such Lender to the U.S. Borrower, the Canadian Borrower or the Dutch Borrower, as applicable, through the applicable Facility Agent, any obligation of such Lender to make or continue Eurodollar Rate Loans or Overnight LIBO Rate Loans in the applicable currency or to convert Base Rate Loans or Overnight LIBO Rate Loans to Eurodollar Rate Loans in the applicable currency shall be suspended until such Lender notifies the applicable Facility Agent and the applicable Borrower that the circumstances giving rise to such determination no longer exist. Upon receipt of such notice, the U.S. Borrower shall, upon demand from such Lender (with a copy to applicable Facility Agent), (x) convert all Eurodollar Rate Loans of such Lender denominated in Dollars to Base Rate Loans and (y) to the extent such Eurodollar Rate Loans or Overnight LIBO Rate Loans are denominated in an Alternative Currency, prepay such Loans, in each case either on the last day of the Interest Period therefor, if such Lender may lawfully continue to maintain such Eurodollar Rate Loans to such day, or immediately, if such Lender may not lawfully continue to maintain such Eurodollar Rate Loans or in the case of Overnight LIBO Rate Loans. Upon any such conversion or prepayment, the U.S. Borrower shall also pay accrued interest on the amount so converted or prepaid. Upon receipt of such notice, the Canadian Borrower and the Dutch Borrower, as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773" w:right="339" w:bottom="1440" w:gutter="0" w:footer="0" w:header="0"/>
        </w:sectPr>
      </w:pPr>
    </w:p>
    <w:bookmarkStart w:id="155" w:name="page156"/>
    <w:bookmarkEnd w:id="155"/>
    <w:p>
      <w:pPr>
        <w:ind w:right="20"/>
        <w:spacing w:after="0" w:line="291" w:lineRule="auto"/>
        <w:rPr>
          <w:sz w:val="20"/>
          <w:szCs w:val="20"/>
          <w:color w:val="auto"/>
        </w:rPr>
      </w:pPr>
      <w:r>
        <w:rPr>
          <w:rFonts w:ascii="Arial" w:cs="Arial" w:eastAsia="Arial" w:hAnsi="Arial"/>
          <w:sz w:val="16"/>
          <w:szCs w:val="16"/>
          <w:color w:val="auto"/>
        </w:rPr>
        <w:t>applicable, shall, upon demand from such Lender (with a copy to the Canadian Agent and the European Agent) (x) to the extent such Eurodollar Rate Loans are denominated in Dollars, convert such Eurodollar Rate Loans of such Lender to Canadian U.S. Base Rate Loans, (y) to the extent such Eurodollar Rate Loans are denominated in Canadian Dollars, convert such Eurodollar Rate Loans of such Lender to Canadian Prime Rate Loans, or (z) to the extent such Eurodollar Rate Loans or Overnight LIBO Rate Loans are denominated in Euros, Pounds Sterling or an Alternative Currency, prepay such Loans, in each case either on the last day of the Interest Period therefor, if such Lender may lawfully continue to maintain such Eurodollar Rate Loans to such day, or immediately, if such Lender may not lawfully continue to maintain such Eurodollar Rate Loans or Overnight LIBO Rate Loans. Upon any such conversion or prepayment, the Canadian Borrower and the Dutch Borrower, as applicable, shall also pay accrued interest on the amount so converted or prepaid.</w:t>
      </w:r>
    </w:p>
    <w:p>
      <w:pPr>
        <w:spacing w:after="0" w:line="15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6"/>
          <w:szCs w:val="16"/>
          <w:b w:val="1"/>
          <w:bCs w:val="1"/>
          <w:u w:val="single" w:color="auto"/>
          <w:color w:val="auto"/>
        </w:rPr>
        <w:t>Inability to Determine Rates</w:t>
      </w:r>
      <w:r>
        <w:rPr>
          <w:rFonts w:ascii="Arial" w:cs="Arial" w:eastAsia="Arial" w:hAnsi="Arial"/>
          <w:sz w:val="16"/>
          <w:szCs w:val="16"/>
          <w:color w:val="auto"/>
        </w:rPr>
        <w:t>.</w:t>
      </w:r>
    </w:p>
    <w:p>
      <w:pPr>
        <w:spacing w:after="0" w:line="238" w:lineRule="exact"/>
        <w:rPr>
          <w:sz w:val="20"/>
          <w:szCs w:val="20"/>
          <w:color w:val="auto"/>
        </w:rPr>
      </w:pPr>
    </w:p>
    <w:p>
      <w:pPr>
        <w:ind w:right="60" w:firstLine="656"/>
        <w:spacing w:after="0" w:line="301" w:lineRule="auto"/>
        <w:tabs>
          <w:tab w:leader="none" w:pos="1048" w:val="left"/>
        </w:tabs>
        <w:numPr>
          <w:ilvl w:val="0"/>
          <w:numId w:val="126"/>
        </w:numPr>
        <w:rPr>
          <w:rFonts w:ascii="Arial" w:cs="Arial" w:eastAsia="Arial" w:hAnsi="Arial"/>
          <w:sz w:val="18"/>
          <w:szCs w:val="18"/>
          <w:color w:val="auto"/>
        </w:rPr>
      </w:pPr>
      <w:r>
        <w:rPr>
          <w:rFonts w:ascii="Arial" w:cs="Arial" w:eastAsia="Arial" w:hAnsi="Arial"/>
          <w:sz w:val="16"/>
          <w:szCs w:val="16"/>
          <w:color w:val="auto"/>
        </w:rPr>
        <w:t>If (i) the applicable Facility Agent determines that for any reason in connection with any request for an Overnight LIBO Rate Loan or a Eurodollar Rate Loan or a conversion to or continuation thereof that (A) Dollar, Canadian Dollar, Euro, Pounds Sterling or any applicable Alternative Currency deposits are not being offered to banks in the London interbank eurodollar market for the applicable amount and/or Interest Period of such Eurodollar Rate Loan or Overnight LIBO Rate Loan or (B) adequate and reasonable means do not exist for determining the Overnight LIBO Rate or the Eurodollar Rate for any requested Interest Period with respect to a proposed Eurodollar Rate Loan or Overnight LIBO Rate Loan (whether denominated in Dollars, Canadian Dollars, Euros, Pounds Sterling or in an Alternative Currency), or (ii) the Required Lenders advise the applicable Facility Agent in writing that the Overnight LIBO Rate or Eurodollar Rate, as applicable, for any requested Interest Period with respect to a proposed Eurodollar Rate Loan or Overnight LIBO Rate Loan does not adequately and fairly reflect the cost to such Lenders of funding such Loan, in any such case, the Administrative Agent will promptly so notify the applicable Borrower and each Lender. Thereafter, the obligation of the Lenders to make or maintain Overnight LIBO Rate Loans and Eurodollar Rate Loans in the relevant currency shall be suspended until the Administrative Agent (upon the instruction of the Required Lenders) revokes such notice. Upon receipt of such notice, such Borrower may revoke any pending request for a Borrowing of, conversion to or continuation of Eurodollar Rate Loans or Overnight LIBO Rate Loans, as applicable, or, failing that, will be deemed to have converted such request into a request for a Borrowing of Base Rate Loans, to the extent available in the applicable currency, in the amount specified therein.</w:t>
      </w:r>
    </w:p>
    <w:p>
      <w:pPr>
        <w:spacing w:after="0" w:line="170" w:lineRule="exact"/>
        <w:rPr>
          <w:rFonts w:ascii="Arial" w:cs="Arial" w:eastAsia="Arial" w:hAnsi="Arial"/>
          <w:sz w:val="18"/>
          <w:szCs w:val="18"/>
          <w:color w:val="auto"/>
        </w:rPr>
      </w:pPr>
    </w:p>
    <w:p>
      <w:pPr>
        <w:ind w:firstLine="656"/>
        <w:spacing w:after="0" w:line="300" w:lineRule="auto"/>
        <w:tabs>
          <w:tab w:leader="none" w:pos="1058" w:val="left"/>
        </w:tabs>
        <w:numPr>
          <w:ilvl w:val="0"/>
          <w:numId w:val="126"/>
        </w:numPr>
        <w:rPr>
          <w:rFonts w:ascii="Arial" w:cs="Arial" w:eastAsia="Arial" w:hAnsi="Arial"/>
          <w:sz w:val="18"/>
          <w:szCs w:val="18"/>
          <w:color w:val="auto"/>
        </w:rPr>
      </w:pPr>
      <w:r>
        <w:rPr>
          <w:rFonts w:ascii="Arial" w:cs="Arial" w:eastAsia="Arial" w:hAnsi="Arial"/>
          <w:sz w:val="16"/>
          <w:szCs w:val="16"/>
          <w:color w:val="auto"/>
        </w:rPr>
        <w:t xml:space="preserve">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Eurodollar Rate and/or Overnight LIBO Rate has made a public statement that the administrator of the Eurodollar Rate and/or Overnight LIBO Rate is insolvent (and there is no successor administrator that will continue publication of the Eurodollar Rate and/or Overnight LIBO Rate), (x) the administrator of the Eurodollar Rate and/or Overnight LIBO Rate has made a public statement identifying a specific date after which the Eurodollar Rate and/or Overnight LIBO Rate will permanently or indefinitely cease to be published by it (and there is no successor administrator that will continue publication of the Eurodollar Rate and/or Overnight LIBO Rate), (y) the supervisor for the administrator of the Eurodollar Rate and/or Overnight LIBO Rate has made a public statement identifying a specific date after which the Eurodollar Rate and/or Overnight LIBO Rate will permanently or indefinitely cease to be published or (z) the supervisor for the administrator of the Eurodollar Rate and/or Overnight LIBO Rate or a Governmental Authority having jurisdiction over the Administrative Agent has made a public statement identifying a specific date after which the Eurodollar Rate and/or Overnight LIBO Rate may no longer be used for determining interest rates for loans, then the Administrative Agent and the U.S. Borrower shall endeavor to establish an alternate rate of interest to the Eurodollar Base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alternate rate of interest as so determined would be less than zero, such rate shall be deemed to be zero for the purposes of this Agreement. Notwithstanding anything to the contrary in </w:t>
      </w:r>
      <w:r>
        <w:rPr>
          <w:rFonts w:ascii="Arial" w:cs="Arial" w:eastAsia="Arial" w:hAnsi="Arial"/>
          <w:sz w:val="16"/>
          <w:szCs w:val="16"/>
          <w:u w:val="single" w:color="auto"/>
          <w:color w:val="auto"/>
        </w:rPr>
        <w:t>Section 10.01</w:t>
      </w:r>
      <w:r>
        <w:rPr>
          <w:rFonts w:ascii="Arial" w:cs="Arial" w:eastAsia="Arial" w:hAnsi="Arial"/>
          <w:sz w:val="16"/>
          <w:szCs w:val="16"/>
          <w:color w:val="auto"/>
        </w:rPr>
        <w:t>, such amendment shall become effective without any further action or consent of any other party to this Agreement so long as the Administrative Agent shall not have received, within five Business Days of the date written notice of such alternate rate of interest is provided to the Lenders, a written notice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341" w:right="359" w:bottom="1440" w:gutter="0" w:footer="0" w:header="0"/>
        </w:sectPr>
      </w:pPr>
    </w:p>
    <w:bookmarkStart w:id="156" w:name="page157"/>
    <w:bookmarkEnd w:id="156"/>
    <w:p>
      <w:pPr>
        <w:ind w:right="60"/>
        <w:spacing w:after="0" w:line="267" w:lineRule="auto"/>
        <w:rPr>
          <w:sz w:val="20"/>
          <w:szCs w:val="20"/>
          <w:color w:val="auto"/>
        </w:rPr>
      </w:pPr>
      <w:r>
        <w:rPr>
          <w:rFonts w:ascii="Arial" w:cs="Arial" w:eastAsia="Arial" w:hAnsi="Arial"/>
          <w:sz w:val="17"/>
          <w:szCs w:val="17"/>
          <w:color w:val="auto"/>
        </w:rPr>
        <w:t xml:space="preserve">from the Required Lenders stating that such Required Lenders object to such amendment. Until an alternate rate of interest shall be determined in accordance with this clause (b) (but, in the case of the circumstances described in clause (ii) of the first sentence of this </w:t>
      </w:r>
      <w:r>
        <w:rPr>
          <w:rFonts w:ascii="Arial" w:cs="Arial" w:eastAsia="Arial" w:hAnsi="Arial"/>
          <w:sz w:val="17"/>
          <w:szCs w:val="17"/>
          <w:u w:val="single" w:color="auto"/>
          <w:color w:val="auto"/>
        </w:rPr>
        <w:t>Section 3.03(b)</w:t>
      </w:r>
      <w:r>
        <w:rPr>
          <w:rFonts w:ascii="Arial" w:cs="Arial" w:eastAsia="Arial" w:hAnsi="Arial"/>
          <w:sz w:val="17"/>
          <w:szCs w:val="17"/>
          <w:color w:val="auto"/>
        </w:rPr>
        <w:t>, only to the extent the Eurodollar Rate and/or Overnight LIBO Rate for the applicable currency and such Interest Period is not available or published at such time on a current basis), (A) any Eurodollar Rate Loans requested to be made, converted or continued as or into, as applicable, Eurodollar Rate Loans denominated in Dollars shall automatically (in the case of conversions or continuations, on the last day of the then existing Interest Period) be converted or continued as or into, as applicable, Base Rate Loans (in the case of U.S. Dollar Facility Revolving Loans) or Canadian U.S. Base Rate Loans (in the case of Multicurrency Facility Revolving Loans), (B) any Eurodollar Rate Loans requested to be made, converted or</w:t>
      </w:r>
    </w:p>
    <w:p>
      <w:pPr>
        <w:spacing w:after="0" w:line="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continued as or into, as applicable, Eurodollar Rate Loans denominated in Canadian Dollars shall automatically (in the case of conversions or continuations, on the last day of the then existing Interest Period) be converted or continued as or into, as applicable, Canadian Prime Rate Loans, (C) any Borrowing or Conversion Notice that requests the making of an Overnight LIBO Rate Loan or Eurocurrency Rate Loan in an affected currency (other than Dollars or Canadian Dollars pursuant to clauses (A) and (B) above, respectively) shall be ineffective, and (D) any Loans denominated in an affected currency (other than Dollars or Canadian Dollars pursuant to clauses (A) and (B) above, respectively) shall be made or maintained at a rate for short term borrowings of such currency determined in a customary manner in good faith by the Administrative Agent.</w:t>
      </w:r>
    </w:p>
    <w:p>
      <w:pPr>
        <w:spacing w:after="0" w:line="17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3.04</w:t>
      </w:r>
      <w:r>
        <w:rPr>
          <w:sz w:val="20"/>
          <w:szCs w:val="20"/>
          <w:color w:val="auto"/>
        </w:rPr>
        <w:tab/>
      </w:r>
      <w:r>
        <w:rPr>
          <w:rFonts w:ascii="Arial" w:cs="Arial" w:eastAsia="Arial" w:hAnsi="Arial"/>
          <w:sz w:val="15"/>
          <w:szCs w:val="15"/>
          <w:b w:val="1"/>
          <w:bCs w:val="1"/>
          <w:u w:val="single" w:color="auto"/>
          <w:color w:val="auto"/>
        </w:rPr>
        <w:t>Increased Costs; Reserves on Eurodollar Rate Loans</w:t>
      </w:r>
      <w:r>
        <w:rPr>
          <w:rFonts w:ascii="Arial" w:cs="Arial" w:eastAsia="Arial" w:hAnsi="Arial"/>
          <w:sz w:val="15"/>
          <w:szCs w:val="15"/>
          <w:color w:val="auto"/>
        </w:rPr>
        <w:t>.</w:t>
      </w:r>
    </w:p>
    <w:p>
      <w:pPr>
        <w:spacing w:after="0" w:line="238" w:lineRule="exact"/>
        <w:rPr>
          <w:sz w:val="20"/>
          <w:szCs w:val="20"/>
          <w:color w:val="auto"/>
        </w:rPr>
      </w:pPr>
    </w:p>
    <w:p>
      <w:pPr>
        <w:ind w:left="1060" w:hanging="404"/>
        <w:spacing w:after="0"/>
        <w:tabs>
          <w:tab w:leader="none" w:pos="1060" w:val="left"/>
        </w:tabs>
        <w:numPr>
          <w:ilvl w:val="0"/>
          <w:numId w:val="127"/>
        </w:numPr>
        <w:rPr>
          <w:rFonts w:ascii="Arial" w:cs="Arial" w:eastAsia="Arial" w:hAnsi="Arial"/>
          <w:sz w:val="20"/>
          <w:szCs w:val="20"/>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15" w:lineRule="exact"/>
        <w:rPr>
          <w:rFonts w:ascii="Arial" w:cs="Arial" w:eastAsia="Arial" w:hAnsi="Arial"/>
          <w:sz w:val="20"/>
          <w:szCs w:val="20"/>
          <w:color w:val="auto"/>
        </w:rPr>
      </w:pPr>
    </w:p>
    <w:p>
      <w:pPr>
        <w:ind w:left="660" w:right="40" w:firstLine="644"/>
        <w:spacing w:after="0" w:line="264" w:lineRule="auto"/>
        <w:tabs>
          <w:tab w:leader="none" w:pos="1675" w:val="left"/>
        </w:tabs>
        <w:numPr>
          <w:ilvl w:val="1"/>
          <w:numId w:val="127"/>
        </w:numPr>
        <w:rPr>
          <w:rFonts w:ascii="Arial" w:cs="Arial" w:eastAsia="Arial" w:hAnsi="Arial"/>
          <w:sz w:val="20"/>
          <w:szCs w:val="20"/>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196" w:lineRule="exact"/>
        <w:rPr>
          <w:rFonts w:ascii="Arial" w:cs="Arial" w:eastAsia="Arial" w:hAnsi="Arial"/>
          <w:sz w:val="20"/>
          <w:szCs w:val="20"/>
          <w:color w:val="auto"/>
        </w:rPr>
      </w:pPr>
    </w:p>
    <w:p>
      <w:pPr>
        <w:ind w:left="660" w:right="200" w:firstLine="644"/>
        <w:spacing w:after="0" w:line="310" w:lineRule="auto"/>
        <w:tabs>
          <w:tab w:leader="none" w:pos="1729" w:val="left"/>
        </w:tabs>
        <w:numPr>
          <w:ilvl w:val="1"/>
          <w:numId w:val="127"/>
        </w:numPr>
        <w:rPr>
          <w:rFonts w:ascii="Arial" w:cs="Arial" w:eastAsia="Arial" w:hAnsi="Arial"/>
          <w:sz w:val="18"/>
          <w:szCs w:val="18"/>
          <w:color w:val="auto"/>
        </w:rPr>
      </w:pPr>
      <w:r>
        <w:rPr>
          <w:rFonts w:ascii="Arial" w:cs="Arial" w:eastAsia="Arial" w:hAnsi="Arial"/>
          <w:sz w:val="16"/>
          <w:szCs w:val="16"/>
          <w:color w:val="auto"/>
        </w:rPr>
        <w:t xml:space="preserve">subject any Lender or any L/C Issuer to any Tax of any kind whatsoever with respect to this Agreement, any Letter of Credit, any participation in a Letter of Credit or any Loan made by it, change the basis of taxation of payments to such Lender or any L/C Issuer in respect thereof (except, in each case, for (y) Indemnified Taxes or Other Taxes indemnifiable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or (z) any Excluded Tax); or</w:t>
      </w:r>
    </w:p>
    <w:p>
      <w:pPr>
        <w:spacing w:after="0" w:line="161" w:lineRule="exact"/>
        <w:rPr>
          <w:rFonts w:ascii="Arial" w:cs="Arial" w:eastAsia="Arial" w:hAnsi="Arial"/>
          <w:sz w:val="18"/>
          <w:szCs w:val="18"/>
          <w:color w:val="auto"/>
        </w:rPr>
      </w:pPr>
    </w:p>
    <w:p>
      <w:pPr>
        <w:jc w:val="both"/>
        <w:ind w:left="660" w:right="600" w:firstLine="644"/>
        <w:spacing w:after="0" w:line="329" w:lineRule="auto"/>
        <w:tabs>
          <w:tab w:leader="none" w:pos="1785" w:val="left"/>
        </w:tabs>
        <w:numPr>
          <w:ilvl w:val="1"/>
          <w:numId w:val="127"/>
        </w:numPr>
        <w:rPr>
          <w:rFonts w:ascii="Arial" w:cs="Arial" w:eastAsia="Arial" w:hAnsi="Arial"/>
          <w:sz w:val="18"/>
          <w:szCs w:val="18"/>
          <w:color w:val="auto"/>
        </w:rPr>
      </w:pPr>
      <w:r>
        <w:rPr>
          <w:rFonts w:ascii="Arial" w:cs="Arial" w:eastAsia="Arial" w:hAnsi="Arial"/>
          <w:sz w:val="16"/>
          <w:szCs w:val="16"/>
          <w:color w:val="auto"/>
        </w:rPr>
        <w:t>impose on any Lender or any L/C Issuer or the London interbank market any other condition, cost or expense affecting this Agreement or Eurodollar Rate Loans or Overnight LIBO Rate Loans made by such Lender or any Letter of Credit or participation therein;</w:t>
      </w:r>
    </w:p>
    <w:p>
      <w:pPr>
        <w:spacing w:after="0" w:line="12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Eurodollar Rate Loan or Overnight LIBO Rate Loan (or, with respect to clause (ii) above, any Loan), or of maintaining its obligation to make any such Loan, or to increase the cost to such Lender or any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applicable Borrower will pay to such Lender or such L/C Issuer, as the case may be, such additional amount or amounts as will compensate such Lender or such L/C Issuer, as the case may be, for such additional costs incurred or reduction suffered.</w:t>
      </w:r>
    </w:p>
    <w:p>
      <w:pPr>
        <w:spacing w:after="0" w:line="208" w:lineRule="exact"/>
        <w:rPr>
          <w:sz w:val="20"/>
          <w:szCs w:val="20"/>
          <w:color w:val="auto"/>
        </w:rPr>
      </w:pPr>
    </w:p>
    <w:p>
      <w:pPr>
        <w:ind w:firstLine="656"/>
        <w:spacing w:after="0" w:line="303" w:lineRule="auto"/>
        <w:tabs>
          <w:tab w:leader="none" w:pos="1058" w:val="left"/>
        </w:tabs>
        <w:numPr>
          <w:ilvl w:val="0"/>
          <w:numId w:val="128"/>
        </w:numPr>
        <w:rPr>
          <w:rFonts w:ascii="Arial" w:cs="Arial" w:eastAsia="Arial" w:hAnsi="Arial"/>
          <w:sz w:val="18"/>
          <w:szCs w:val="18"/>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any L/C Issuer determines in good faith but in its sole and absolute discretion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341" w:right="339" w:bottom="1440" w:gutter="0" w:footer="0" w:header="0"/>
        </w:sectPr>
      </w:pPr>
    </w:p>
    <w:bookmarkStart w:id="157" w:name="page158"/>
    <w:bookmarkEnd w:id="157"/>
    <w:p>
      <w:pPr>
        <w:ind w:right="60"/>
        <w:spacing w:after="0" w:line="259" w:lineRule="auto"/>
        <w:rPr>
          <w:sz w:val="20"/>
          <w:szCs w:val="20"/>
          <w:color w:val="auto"/>
        </w:rPr>
      </w:pPr>
      <w:r>
        <w:rPr>
          <w:rFonts w:ascii="Arial" w:cs="Arial" w:eastAsia="Arial" w:hAnsi="Arial"/>
          <w:sz w:val="18"/>
          <w:szCs w:val="18"/>
          <w:color w:val="auto"/>
        </w:rPr>
        <w:t>consideration such Lender’s or such L/C Issuer’s policies and the policies of such Lender’s or such L/C Issuer’s holding company with respect to capital or liquidity adequacy), then from time to time, the applicable Borrower will pay to such Lender or such L/C Issuer, as the case may be, such additional amount or amounts as will compensate such Lender or such L/C Issuer or such Lender’s or such L/C Issuer’s holding company for any such reduction suffered.</w:t>
      </w:r>
    </w:p>
    <w:p>
      <w:pPr>
        <w:spacing w:after="0" w:line="200" w:lineRule="exact"/>
        <w:rPr>
          <w:sz w:val="20"/>
          <w:szCs w:val="20"/>
          <w:color w:val="auto"/>
        </w:rPr>
      </w:pPr>
    </w:p>
    <w:p>
      <w:pPr>
        <w:ind w:right="40" w:firstLine="656"/>
        <w:spacing w:after="0" w:line="265" w:lineRule="auto"/>
        <w:tabs>
          <w:tab w:leader="none" w:pos="1048" w:val="left"/>
        </w:tabs>
        <w:numPr>
          <w:ilvl w:val="0"/>
          <w:numId w:val="129"/>
        </w:numPr>
        <w:rPr>
          <w:rFonts w:ascii="Arial" w:cs="Arial" w:eastAsia="Arial" w:hAnsi="Arial"/>
          <w:sz w:val="20"/>
          <w:szCs w:val="20"/>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an L/C Issuer setting forth the amount or amounts necessary to compensate such Lender or such L/C Issuer or its holding company, as the case may be, as specified in subsection (a), (b) or (e)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and delivered to the applicable Borrower shall be conclusive absent manifest error. The applicable Borrower shall pay such Lender or such L/C Issuer, as the case may be, the amount shown as due on any such certificate within 10 days after receipt thereof.</w:t>
      </w:r>
    </w:p>
    <w:p>
      <w:pPr>
        <w:spacing w:after="0" w:line="194" w:lineRule="exact"/>
        <w:rPr>
          <w:rFonts w:ascii="Arial" w:cs="Arial" w:eastAsia="Arial" w:hAnsi="Arial"/>
          <w:sz w:val="20"/>
          <w:szCs w:val="20"/>
          <w:color w:val="auto"/>
        </w:rPr>
      </w:pPr>
    </w:p>
    <w:p>
      <w:pPr>
        <w:ind w:right="40" w:firstLine="656"/>
        <w:spacing w:after="0" w:line="283" w:lineRule="auto"/>
        <w:tabs>
          <w:tab w:leader="none" w:pos="1058" w:val="left"/>
        </w:tabs>
        <w:numPr>
          <w:ilvl w:val="0"/>
          <w:numId w:val="129"/>
        </w:numPr>
        <w:rPr>
          <w:rFonts w:ascii="Arial" w:cs="Arial" w:eastAsia="Arial" w:hAnsi="Arial"/>
          <w:sz w:val="19"/>
          <w:szCs w:val="19"/>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or any L/C Issuer to demand compensation pursuant to the foregoing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shall not constitute a waiver of such Lender’s or such L/C Issuer’s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Borrower shall not be required to compensate a Lender or an L/C Issuer pursuant to the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for any increased costs incurred or reductions suffered more than nine months prior to the date that such Lender or such L/C Issuer, as the case may be, notifies the applicable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1" w:lineRule="exact"/>
        <w:rPr>
          <w:rFonts w:ascii="Arial" w:cs="Arial" w:eastAsia="Arial" w:hAnsi="Arial"/>
          <w:sz w:val="19"/>
          <w:szCs w:val="19"/>
          <w:color w:val="auto"/>
        </w:rPr>
      </w:pPr>
    </w:p>
    <w:p>
      <w:pPr>
        <w:ind w:firstLine="656"/>
        <w:spacing w:after="0" w:line="265" w:lineRule="auto"/>
        <w:tabs>
          <w:tab w:leader="none" w:pos="1048" w:val="left"/>
        </w:tabs>
        <w:numPr>
          <w:ilvl w:val="0"/>
          <w:numId w:val="129"/>
        </w:numPr>
        <w:rPr>
          <w:rFonts w:ascii="Arial" w:cs="Arial" w:eastAsia="Arial" w:hAnsi="Arial"/>
          <w:sz w:val="20"/>
          <w:szCs w:val="20"/>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The applicable Borrower shall pay to each applicable Lender, as long as such Lender shall be required to maintain reserves with respect to liabilities or assets consisting of or including Eurodollar funds or deposits (currently known as “</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75" w:lineRule="exact"/>
        <w:rPr>
          <w:sz w:val="20"/>
          <w:szCs w:val="20"/>
          <w:color w:val="auto"/>
        </w:rPr>
      </w:pPr>
    </w:p>
    <w:p>
      <w:pPr>
        <w:ind w:right="20" w:firstLine="648"/>
        <w:spacing w:after="0" w:line="271" w:lineRule="auto"/>
        <w:rPr>
          <w:sz w:val="20"/>
          <w:szCs w:val="20"/>
          <w:color w:val="auto"/>
        </w:rPr>
      </w:pPr>
      <w:r>
        <w:rPr>
          <w:rFonts w:ascii="Arial" w:cs="Arial" w:eastAsia="Arial" w:hAnsi="Arial"/>
          <w:sz w:val="20"/>
          <w:szCs w:val="20"/>
          <w:b w:val="1"/>
          <w:bCs w:val="1"/>
          <w:color w:val="auto"/>
        </w:rPr>
        <w:t xml:space="preserve">3.05 </w:t>
      </w:r>
      <w:r>
        <w:rPr>
          <w:rFonts w:ascii="Arial" w:cs="Arial" w:eastAsia="Arial" w:hAnsi="Arial"/>
          <w:sz w:val="17"/>
          <w:szCs w:val="17"/>
          <w:b w:val="1"/>
          <w:bCs w:val="1"/>
          <w:u w:val="single" w:color="auto"/>
          <w:color w:val="auto"/>
        </w:rPr>
        <w:t>Compensation for Losses</w:t>
      </w:r>
      <w:r>
        <w:rPr>
          <w:rFonts w:ascii="Arial" w:cs="Arial" w:eastAsia="Arial" w:hAnsi="Arial"/>
          <w:sz w:val="17"/>
          <w:szCs w:val="17"/>
          <w:color w:val="auto"/>
        </w:rPr>
        <w:t>. Upon demand of any Lender (with a copy to the Administrative Agent and any other applicable Facility Agent)</w:t>
      </w:r>
      <w:r>
        <w:rPr>
          <w:rFonts w:ascii="Arial" w:cs="Arial" w:eastAsia="Arial" w:hAnsi="Arial"/>
          <w:sz w:val="20"/>
          <w:szCs w:val="20"/>
          <w:b w:val="1"/>
          <w:bCs w:val="1"/>
          <w:color w:val="auto"/>
        </w:rPr>
        <w:t xml:space="preserve"> </w:t>
      </w:r>
      <w:r>
        <w:rPr>
          <w:rFonts w:ascii="Arial" w:cs="Arial" w:eastAsia="Arial" w:hAnsi="Arial"/>
          <w:sz w:val="17"/>
          <w:szCs w:val="17"/>
          <w:color w:val="auto"/>
        </w:rPr>
        <w:t>from time to time, the applicable Borrower shall promptly compensate such Lender for and hold such Lender harmless from any loss, cost or expense incurred by it as a result of:</w:t>
      </w:r>
    </w:p>
    <w:p>
      <w:pPr>
        <w:spacing w:after="0" w:line="186" w:lineRule="exact"/>
        <w:rPr>
          <w:sz w:val="20"/>
          <w:szCs w:val="20"/>
          <w:color w:val="auto"/>
        </w:rPr>
      </w:pPr>
    </w:p>
    <w:p>
      <w:pPr>
        <w:jc w:val="both"/>
        <w:ind w:left="660" w:right="260" w:firstLine="644"/>
        <w:spacing w:after="0" w:line="264" w:lineRule="auto"/>
        <w:tabs>
          <w:tab w:leader="none" w:pos="1708" w:val="left"/>
        </w:tabs>
        <w:numPr>
          <w:ilvl w:val="0"/>
          <w:numId w:val="130"/>
        </w:numPr>
        <w:rPr>
          <w:rFonts w:ascii="Arial" w:cs="Arial" w:eastAsia="Arial" w:hAnsi="Arial"/>
          <w:sz w:val="20"/>
          <w:szCs w:val="20"/>
          <w:color w:val="auto"/>
        </w:rPr>
      </w:pPr>
      <w:r>
        <w:rPr>
          <w:rFonts w:ascii="Arial" w:cs="Arial" w:eastAsia="Arial" w:hAnsi="Arial"/>
          <w:sz w:val="18"/>
          <w:szCs w:val="18"/>
          <w:color w:val="auto"/>
        </w:rPr>
        <w:t>any continuation, conversion, payment or prepayment of any Loan other than a Base Rate Loan, Canadian U.S. Base Rate Loan, Canadian Prime Rate Loan or Overnight LIBO Rate Loan on a day prior to the last day of the Interest Period for such Loan (whether voluntary, mandatory, automatic, by reason of acceleration, or otherwise) or of any L/C Borrowing;</w:t>
      </w:r>
    </w:p>
    <w:p>
      <w:pPr>
        <w:spacing w:after="0" w:line="196" w:lineRule="exact"/>
        <w:rPr>
          <w:rFonts w:ascii="Arial" w:cs="Arial" w:eastAsia="Arial" w:hAnsi="Arial"/>
          <w:sz w:val="20"/>
          <w:szCs w:val="20"/>
          <w:color w:val="auto"/>
        </w:rPr>
      </w:pPr>
    </w:p>
    <w:p>
      <w:pPr>
        <w:ind w:left="660" w:right="180" w:firstLine="644"/>
        <w:spacing w:after="0" w:line="264" w:lineRule="auto"/>
        <w:tabs>
          <w:tab w:leader="none" w:pos="1718" w:val="left"/>
        </w:tabs>
        <w:numPr>
          <w:ilvl w:val="0"/>
          <w:numId w:val="130"/>
        </w:numPr>
        <w:rPr>
          <w:rFonts w:ascii="Arial" w:cs="Arial" w:eastAsia="Arial" w:hAnsi="Arial"/>
          <w:sz w:val="20"/>
          <w:szCs w:val="20"/>
          <w:color w:val="auto"/>
        </w:rPr>
      </w:pPr>
      <w:r>
        <w:rPr>
          <w:rFonts w:ascii="Arial" w:cs="Arial" w:eastAsia="Arial" w:hAnsi="Arial"/>
          <w:sz w:val="18"/>
          <w:szCs w:val="18"/>
          <w:color w:val="auto"/>
        </w:rPr>
        <w:t>any failure by such Borrower (for a reason other than the failure of such Lender to make a Loan) to prepay, borrow, continue or convert any Loan other than a Base Rate Loan, Canadian U.S. Base Rate Loan, Canadian Prime Rate Loan or Overnight LIBO Rate Loan on the date or in the amount notified by such Borrower; or</w:t>
      </w:r>
    </w:p>
    <w:p>
      <w:pPr>
        <w:spacing w:after="0" w:line="196" w:lineRule="exact"/>
        <w:rPr>
          <w:rFonts w:ascii="Arial" w:cs="Arial" w:eastAsia="Arial" w:hAnsi="Arial"/>
          <w:sz w:val="20"/>
          <w:szCs w:val="20"/>
          <w:color w:val="auto"/>
        </w:rPr>
      </w:pPr>
    </w:p>
    <w:p>
      <w:pPr>
        <w:jc w:val="both"/>
        <w:ind w:left="660" w:right="100" w:firstLine="644"/>
        <w:spacing w:after="0" w:line="264" w:lineRule="auto"/>
        <w:tabs>
          <w:tab w:leader="none" w:pos="1708" w:val="left"/>
        </w:tabs>
        <w:numPr>
          <w:ilvl w:val="0"/>
          <w:numId w:val="130"/>
        </w:numPr>
        <w:rPr>
          <w:rFonts w:ascii="Arial" w:cs="Arial" w:eastAsia="Arial" w:hAnsi="Arial"/>
          <w:sz w:val="20"/>
          <w:szCs w:val="20"/>
          <w:color w:val="auto"/>
        </w:rPr>
      </w:pPr>
      <w:r>
        <w:rPr>
          <w:rFonts w:ascii="Arial" w:cs="Arial" w:eastAsia="Arial" w:hAnsi="Arial"/>
          <w:sz w:val="18"/>
          <w:szCs w:val="18"/>
          <w:color w:val="auto"/>
        </w:rPr>
        <w:t xml:space="preserve">any assignment of any Loan other than a Base Rate Loan, Canadian U.S. Base Rate Loan, Canadian Prime Rate Loan or Overnight LIBO Rate Loan on a day prior to the last day of the Interest Period therefor as a result of a request by such Borrower pursuant to </w:t>
      </w:r>
      <w:r>
        <w:rPr>
          <w:rFonts w:ascii="Arial" w:cs="Arial" w:eastAsia="Arial" w:hAnsi="Arial"/>
          <w:sz w:val="18"/>
          <w:szCs w:val="18"/>
          <w:u w:val="single" w:color="auto"/>
          <w:color w:val="auto"/>
        </w:rPr>
        <w:t>Section 3.06(b)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including any loss or expense (excluding loss of anticipated profits or margin) arising from the liquidation or reemployment of funds obtained by it to maintain such Loan or from fees payable to terminate the deposits from which such funds were obtained. The applicable Borrower shall also pay any reasonable and customary administrative fees charged by such Lender in connection with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to the contrary contained herein or in the Third Amended and Restated Credit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341" w:right="339" w:bottom="1440" w:gutter="0" w:footer="0" w:header="0"/>
        </w:sectPr>
      </w:pPr>
    </w:p>
    <w:bookmarkStart w:id="158" w:name="page159"/>
    <w:bookmarkEnd w:id="158"/>
    <w:p>
      <w:pPr>
        <w:ind w:right="60"/>
        <w:spacing w:after="0" w:line="257" w:lineRule="auto"/>
        <w:rPr>
          <w:sz w:val="20"/>
          <w:szCs w:val="20"/>
          <w:color w:val="auto"/>
        </w:rPr>
      </w:pPr>
      <w:r>
        <w:rPr>
          <w:rFonts w:ascii="Arial" w:cs="Arial" w:eastAsia="Arial" w:hAnsi="Arial"/>
          <w:sz w:val="18"/>
          <w:szCs w:val="18"/>
          <w:color w:val="auto"/>
        </w:rPr>
        <w:t xml:space="preserve">each Lender party to the Third Amended and Restated Credit Agreement agrees to waive its right to compensation for any amounts owing with respect to such Lender’s “Loans” under Section 3.05 of the Third Amended and Restated Credit Agreement; </w:t>
      </w:r>
      <w:r>
        <w:rPr>
          <w:rFonts w:ascii="Arial" w:cs="Arial" w:eastAsia="Arial" w:hAnsi="Arial"/>
          <w:sz w:val="18"/>
          <w:szCs w:val="18"/>
          <w:u w:val="single" w:color="auto"/>
          <w:color w:val="auto"/>
        </w:rPr>
        <w:t>*provided, however, that, notwithstanding anything to</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contrary contained herein, each Lender waives its right to compensation for any amounts owing with respect to such Lender’s “Loans” which are prepaid pursuant to clause (A) of the last sentence of Section 2.05(b) to the extent that such prepayment occurs within 90 days of the Post-Amendment No. 2 Bond Issuance.*</w:t>
      </w:r>
    </w:p>
    <w:p>
      <w:pPr>
        <w:spacing w:after="0" w:line="188"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 xml:space="preserve">For purposes of calculating amounts payable by the applicable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A certificate of any Lender setting forth in reasonable detail any amount or amounts that such Lender is entitled to receive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shall be delivered to the applicable Borrower (with a copy to the Administrative Agent and any other applicable Facility Agent) and shall be conclusive and binding absent manifest error. The applicable Borrower shall pay such Lender the amount shown as due on any such certificate within 5 days after receipt thereof.</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the foregoing, the Loan Parties shall not be required to pay increased losses pursuant to this Section if such losses were incurred more than 270 days prior to the date that an applicable Lender notifies the applicable Borrower of the events giving rise to such notice and of such Lender’s intention to claim compensation therefor (except that, if the event giving rise to such losses is retroactive then such 270 day period referred to above shall be extended to include the period of retroactive effect thereof).</w:t>
      </w:r>
    </w:p>
    <w:p>
      <w:pPr>
        <w:spacing w:after="0" w:line="17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3.06</w:t>
      </w:r>
      <w:r>
        <w:rPr>
          <w:sz w:val="20"/>
          <w:szCs w:val="20"/>
          <w:color w:val="auto"/>
        </w:rPr>
        <w:tab/>
      </w:r>
      <w:r>
        <w:rPr>
          <w:rFonts w:ascii="Arial" w:cs="Arial" w:eastAsia="Arial" w:hAnsi="Arial"/>
          <w:sz w:val="16"/>
          <w:szCs w:val="16"/>
          <w:b w:val="1"/>
          <w:bCs w:val="1"/>
          <w:u w:val="single" w:color="auto"/>
          <w:color w:val="auto"/>
        </w:rPr>
        <w:t>Mitigation Obligations; Replacement of Lenders</w:t>
      </w:r>
      <w:r>
        <w:rPr>
          <w:rFonts w:ascii="Arial" w:cs="Arial" w:eastAsia="Arial" w:hAnsi="Arial"/>
          <w:sz w:val="16"/>
          <w:szCs w:val="16"/>
          <w:color w:val="auto"/>
        </w:rPr>
        <w:t>.</w:t>
      </w:r>
    </w:p>
    <w:p>
      <w:pPr>
        <w:spacing w:after="0" w:line="238" w:lineRule="exact"/>
        <w:rPr>
          <w:sz w:val="20"/>
          <w:szCs w:val="20"/>
          <w:color w:val="auto"/>
        </w:rPr>
      </w:pPr>
    </w:p>
    <w:p>
      <w:pPr>
        <w:ind w:firstLine="656"/>
        <w:spacing w:after="0" w:line="282" w:lineRule="auto"/>
        <w:tabs>
          <w:tab w:leader="none" w:pos="1048" w:val="left"/>
        </w:tabs>
        <w:numPr>
          <w:ilvl w:val="0"/>
          <w:numId w:val="131"/>
        </w:numPr>
        <w:rPr>
          <w:rFonts w:ascii="Arial" w:cs="Arial" w:eastAsia="Arial" w:hAnsi="Arial"/>
          <w:sz w:val="19"/>
          <w:szCs w:val="19"/>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requires the applicable Borrower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to any unreimbursed cost or expense and would not otherwise be disadvantageous to such Lender. Each Borrower hereby agrees to pay all reasonable costs and expenses incurred by any Lender in connection with any such designation or assignment. A certificate setting forth such costs and expenses submitted by such Lender to the applicable Borrower shall be conclusive absent manifest error.</w:t>
      </w:r>
    </w:p>
    <w:p>
      <w:pPr>
        <w:spacing w:after="0" w:line="187" w:lineRule="exact"/>
        <w:rPr>
          <w:rFonts w:ascii="Arial" w:cs="Arial" w:eastAsia="Arial" w:hAnsi="Arial"/>
          <w:sz w:val="19"/>
          <w:szCs w:val="19"/>
          <w:color w:val="auto"/>
        </w:rPr>
      </w:pPr>
    </w:p>
    <w:p>
      <w:pPr>
        <w:jc w:val="both"/>
        <w:ind w:right="20" w:firstLine="656"/>
        <w:spacing w:after="0" w:line="264" w:lineRule="auto"/>
        <w:tabs>
          <w:tab w:leader="none" w:pos="1058" w:val="left"/>
        </w:tabs>
        <w:numPr>
          <w:ilvl w:val="0"/>
          <w:numId w:val="131"/>
        </w:numPr>
        <w:rPr>
          <w:rFonts w:ascii="Arial" w:cs="Arial" w:eastAsia="Arial" w:hAnsi="Arial"/>
          <w:sz w:val="20"/>
          <w:szCs w:val="20"/>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if a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such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4" w:lineRule="exact"/>
        <w:rPr>
          <w:sz w:val="20"/>
          <w:szCs w:val="20"/>
          <w:color w:val="auto"/>
        </w:rPr>
      </w:pPr>
    </w:p>
    <w:p>
      <w:pPr>
        <w:ind w:right="100" w:firstLine="648"/>
        <w:spacing w:after="0" w:line="307" w:lineRule="auto"/>
        <w:rPr>
          <w:sz w:val="20"/>
          <w:szCs w:val="20"/>
          <w:color w:val="auto"/>
        </w:rPr>
      </w:pPr>
      <w:r>
        <w:rPr>
          <w:rFonts w:ascii="Arial" w:cs="Arial" w:eastAsia="Arial" w:hAnsi="Arial"/>
          <w:sz w:val="19"/>
          <w:szCs w:val="19"/>
          <w:b w:val="1"/>
          <w:bCs w:val="1"/>
          <w:color w:val="auto"/>
        </w:rPr>
        <w:t xml:space="preserve">3.07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All of the Borrowers’ obligations under this</w:t>
      </w:r>
      <w:r>
        <w:rPr>
          <w:rFonts w:ascii="Arial" w:cs="Arial" w:eastAsia="Arial" w:hAnsi="Arial"/>
          <w:sz w:val="19"/>
          <w:szCs w:val="19"/>
          <w:b w:val="1"/>
          <w:bCs w:val="1"/>
          <w:color w:val="auto"/>
        </w:rPr>
        <w:t xml:space="preserve"> </w:t>
      </w:r>
      <w:r>
        <w:rPr>
          <w:rFonts w:ascii="Arial" w:cs="Arial" w:eastAsia="Arial" w:hAnsi="Arial"/>
          <w:sz w:val="16"/>
          <w:szCs w:val="16"/>
          <w:u w:val="single" w:color="auto"/>
          <w:color w:val="auto"/>
        </w:rPr>
        <w:t>Article III</w:t>
      </w:r>
      <w:r>
        <w:rPr>
          <w:rFonts w:ascii="Arial" w:cs="Arial" w:eastAsia="Arial" w:hAnsi="Arial"/>
          <w:sz w:val="19"/>
          <w:szCs w:val="19"/>
          <w:b w:val="1"/>
          <w:bCs w:val="1"/>
          <w:color w:val="auto"/>
        </w:rPr>
        <w:t xml:space="preserve"> </w:t>
      </w:r>
      <w:r>
        <w:rPr>
          <w:rFonts w:ascii="Arial" w:cs="Arial" w:eastAsia="Arial" w:hAnsi="Arial"/>
          <w:sz w:val="16"/>
          <w:szCs w:val="16"/>
          <w:color w:val="auto"/>
        </w:rPr>
        <w:t>shall survive termination of the Aggregate Commitments and repayment</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of all other Obligations hereunder. Additionally, the agreements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survive the resignation of the Administrative Agent, the Canadian Agent, the European Agent, any other applicable Facility Agent, the Collateral Agent and the L/C Issuers, the replacement of any Lender, the termination of the Aggregate Commitments and the repayment, satisfaction or discharge of all the other Obligations, including, without limitation, the resignation of Bank of America, NA. and Bank of America, N.A., Canada Branch pursuant to the Agency Resignation and Appointment Agreement.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557" w:right="35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0"/>
          <w:szCs w:val="20"/>
          <w:b w:val="1"/>
          <w:bCs w:val="1"/>
          <w:color w:val="auto"/>
        </w:rPr>
        <w:t>ARTICLE IV</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22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4.01</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4.02</w:t>
      </w:r>
      <w:r>
        <w:rPr>
          <w:sz w:val="20"/>
          <w:szCs w:val="20"/>
          <w:color w:val="auto"/>
        </w:rPr>
        <w:tab/>
      </w:r>
      <w:r>
        <w:rPr>
          <w:rFonts w:ascii="Arial" w:cs="Arial" w:eastAsia="Arial" w:hAnsi="Arial"/>
          <w:sz w:val="16"/>
          <w:szCs w:val="16"/>
          <w:b w:val="1"/>
          <w:bCs w:val="1"/>
          <w:u w:val="single" w:color="auto"/>
          <w:color w:val="auto"/>
        </w:rPr>
        <w:t>Conditions to All Credit Extensions</w:t>
      </w:r>
      <w:r>
        <w:rPr>
          <w:rFonts w:ascii="Arial" w:cs="Arial" w:eastAsia="Arial" w:hAnsi="Arial"/>
          <w:sz w:val="16"/>
          <w:szCs w:val="16"/>
          <w:color w:val="auto"/>
        </w:rPr>
        <w:t>. The obligation of each Lender to honor any Request for Credit Extension (including the initial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Credit Extension) is subject to the following conditions precedent:</w:t>
      </w:r>
    </w:p>
    <w:p>
      <w:pPr>
        <w:spacing w:after="0" w:line="234" w:lineRule="exact"/>
        <w:rPr>
          <w:sz w:val="20"/>
          <w:szCs w:val="20"/>
          <w:color w:val="auto"/>
        </w:rPr>
      </w:pPr>
    </w:p>
    <w:p>
      <w:pPr>
        <w:ind w:left="660" w:right="20" w:firstLine="644"/>
        <w:spacing w:after="0" w:line="302" w:lineRule="auto"/>
        <w:tabs>
          <w:tab w:leader="none" w:pos="1704" w:val="left"/>
        </w:tabs>
        <w:numPr>
          <w:ilvl w:val="0"/>
          <w:numId w:val="132"/>
        </w:numPr>
        <w:rPr>
          <w:rFonts w:ascii="Arial" w:cs="Arial" w:eastAsia="Arial" w:hAnsi="Arial"/>
          <w:sz w:val="18"/>
          <w:szCs w:val="18"/>
          <w:color w:val="auto"/>
        </w:rPr>
      </w:pPr>
      <w:r>
        <w:rPr>
          <w:rFonts w:ascii="Arial" w:cs="Arial" w:eastAsia="Arial" w:hAnsi="Arial"/>
          <w:sz w:val="16"/>
          <w:szCs w:val="16"/>
          <w:color w:val="auto"/>
        </w:rPr>
        <w:t xml:space="preserve">The representations and warranties of the U.S. Borrower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any other Loan Document, or which are contained in any document furnished at any time under or in connection herewith or therewith, shall be true and correct in all material respects on and as of the date of such Credit Extension, except (i) to the extent that such representations and warranties specifically refer to an earlier date, in which case they shall be true and correct in all material aspects as of such earlier date, (ii) to the extent that such representations and warranties are qualified as to materiality, in which case they shall be true and correct in all respects, and (iii)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of the U.S. Borrower and its Subsidiaries furnished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Lenders providing such Credit Extension consisting of Incremental Term Loans may agree to a “funds certain” provision that requires only a bring down of only certain representations and warranties, in which case such “funds certain” provision shall be applicable.</w:t>
      </w:r>
    </w:p>
    <w:p>
      <w:pPr>
        <w:spacing w:after="0" w:line="168" w:lineRule="exact"/>
        <w:rPr>
          <w:rFonts w:ascii="Arial" w:cs="Arial" w:eastAsia="Arial" w:hAnsi="Arial"/>
          <w:sz w:val="18"/>
          <w:szCs w:val="18"/>
          <w:color w:val="auto"/>
        </w:rPr>
      </w:pPr>
    </w:p>
    <w:p>
      <w:pPr>
        <w:ind w:left="660" w:firstLine="644"/>
        <w:spacing w:after="0" w:line="265" w:lineRule="auto"/>
        <w:tabs>
          <w:tab w:leader="none" w:pos="1718" w:val="left"/>
        </w:tabs>
        <w:numPr>
          <w:ilvl w:val="0"/>
          <w:numId w:val="132"/>
        </w:numPr>
        <w:rPr>
          <w:rFonts w:ascii="Arial" w:cs="Arial" w:eastAsia="Arial" w:hAnsi="Arial"/>
          <w:sz w:val="20"/>
          <w:szCs w:val="20"/>
          <w:color w:val="auto"/>
        </w:rPr>
      </w:pPr>
      <w:r>
        <w:rPr>
          <w:rFonts w:ascii="Arial" w:cs="Arial" w:eastAsia="Arial" w:hAnsi="Arial"/>
          <w:sz w:val="18"/>
          <w:szCs w:val="18"/>
          <w:color w:val="auto"/>
        </w:rPr>
        <w:t xml:space="preserve">No Default or Event of Default shall have occurred and be continuing, or would result from such proposed Credit Extension or from the application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Lenders providing such Credit Extension consisting of Incremental Term Loans may agree to a “funds certain” provision that does not impose as a condition to funding thereof that no Default or Event of Default exist at the time of funding.</w:t>
      </w:r>
    </w:p>
    <w:p>
      <w:pPr>
        <w:spacing w:after="0" w:line="194" w:lineRule="exact"/>
        <w:rPr>
          <w:rFonts w:ascii="Arial" w:cs="Arial" w:eastAsia="Arial" w:hAnsi="Arial"/>
          <w:sz w:val="20"/>
          <w:szCs w:val="20"/>
          <w:color w:val="auto"/>
        </w:rPr>
      </w:pPr>
    </w:p>
    <w:p>
      <w:pPr>
        <w:ind w:left="660" w:right="400" w:firstLine="644"/>
        <w:spacing w:after="0" w:line="266" w:lineRule="auto"/>
        <w:tabs>
          <w:tab w:leader="none" w:pos="1704" w:val="left"/>
        </w:tabs>
        <w:numPr>
          <w:ilvl w:val="0"/>
          <w:numId w:val="132"/>
        </w:numPr>
        <w:rPr>
          <w:rFonts w:ascii="Arial" w:cs="Arial" w:eastAsia="Arial" w:hAnsi="Arial"/>
          <w:sz w:val="20"/>
          <w:szCs w:val="20"/>
          <w:color w:val="auto"/>
        </w:rPr>
      </w:pPr>
      <w:r>
        <w:rPr>
          <w:rFonts w:ascii="Arial" w:cs="Arial" w:eastAsia="Arial" w:hAnsi="Arial"/>
          <w:sz w:val="18"/>
          <w:szCs w:val="18"/>
          <w:color w:val="auto"/>
        </w:rPr>
        <w:t>The applicable Facility Agent, the applicable L/C Issuer or the applicable Swing Line Lender shall have received a Request for Credit Extension in accordance with the requirements hereof</w:t>
      </w:r>
    </w:p>
    <w:p>
      <w:pPr>
        <w:spacing w:after="0" w:line="190" w:lineRule="exact"/>
        <w:rPr>
          <w:rFonts w:ascii="Arial" w:cs="Arial" w:eastAsia="Arial" w:hAnsi="Arial"/>
          <w:sz w:val="20"/>
          <w:szCs w:val="20"/>
          <w:color w:val="auto"/>
        </w:rPr>
      </w:pPr>
    </w:p>
    <w:p>
      <w:pPr>
        <w:ind w:left="660" w:right="140" w:firstLine="644"/>
        <w:spacing w:after="0" w:line="302" w:lineRule="auto"/>
        <w:tabs>
          <w:tab w:leader="none" w:pos="1718" w:val="left"/>
        </w:tabs>
        <w:numPr>
          <w:ilvl w:val="0"/>
          <w:numId w:val="132"/>
        </w:numPr>
        <w:rPr>
          <w:rFonts w:ascii="Arial" w:cs="Arial" w:eastAsia="Arial" w:hAnsi="Arial"/>
          <w:sz w:val="18"/>
          <w:szCs w:val="18"/>
          <w:color w:val="auto"/>
        </w:rPr>
      </w:pPr>
      <w:r>
        <w:rPr>
          <w:rFonts w:ascii="Arial" w:cs="Arial" w:eastAsia="Arial" w:hAnsi="Arial"/>
          <w:sz w:val="16"/>
          <w:szCs w:val="16"/>
          <w:u w:val="single" w:color="auto"/>
          <w:color w:val="auto"/>
        </w:rPr>
        <w:t>*If such Request for Credit Extension includes a request for a Borrowing during the Restricted Period, after giving effect to such Borrowing, the sum of the aggregate amount of cash and Cash Equivalents (as of the last day of the most recent fiscal month for which a certificate has been delivered pursuant to Section 6.02(a)) of the U.S. Borrower and its Restricted Subsidiaries plus the amount of the proposed Borrowing shall not be in excess of $700,000,000 unless the U.S. Borrower shall have provided, along with such Request for Credit Extension, a certificate of a Responsible Officer of Borrower certifying (x) that such Borrowing is necessary for a reasonable business purpose (as determined by the U.S. Borrower in its reasonable discretion) within two weeks following such Borrowing (provided that, for the avoidance of doubt, the proceeds of such Borrowing being held as cash or Cash Equivalents shall not constitute a reasonable business purpose) and (y) as to the approximate amount of cash (calculated by the U.S. Borrower in good faith) needed for such business purpose.*</w:t>
      </w:r>
    </w:p>
    <w:p>
      <w:pPr>
        <w:spacing w:after="0" w:line="15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Each Request for Credit Extension submitted by the U.S. Borrower, the Canadian Borrower or the Dutch Borrower, as applicable,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have been satisfied on and as of the date of the applicable Credit Extension.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V</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U.S. Borrower represents and warrants to the Administrative Agent, the Canadian Agent, the European Agent and the Lenders that: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765" w:right="339" w:bottom="1440" w:gutter="0" w:footer="0" w:header="0"/>
        </w:sectPr>
      </w:pPr>
    </w:p>
    <w:bookmarkStart w:id="160" w:name="page161"/>
    <w:bookmarkEnd w:id="160"/>
    <w:p>
      <w:pPr>
        <w:ind w:firstLine="648"/>
        <w:spacing w:after="0" w:line="276" w:lineRule="auto"/>
        <w:rPr>
          <w:sz w:val="20"/>
          <w:szCs w:val="20"/>
          <w:color w:val="auto"/>
        </w:rPr>
      </w:pPr>
      <w:r>
        <w:rPr>
          <w:rFonts w:ascii="Arial" w:cs="Arial" w:eastAsia="Arial" w:hAnsi="Arial"/>
          <w:sz w:val="20"/>
          <w:szCs w:val="20"/>
          <w:b w:val="1"/>
          <w:bCs w:val="1"/>
          <w:color w:val="auto"/>
        </w:rPr>
        <w:t xml:space="preserve">5.01 </w:t>
      </w:r>
      <w:r>
        <w:rPr>
          <w:rFonts w:ascii="Arial" w:cs="Arial" w:eastAsia="Arial" w:hAnsi="Arial"/>
          <w:sz w:val="17"/>
          <w:szCs w:val="17"/>
          <w:b w:val="1"/>
          <w:bCs w:val="1"/>
          <w:u w:val="single" w:color="auto"/>
          <w:color w:val="auto"/>
        </w:rPr>
        <w:t>Existence, Qualification and Power; Compliance with Laws</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Each Loan Party and each Restricted Subsidiary thereof (a) is duly</w:t>
      </w:r>
      <w:r>
        <w:rPr>
          <w:rFonts w:ascii="Arial" w:cs="Arial" w:eastAsia="Arial" w:hAnsi="Arial"/>
          <w:sz w:val="20"/>
          <w:szCs w:val="20"/>
          <w:b w:val="1"/>
          <w:bCs w:val="1"/>
          <w:color w:val="auto"/>
        </w:rPr>
        <w:t xml:space="preserve"> </w:t>
      </w:r>
      <w:r>
        <w:rPr>
          <w:rFonts w:ascii="Arial" w:cs="Arial" w:eastAsia="Arial" w:hAnsi="Arial"/>
          <w:sz w:val="17"/>
          <w:szCs w:val="17"/>
          <w:color w:val="auto"/>
        </w:rPr>
        <w:t>organized or formed, validly existing and in good standing (or such comparable term as may be used in Ontario or the Netherlands) under the Laws of the jurisdiction of its incorporation or organization, (b) has the organizational power and authority and all requisite governmental licenses, authorizations, consents and approvals to (i) own its assets and carry on its business and (ii) execute, deliver and perform its obligations under the Loan Documents to which it is a party, (c) is duly qualified and in good standing under the Laws of each jurisdiction where its ownership, lease or operation of properties or the conduct of its business requires such qualification, and (d) is in compliance with all Laws, except in each case referred to in clause (b)(i), (c) or (d), to the extent that failure to do so could not reasonably be expected to have a Material Adverse Effect.</w:t>
      </w:r>
    </w:p>
    <w:p>
      <w:pPr>
        <w:spacing w:after="0" w:line="399" w:lineRule="exact"/>
        <w:rPr>
          <w:sz w:val="20"/>
          <w:szCs w:val="20"/>
          <w:color w:val="auto"/>
        </w:rPr>
      </w:pPr>
    </w:p>
    <w:p>
      <w:pPr>
        <w:ind w:right="20" w:firstLine="648"/>
        <w:spacing w:after="0" w:line="277" w:lineRule="auto"/>
        <w:rPr>
          <w:sz w:val="20"/>
          <w:szCs w:val="20"/>
          <w:color w:val="auto"/>
        </w:rPr>
      </w:pPr>
      <w:r>
        <w:rPr>
          <w:rFonts w:ascii="Arial" w:cs="Arial" w:eastAsia="Arial" w:hAnsi="Arial"/>
          <w:sz w:val="20"/>
          <w:szCs w:val="20"/>
          <w:b w:val="1"/>
          <w:bCs w:val="1"/>
          <w:color w:val="auto"/>
        </w:rPr>
        <w:t xml:space="preserve">5.02 </w:t>
      </w:r>
      <w:r>
        <w:rPr>
          <w:rFonts w:ascii="Arial" w:cs="Arial" w:eastAsia="Arial" w:hAnsi="Arial"/>
          <w:sz w:val="17"/>
          <w:szCs w:val="17"/>
          <w:b w:val="1"/>
          <w:bCs w:val="1"/>
          <w:u w:val="single" w:color="auto"/>
          <w:color w:val="auto"/>
        </w:rPr>
        <w:t>Authorization; No Contravention</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The execution, delivery and performance by each Loan Party of each Loan Document to which such</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(other than as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with respect to any conflict, breach or contravention referred to in clause (b)(i), to the extent that such conflict, breach or contravention could not reasonably be expected to have a Material Adverse Effect.</w:t>
      </w:r>
    </w:p>
    <w:p>
      <w:pPr>
        <w:spacing w:after="0" w:line="164" w:lineRule="exact"/>
        <w:rPr>
          <w:sz w:val="20"/>
          <w:szCs w:val="20"/>
          <w:color w:val="auto"/>
        </w:rPr>
      </w:pPr>
    </w:p>
    <w:p>
      <w:pPr>
        <w:ind w:right="20" w:firstLine="648"/>
        <w:spacing w:after="0" w:line="279" w:lineRule="auto"/>
        <w:rPr>
          <w:sz w:val="20"/>
          <w:szCs w:val="20"/>
          <w:color w:val="auto"/>
        </w:rPr>
      </w:pPr>
      <w:r>
        <w:rPr>
          <w:rFonts w:ascii="Arial" w:cs="Arial" w:eastAsia="Arial" w:hAnsi="Arial"/>
          <w:sz w:val="20"/>
          <w:szCs w:val="20"/>
          <w:b w:val="1"/>
          <w:bCs w:val="1"/>
          <w:color w:val="auto"/>
        </w:rPr>
        <w:t xml:space="preserve">5.03 </w:t>
      </w:r>
      <w:r>
        <w:rPr>
          <w:rFonts w:ascii="Arial" w:cs="Arial" w:eastAsia="Arial" w:hAnsi="Arial"/>
          <w:sz w:val="17"/>
          <w:szCs w:val="17"/>
          <w:b w:val="1"/>
          <w:bCs w:val="1"/>
          <w:u w:val="single" w:color="auto"/>
          <w:color w:val="auto"/>
        </w:rPr>
        <w:t>Governmental Authorization; Other Consents</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No material approval, consent, exemption, authorization, or other action by, or notice to,</w:t>
      </w:r>
      <w:r>
        <w:rPr>
          <w:rFonts w:ascii="Arial" w:cs="Arial" w:eastAsia="Arial" w:hAnsi="Arial"/>
          <w:sz w:val="20"/>
          <w:szCs w:val="20"/>
          <w:b w:val="1"/>
          <w:bCs w:val="1"/>
          <w:color w:val="auto"/>
        </w:rPr>
        <w:t xml:space="preserve"> </w:t>
      </w:r>
      <w:r>
        <w:rPr>
          <w:rFonts w:ascii="Arial" w:cs="Arial" w:eastAsia="Arial" w:hAnsi="Arial"/>
          <w:sz w:val="17"/>
          <w:szCs w:val="17"/>
          <w:color w:val="auto"/>
        </w:rPr>
        <w:t>or filing with, any Governmental Authority or any other Person is necessary or required in connection with (a) the execution, delivery or performance by any Loan Party of this Agreement or any other Loan Document, (b) the grant by any Loan Party of the Liens granted by it pursuant to the Security Documents, (c) the perfection or maintenance of the Liens created under the Security Documents (including the priority thereof) or (d) the exercise by any Agent or any Lender of its rights under the Loan Documents or the remedies in respect of the Collateral, except for (i) filings necessary to perfect the Liens on the Collateral granted by the Loan Parties in favor of the Secured Parties, (ii) the approvals, consents, exemptions, authorizations, actions, notices and filings which have been duly obtained, taken, given or made and are in full force, (iii) those approvals, consents, exemptions, authorizations, actions, notices or filings described in the Security Agreement and (iv) those approvals, consents, exemptions, authorizations, actions, notices or filings, the failure of which to obtain or make could not reasonably be expected to have a Material Adverse Effect. Each of the Foreign Loan Parties is subject to civil and commercial Laws with respect to its obligations under this Agreement and the other Loan Documents to which it is a party, and the execution, delivery and performance by such Foreign Loan Party of such Loan Documents constitute and will constitute private and commercial acts and not public or governmental acts. There is no material tax, levy, impost, duty, fee, assessment or other governmental charge, or any material deduction or withholding, imposed by any Governmental Authority in or of the jurisdiction in which such Foreign Loan Party is organized and existing on or by virtue of the execution or delivery of any Loan Document to which it is party.</w:t>
      </w:r>
    </w:p>
    <w:p>
      <w:pPr>
        <w:spacing w:after="0" w:line="167" w:lineRule="exact"/>
        <w:rPr>
          <w:sz w:val="20"/>
          <w:szCs w:val="20"/>
          <w:color w:val="auto"/>
        </w:rPr>
      </w:pPr>
    </w:p>
    <w:p>
      <w:pPr>
        <w:ind w:right="140" w:firstLine="648"/>
        <w:spacing w:after="0" w:line="294" w:lineRule="auto"/>
        <w:rPr>
          <w:sz w:val="20"/>
          <w:szCs w:val="20"/>
          <w:color w:val="auto"/>
        </w:rPr>
      </w:pPr>
      <w:r>
        <w:rPr>
          <w:rFonts w:ascii="Arial" w:cs="Arial" w:eastAsia="Arial" w:hAnsi="Arial"/>
          <w:sz w:val="19"/>
          <w:szCs w:val="19"/>
          <w:b w:val="1"/>
          <w:bCs w:val="1"/>
          <w:color w:val="auto"/>
        </w:rPr>
        <w:t xml:space="preserve">5.04 </w:t>
      </w:r>
      <w:r>
        <w:rPr>
          <w:rFonts w:ascii="Arial" w:cs="Arial" w:eastAsia="Arial" w:hAnsi="Arial"/>
          <w:sz w:val="16"/>
          <w:szCs w:val="16"/>
          <w:b w:val="1"/>
          <w:bCs w:val="1"/>
          <w:u w:val="single" w:color="auto"/>
          <w:color w:val="auto"/>
        </w:rPr>
        <w:t>Binding Effect</w:t>
      </w:r>
      <w:r>
        <w:rPr>
          <w:rFonts w:ascii="Arial" w:cs="Arial" w:eastAsia="Arial" w:hAnsi="Arial"/>
          <w:sz w:val="16"/>
          <w:szCs w:val="16"/>
          <w:b w:val="1"/>
          <w:bCs w:val="1"/>
          <w:color w:val="auto"/>
        </w:rPr>
        <w:t>.</w:t>
      </w:r>
      <w:r>
        <w:rPr>
          <w:rFonts w:ascii="Arial" w:cs="Arial" w:eastAsia="Arial" w:hAnsi="Arial"/>
          <w:sz w:val="19"/>
          <w:szCs w:val="19"/>
          <w:b w:val="1"/>
          <w:bCs w:val="1"/>
          <w:color w:val="auto"/>
        </w:rPr>
        <w:t xml:space="preserve"> </w:t>
      </w:r>
      <w:r>
        <w:rPr>
          <w:rFonts w:ascii="Arial" w:cs="Arial" w:eastAsia="Arial" w:hAnsi="Arial"/>
          <w:sz w:val="16"/>
          <w:szCs w:val="16"/>
          <w:color w:val="auto"/>
        </w:rPr>
        <w:t>This Agreement has been, and each other Loan Document, when delivered hereunder, will have been, duly executed and</w:t>
      </w:r>
      <w:r>
        <w:rPr>
          <w:rFonts w:ascii="Arial" w:cs="Arial" w:eastAsia="Arial" w:hAnsi="Arial"/>
          <w:sz w:val="19"/>
          <w:szCs w:val="19"/>
          <w:b w:val="1"/>
          <w:bCs w:val="1"/>
          <w:color w:val="auto"/>
        </w:rPr>
        <w:t xml:space="preserve"> </w:t>
      </w:r>
      <w:r>
        <w:rPr>
          <w:rFonts w:ascii="Arial" w:cs="Arial" w:eastAsia="Arial" w:hAnsi="Arial"/>
          <w:sz w:val="16"/>
          <w:szCs w:val="16"/>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enforceability may be limited by applicable bankruptcy, insolvency, reorganization, moratorium or similar laws affecting the enforcement of creditors’ rights or secured parties’ generally, and by general equitable principles (whether enforcement is sought by proceedings in equity or at law).</w:t>
      </w:r>
    </w:p>
    <w:p>
      <w:pPr>
        <w:spacing w:after="0" w:line="200" w:lineRule="exact"/>
        <w:rPr>
          <w:sz w:val="20"/>
          <w:szCs w:val="20"/>
          <w:color w:val="auto"/>
        </w:rPr>
      </w:pPr>
    </w:p>
    <w:p>
      <w:pPr>
        <w:spacing w:after="0" w:line="38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6"/>
          <w:szCs w:val="16"/>
          <w:b w:val="1"/>
          <w:bCs w:val="1"/>
          <w:u w:val="single" w:color="auto"/>
          <w:color w:val="auto"/>
        </w:rPr>
        <w:t>Financial Statements; No Material Adverse Effect</w:t>
      </w:r>
      <w:r>
        <w:rPr>
          <w:rFonts w:ascii="Arial" w:cs="Arial" w:eastAsia="Arial" w:hAnsi="Arial"/>
          <w:sz w:val="16"/>
          <w:szCs w:val="16"/>
          <w:color w:val="auto"/>
        </w:rPr>
        <w:t>.</w:t>
      </w:r>
    </w:p>
    <w:p>
      <w:pPr>
        <w:spacing w:after="0" w:line="238" w:lineRule="exact"/>
        <w:rPr>
          <w:sz w:val="20"/>
          <w:szCs w:val="20"/>
          <w:color w:val="auto"/>
        </w:rPr>
      </w:pPr>
    </w:p>
    <w:p>
      <w:pPr>
        <w:ind w:right="80" w:firstLine="656"/>
        <w:spacing w:after="0" w:line="265" w:lineRule="auto"/>
        <w:tabs>
          <w:tab w:leader="none" w:pos="1044" w:val="left"/>
        </w:tabs>
        <w:numPr>
          <w:ilvl w:val="0"/>
          <w:numId w:val="133"/>
        </w:numPr>
        <w:rPr>
          <w:rFonts w:ascii="Arial" w:cs="Arial" w:eastAsia="Arial" w:hAnsi="Arial"/>
          <w:sz w:val="20"/>
          <w:szCs w:val="20"/>
          <w:color w:val="auto"/>
        </w:rPr>
      </w:pPr>
      <w:r>
        <w:rPr>
          <w:rFonts w:ascii="Arial" w:cs="Arial" w:eastAsia="Arial" w:hAnsi="Arial"/>
          <w:sz w:val="18"/>
          <w:szCs w:val="18"/>
          <w:color w:val="auto"/>
        </w:rPr>
        <w:t>The Audited Financial Statements (i) were prepared in accordance with GAAP consistently applied throughout the periods covered thereby, except as otherwise expressly noted therein and (ii) fairly present in all material respects the financial condition of Holdings and its Subsidiaries as of the date thereof and their results of operations for the periods covered thereby in accordance with GAAP consistently applied throughout the periods covered thereby, except as otherwise expressly noted therein.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765" w:right="379" w:bottom="1440" w:gutter="0" w:footer="0" w:header="0"/>
        </w:sectPr>
      </w:pPr>
    </w:p>
    <w:bookmarkStart w:id="161" w:name="page162"/>
    <w:bookmarkEnd w:id="161"/>
    <w:p>
      <w:pPr>
        <w:jc w:val="both"/>
        <w:ind w:firstLine="656"/>
        <w:spacing w:after="0" w:line="284" w:lineRule="auto"/>
        <w:tabs>
          <w:tab w:leader="none" w:pos="1055" w:val="left"/>
        </w:tabs>
        <w:numPr>
          <w:ilvl w:val="0"/>
          <w:numId w:val="134"/>
        </w:numPr>
        <w:rPr>
          <w:rFonts w:ascii="Arial" w:cs="Arial" w:eastAsia="Arial" w:hAnsi="Arial"/>
          <w:sz w:val="19"/>
          <w:szCs w:val="19"/>
          <w:color w:val="auto"/>
        </w:rPr>
      </w:pPr>
      <w:r>
        <w:rPr>
          <w:rFonts w:ascii="Arial" w:cs="Arial" w:eastAsia="Arial" w:hAnsi="Arial"/>
          <w:sz w:val="17"/>
          <w:szCs w:val="17"/>
          <w:color w:val="auto"/>
        </w:rPr>
        <w:t xml:space="preserve">The financial statements delivered pursuant to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(i) were prepared in accordance with GAAP consistently applied throughout the periods covered thereby, except as otherwise expressly noted therein, and (ii) fairly present in all material respects the financial condition of Holdings (or the U.S. Borrower, as applicable) and its Subsidiaries as of the date thereof and their results of operations for the periods covered thereby, subject, in the case of clauses (i) and (ii), to the absence of footnotes and to normal year-end audit adjustments.</w:t>
      </w:r>
    </w:p>
    <w:p>
      <w:pPr>
        <w:spacing w:after="0" w:line="181" w:lineRule="exact"/>
        <w:rPr>
          <w:rFonts w:ascii="Arial" w:cs="Arial" w:eastAsia="Arial" w:hAnsi="Arial"/>
          <w:sz w:val="19"/>
          <w:szCs w:val="19"/>
          <w:color w:val="auto"/>
        </w:rPr>
      </w:pPr>
    </w:p>
    <w:p>
      <w:pPr>
        <w:ind w:right="120" w:firstLine="656"/>
        <w:spacing w:after="0" w:line="266" w:lineRule="auto"/>
        <w:tabs>
          <w:tab w:leader="none" w:pos="1048" w:val="left"/>
        </w:tabs>
        <w:numPr>
          <w:ilvl w:val="0"/>
          <w:numId w:val="134"/>
        </w:numPr>
        <w:rPr>
          <w:rFonts w:ascii="Arial" w:cs="Arial" w:eastAsia="Arial" w:hAnsi="Arial"/>
          <w:sz w:val="20"/>
          <w:szCs w:val="20"/>
          <w:color w:val="auto"/>
        </w:rPr>
      </w:pPr>
      <w:r>
        <w:rPr>
          <w:rFonts w:ascii="Arial" w:cs="Arial" w:eastAsia="Arial" w:hAnsi="Arial"/>
          <w:sz w:val="18"/>
          <w:szCs w:val="18"/>
          <w:color w:val="auto"/>
        </w:rPr>
        <w:t>Since December 30, 2017, there has been no event or circumstance, either individually or in the aggregate, that has had or could reasonably be expected to have a Material Adverse Effect.</w:t>
      </w:r>
    </w:p>
    <w:p>
      <w:pPr>
        <w:spacing w:after="0" w:line="190" w:lineRule="exact"/>
        <w:rPr>
          <w:rFonts w:ascii="Arial" w:cs="Arial" w:eastAsia="Arial" w:hAnsi="Arial"/>
          <w:sz w:val="20"/>
          <w:szCs w:val="20"/>
          <w:color w:val="auto"/>
        </w:rPr>
      </w:pPr>
    </w:p>
    <w:p>
      <w:pPr>
        <w:ind w:firstLine="656"/>
        <w:spacing w:after="0" w:line="265" w:lineRule="auto"/>
        <w:tabs>
          <w:tab w:leader="none" w:pos="1049" w:val="left"/>
        </w:tabs>
        <w:numPr>
          <w:ilvl w:val="0"/>
          <w:numId w:val="134"/>
        </w:numPr>
        <w:rPr>
          <w:rFonts w:ascii="Arial" w:cs="Arial" w:eastAsia="Arial" w:hAnsi="Arial"/>
          <w:sz w:val="20"/>
          <w:szCs w:val="20"/>
          <w:color w:val="auto"/>
        </w:rPr>
      </w:pPr>
      <w:r>
        <w:rPr>
          <w:rFonts w:ascii="Arial" w:cs="Arial" w:eastAsia="Arial" w:hAnsi="Arial"/>
          <w:sz w:val="18"/>
          <w:szCs w:val="18"/>
          <w:color w:val="auto"/>
        </w:rPr>
        <w:t xml:space="preserve">All consolidated forecasted balance sheets and statements of income and cash flows of Holdings and its Subsidiaries delivered to the Lenders prior to the Closing Date and pursuant to </w:t>
      </w:r>
      <w:r>
        <w:rPr>
          <w:rFonts w:ascii="Arial" w:cs="Arial" w:eastAsia="Arial" w:hAnsi="Arial"/>
          <w:sz w:val="18"/>
          <w:szCs w:val="18"/>
          <w:u w:val="single" w:color="auto"/>
          <w:color w:val="auto"/>
        </w:rPr>
        <w:t>Section 6.01(d)</w:t>
      </w:r>
      <w:r>
        <w:rPr>
          <w:rFonts w:ascii="Arial" w:cs="Arial" w:eastAsia="Arial" w:hAnsi="Arial"/>
          <w:sz w:val="18"/>
          <w:szCs w:val="18"/>
          <w:color w:val="auto"/>
        </w:rPr>
        <w:t>, after the Closing Date, were prepared in good faith on the basis of estimates, information and assumptions believed by management of Holdings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73" w:lineRule="exact"/>
        <w:rPr>
          <w:sz w:val="20"/>
          <w:szCs w:val="20"/>
          <w:color w:val="auto"/>
        </w:rPr>
      </w:pPr>
    </w:p>
    <w:p>
      <w:pPr>
        <w:ind w:right="20" w:firstLine="648"/>
        <w:spacing w:after="0" w:line="274" w:lineRule="auto"/>
        <w:rPr>
          <w:sz w:val="20"/>
          <w:szCs w:val="20"/>
          <w:color w:val="auto"/>
        </w:rPr>
      </w:pPr>
      <w:r>
        <w:rPr>
          <w:rFonts w:ascii="Arial" w:cs="Arial" w:eastAsia="Arial" w:hAnsi="Arial"/>
          <w:sz w:val="20"/>
          <w:szCs w:val="20"/>
          <w:b w:val="1"/>
          <w:bCs w:val="1"/>
          <w:color w:val="auto"/>
        </w:rPr>
        <w:t xml:space="preserve">5.06 </w:t>
      </w:r>
      <w:r>
        <w:rPr>
          <w:rFonts w:ascii="Arial" w:cs="Arial" w:eastAsia="Arial" w:hAnsi="Arial"/>
          <w:sz w:val="17"/>
          <w:szCs w:val="17"/>
          <w:b w:val="1"/>
          <w:bCs w:val="1"/>
          <w:u w:val="single" w:color="auto"/>
          <w:color w:val="auto"/>
        </w:rPr>
        <w:t>Litigation</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There are no actions, suits, proceedings, claims or disputes pending or, to the knowledge of the U.S. Borrower and its</w:t>
      </w:r>
      <w:r>
        <w:rPr>
          <w:rFonts w:ascii="Arial" w:cs="Arial" w:eastAsia="Arial" w:hAnsi="Arial"/>
          <w:sz w:val="20"/>
          <w:szCs w:val="20"/>
          <w:b w:val="1"/>
          <w:bCs w:val="1"/>
          <w:color w:val="auto"/>
        </w:rPr>
        <w:t xml:space="preserve"> </w:t>
      </w:r>
      <w:r>
        <w:rPr>
          <w:rFonts w:ascii="Arial" w:cs="Arial" w:eastAsia="Arial" w:hAnsi="Arial"/>
          <w:sz w:val="17"/>
          <w:szCs w:val="17"/>
          <w:color w:val="auto"/>
        </w:rPr>
        <w:t>Restricted Subsidiaries, threatened in writing, at law, in equity, in arbitration or before any Governmental Authority, by or against the U.S. Borrower or any of its Restricted Subsidiaries or against any of their properties or revenues that as of the Closing Date, purport to affect or pertain to this Agreement or any other Loan Document or any of the transactions contemplated hereby or (b) either individually or in the aggregate could reasonably be expected to have a Material Adverse Effect.</w:t>
      </w:r>
    </w:p>
    <w:p>
      <w:pPr>
        <w:spacing w:after="0" w:line="169" w:lineRule="exact"/>
        <w:rPr>
          <w:sz w:val="20"/>
          <w:szCs w:val="20"/>
          <w:color w:val="auto"/>
        </w:rPr>
      </w:pPr>
    </w:p>
    <w:p>
      <w:pPr>
        <w:ind w:right="680" w:firstLine="648"/>
        <w:spacing w:after="0" w:line="262" w:lineRule="auto"/>
        <w:rPr>
          <w:sz w:val="20"/>
          <w:szCs w:val="20"/>
          <w:color w:val="auto"/>
        </w:rPr>
      </w:pPr>
      <w:r>
        <w:rPr>
          <w:rFonts w:ascii="Arial" w:cs="Arial" w:eastAsia="Arial" w:hAnsi="Arial"/>
          <w:sz w:val="20"/>
          <w:szCs w:val="20"/>
          <w:b w:val="1"/>
          <w:bCs w:val="1"/>
          <w:color w:val="auto"/>
        </w:rPr>
        <w:t xml:space="preserve">5.07 </w:t>
      </w:r>
      <w:r>
        <w:rPr>
          <w:rFonts w:ascii="Arial" w:cs="Arial" w:eastAsia="Arial" w:hAnsi="Arial"/>
          <w:sz w:val="17"/>
          <w:szCs w:val="17"/>
          <w:b w:val="1"/>
          <w:bCs w:val="1"/>
          <w:u w:val="single" w:color="auto"/>
          <w:color w:val="auto"/>
        </w:rPr>
        <w:t>No Default</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Neither the U.S. Borrower nor any of its Restricted Subsidiaries is in default under or with respect to any Contractual</w:t>
      </w:r>
      <w:r>
        <w:rPr>
          <w:rFonts w:ascii="Arial" w:cs="Arial" w:eastAsia="Arial" w:hAnsi="Arial"/>
          <w:sz w:val="20"/>
          <w:szCs w:val="20"/>
          <w:b w:val="1"/>
          <w:bCs w:val="1"/>
          <w:color w:val="auto"/>
        </w:rPr>
        <w:t xml:space="preserve"> </w:t>
      </w:r>
      <w:r>
        <w:rPr>
          <w:rFonts w:ascii="Arial" w:cs="Arial" w:eastAsia="Arial" w:hAnsi="Arial"/>
          <w:sz w:val="17"/>
          <w:szCs w:val="17"/>
          <w:color w:val="auto"/>
        </w:rPr>
        <w:t>Obligation that could, either individually or in the aggregate, reasonably be expected to have a Material Adverse Effect.</w:t>
      </w:r>
    </w:p>
    <w:p>
      <w:pPr>
        <w:spacing w:after="0" w:line="17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5.08</w:t>
      </w:r>
      <w:r>
        <w:rPr>
          <w:sz w:val="20"/>
          <w:szCs w:val="20"/>
          <w:color w:val="auto"/>
        </w:rPr>
        <w:tab/>
      </w:r>
      <w:r>
        <w:rPr>
          <w:rFonts w:ascii="Arial" w:cs="Arial" w:eastAsia="Arial" w:hAnsi="Arial"/>
          <w:sz w:val="16"/>
          <w:szCs w:val="16"/>
          <w:b w:val="1"/>
          <w:bCs w:val="1"/>
          <w:u w:val="single" w:color="auto"/>
          <w:color w:val="auto"/>
        </w:rPr>
        <w:t>Properties</w:t>
      </w:r>
      <w:r>
        <w:rPr>
          <w:rFonts w:ascii="Arial" w:cs="Arial" w:eastAsia="Arial" w:hAnsi="Arial"/>
          <w:sz w:val="16"/>
          <w:szCs w:val="16"/>
          <w:color w:val="auto"/>
        </w:rPr>
        <w:t>.</w:t>
      </w:r>
    </w:p>
    <w:p>
      <w:pPr>
        <w:spacing w:after="0" w:line="238" w:lineRule="exact"/>
        <w:rPr>
          <w:sz w:val="20"/>
          <w:szCs w:val="20"/>
          <w:color w:val="auto"/>
        </w:rPr>
      </w:pPr>
    </w:p>
    <w:p>
      <w:pPr>
        <w:ind w:right="40" w:firstLine="656"/>
        <w:spacing w:after="0" w:line="304" w:lineRule="auto"/>
        <w:tabs>
          <w:tab w:leader="none" w:pos="1048" w:val="left"/>
        </w:tabs>
        <w:numPr>
          <w:ilvl w:val="0"/>
          <w:numId w:val="135"/>
        </w:numPr>
        <w:rPr>
          <w:rFonts w:ascii="Arial" w:cs="Arial" w:eastAsia="Arial" w:hAnsi="Arial"/>
          <w:sz w:val="18"/>
          <w:szCs w:val="18"/>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Each of the U.S. Borrower and its Restricted Subsidiaries has good legal title to (in the case of fee interests in Real Property), valid leasehold interests in (in the case of leasehold interests in real or personal property) and good title to (in the case of all other personal property), all its tangible property material to its business, free and clear of all Liens except for Permitted Liens and minor irregularities or deficiencies in title that in the aggregate do not materially interfere with its ability to conduct its business as currently conducted or to utilize such property for its intended purpose or except where the failure to have such title could not reasonably be expected to have, individually or in the aggregate, a Material Adverse Effect.</w:t>
      </w:r>
    </w:p>
    <w:p>
      <w:pPr>
        <w:spacing w:after="0" w:line="169" w:lineRule="exact"/>
        <w:rPr>
          <w:rFonts w:ascii="Arial" w:cs="Arial" w:eastAsia="Arial" w:hAnsi="Arial"/>
          <w:sz w:val="18"/>
          <w:szCs w:val="18"/>
          <w:color w:val="auto"/>
        </w:rPr>
      </w:pPr>
    </w:p>
    <w:p>
      <w:pPr>
        <w:ind w:right="120" w:firstLine="656"/>
        <w:spacing w:after="0" w:line="265" w:lineRule="auto"/>
        <w:tabs>
          <w:tab w:leader="none" w:pos="1058" w:val="left"/>
        </w:tabs>
        <w:numPr>
          <w:ilvl w:val="0"/>
          <w:numId w:val="135"/>
        </w:numPr>
        <w:rPr>
          <w:rFonts w:ascii="Arial" w:cs="Arial" w:eastAsia="Arial" w:hAnsi="Arial"/>
          <w:sz w:val="20"/>
          <w:szCs w:val="20"/>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Schedules 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7(b</w:t>
      </w:r>
      <w:r>
        <w:rPr>
          <w:rFonts w:ascii="Arial" w:cs="Arial" w:eastAsia="Arial" w:hAnsi="Arial"/>
          <w:sz w:val="18"/>
          <w:szCs w:val="18"/>
          <w:color w:val="auto"/>
        </w:rPr>
        <w:t>) to the Perfection Certificate dated the Amendment No. 1 Effective Date contain a true and complete list of each interest in Real Property (i) owned by the U.S. Borrower and its Restricted Subsidiaries as of the Amendment No. 1 Effective Date and describes the type of interest therein held by the U.S. Borrower and its Restricted Subsidiaries and (ii) leased, subleased or otherwise occupied or utilized by the U.S. Borrower or its Restricted Subsidiaries, as lessee, sublessee, franchisee or licensee, as of the Amendment No. 1 Effective Date and describes the type of interest therein held by such company.</w:t>
      </w:r>
    </w:p>
    <w:p>
      <w:pPr>
        <w:spacing w:after="0" w:line="195" w:lineRule="exact"/>
        <w:rPr>
          <w:rFonts w:ascii="Arial" w:cs="Arial" w:eastAsia="Arial" w:hAnsi="Arial"/>
          <w:sz w:val="20"/>
          <w:szCs w:val="20"/>
          <w:color w:val="auto"/>
        </w:rPr>
      </w:pPr>
    </w:p>
    <w:p>
      <w:pPr>
        <w:ind w:right="340" w:firstLine="656"/>
        <w:spacing w:after="0" w:line="264" w:lineRule="auto"/>
        <w:tabs>
          <w:tab w:leader="none" w:pos="1048" w:val="left"/>
        </w:tabs>
        <w:numPr>
          <w:ilvl w:val="0"/>
          <w:numId w:val="135"/>
        </w:numPr>
        <w:rPr>
          <w:rFonts w:ascii="Arial" w:cs="Arial" w:eastAsia="Arial" w:hAnsi="Arial"/>
          <w:sz w:val="20"/>
          <w:szCs w:val="20"/>
          <w:color w:val="auto"/>
        </w:rPr>
      </w:pPr>
      <w:r>
        <w:rPr>
          <w:rFonts w:ascii="Arial" w:cs="Arial" w:eastAsia="Arial" w:hAnsi="Arial"/>
          <w:sz w:val="18"/>
          <w:szCs w:val="18"/>
          <w:u w:val="single" w:color="auto"/>
          <w:color w:val="auto"/>
        </w:rPr>
        <w:t>Flood Insurance</w:t>
      </w:r>
      <w:r>
        <w:rPr>
          <w:rFonts w:ascii="Arial" w:cs="Arial" w:eastAsia="Arial" w:hAnsi="Arial"/>
          <w:sz w:val="18"/>
          <w:szCs w:val="18"/>
          <w:color w:val="auto"/>
        </w:rPr>
        <w:t xml:space="preserve">. No Mortgage encumbers improved Real Property that is located in an area that has been identified by the Secretary of Housing and Urban Development as an area having special flood hazards within the meaning of the National Flood Insurance Act of 1968 unless flood insurance available under such Act has been obtained to the extent required by </w:t>
      </w:r>
      <w:r>
        <w:rPr>
          <w:rFonts w:ascii="Arial" w:cs="Arial" w:eastAsia="Arial" w:hAnsi="Arial"/>
          <w:sz w:val="18"/>
          <w:szCs w:val="18"/>
          <w:u w:val="single" w:color="auto"/>
          <w:color w:val="auto"/>
        </w:rPr>
        <w:t>Section 6.07(b)</w:t>
      </w:r>
      <w:r>
        <w:rPr>
          <w:rFonts w:ascii="Arial" w:cs="Arial" w:eastAsia="Arial" w:hAnsi="Arial"/>
          <w:sz w:val="18"/>
          <w:szCs w:val="18"/>
          <w:color w:val="auto"/>
        </w:rPr>
        <w:t>.</w:t>
      </w:r>
    </w:p>
    <w:p>
      <w:pPr>
        <w:spacing w:after="0" w:line="196" w:lineRule="exact"/>
        <w:rPr>
          <w:rFonts w:ascii="Arial" w:cs="Arial" w:eastAsia="Arial" w:hAnsi="Arial"/>
          <w:sz w:val="20"/>
          <w:szCs w:val="20"/>
          <w:color w:val="auto"/>
        </w:rPr>
      </w:pPr>
    </w:p>
    <w:p>
      <w:pPr>
        <w:jc w:val="both"/>
        <w:ind w:right="460" w:firstLine="656"/>
        <w:spacing w:after="0" w:line="329" w:lineRule="auto"/>
        <w:tabs>
          <w:tab w:leader="none" w:pos="1058" w:val="left"/>
        </w:tabs>
        <w:numPr>
          <w:ilvl w:val="0"/>
          <w:numId w:val="135"/>
        </w:numPr>
        <w:rPr>
          <w:rFonts w:ascii="Arial" w:cs="Arial" w:eastAsia="Arial" w:hAnsi="Arial"/>
          <w:sz w:val="18"/>
          <w:szCs w:val="18"/>
          <w:color w:val="auto"/>
        </w:rPr>
      </w:pPr>
      <w:r>
        <w:rPr>
          <w:rFonts w:ascii="Arial" w:cs="Arial" w:eastAsia="Arial" w:hAnsi="Arial"/>
          <w:sz w:val="16"/>
          <w:szCs w:val="16"/>
          <w:u w:val="single" w:color="auto"/>
          <w:color w:val="auto"/>
        </w:rPr>
        <w:t>Collateral</w:t>
      </w:r>
      <w:r>
        <w:rPr>
          <w:rFonts w:ascii="Arial" w:cs="Arial" w:eastAsia="Arial" w:hAnsi="Arial"/>
          <w:sz w:val="16"/>
          <w:szCs w:val="16"/>
          <w:color w:val="auto"/>
        </w:rPr>
        <w:t>. The use by each of the U.S. Borrower and its Restricted Subsidiaries of the Collateral does not infringe on the rights of any Person other than such infringement which would not, individually or in the aggregate, reasonably be expected to result in a Material Adverse Effect.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787" w:right="359" w:bottom="1440" w:gutter="0" w:footer="0" w:header="0"/>
        </w:sectPr>
      </w:pPr>
    </w:p>
    <w:bookmarkStart w:id="162" w:name="page163"/>
    <w:bookmarkEnd w:id="162"/>
    <w:p>
      <w:pPr>
        <w:ind w:left="640"/>
        <w:spacing w:after="0"/>
        <w:tabs>
          <w:tab w:leader="none" w:pos="1140" w:val="left"/>
        </w:tabs>
        <w:rPr>
          <w:sz w:val="20"/>
          <w:szCs w:val="20"/>
          <w:color w:val="auto"/>
        </w:rPr>
      </w:pPr>
      <w:r>
        <w:rPr>
          <w:rFonts w:ascii="Arial" w:cs="Arial" w:eastAsia="Arial" w:hAnsi="Arial"/>
          <w:sz w:val="20"/>
          <w:szCs w:val="20"/>
          <w:b w:val="1"/>
          <w:bCs w:val="1"/>
          <w:color w:val="auto"/>
        </w:rPr>
        <w:t>5.09</w:t>
      </w:r>
      <w:r>
        <w:rPr>
          <w:sz w:val="20"/>
          <w:szCs w:val="20"/>
          <w:color w:val="auto"/>
        </w:rPr>
        <w:tab/>
      </w:r>
      <w:r>
        <w:rPr>
          <w:rFonts w:ascii="Arial" w:cs="Arial" w:eastAsia="Arial" w:hAnsi="Arial"/>
          <w:sz w:val="16"/>
          <w:szCs w:val="16"/>
          <w:b w:val="1"/>
          <w:bCs w:val="1"/>
          <w:u w:val="single" w:color="auto"/>
          <w:color w:val="auto"/>
        </w:rPr>
        <w:t>Environmental Matters</w:t>
      </w:r>
      <w:r>
        <w:rPr>
          <w:rFonts w:ascii="Arial" w:cs="Arial" w:eastAsia="Arial" w:hAnsi="Arial"/>
          <w:sz w:val="16"/>
          <w:szCs w:val="16"/>
          <w:color w:val="auto"/>
        </w:rPr>
        <w:t>.</w:t>
      </w:r>
    </w:p>
    <w:p>
      <w:pPr>
        <w:spacing w:after="0" w:line="238" w:lineRule="exact"/>
        <w:rPr>
          <w:sz w:val="20"/>
          <w:szCs w:val="20"/>
          <w:color w:val="auto"/>
        </w:rPr>
      </w:pPr>
    </w:p>
    <w:p>
      <w:pPr>
        <w:ind w:left="-20" w:right="80" w:firstLine="656"/>
        <w:spacing w:after="0" w:line="266" w:lineRule="auto"/>
        <w:tabs>
          <w:tab w:leader="none" w:pos="1028" w:val="left"/>
        </w:tabs>
        <w:numPr>
          <w:ilvl w:val="0"/>
          <w:numId w:val="136"/>
        </w:numPr>
        <w:rPr>
          <w:rFonts w:ascii="Arial" w:cs="Arial" w:eastAsia="Arial" w:hAnsi="Arial"/>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and except as, individually or in the aggregate, would not reasonably be expected to result in a Material Adverse Effect:</w:t>
      </w:r>
    </w:p>
    <w:p>
      <w:pPr>
        <w:spacing w:after="0" w:line="190" w:lineRule="exact"/>
        <w:rPr>
          <w:rFonts w:ascii="Arial" w:cs="Arial" w:eastAsia="Arial" w:hAnsi="Arial"/>
          <w:sz w:val="20"/>
          <w:szCs w:val="20"/>
          <w:color w:val="auto"/>
        </w:rPr>
      </w:pPr>
    </w:p>
    <w:p>
      <w:pPr>
        <w:ind w:left="640" w:right="40" w:firstLine="644"/>
        <w:spacing w:after="0" w:line="266" w:lineRule="auto"/>
        <w:tabs>
          <w:tab w:leader="none" w:pos="1655" w:val="left"/>
        </w:tabs>
        <w:numPr>
          <w:ilvl w:val="1"/>
          <w:numId w:val="136"/>
        </w:numPr>
        <w:rPr>
          <w:rFonts w:ascii="Arial" w:cs="Arial" w:eastAsia="Arial" w:hAnsi="Arial"/>
          <w:sz w:val="20"/>
          <w:szCs w:val="20"/>
          <w:color w:val="auto"/>
        </w:rPr>
      </w:pPr>
      <w:r>
        <w:rPr>
          <w:rFonts w:ascii="Arial" w:cs="Arial" w:eastAsia="Arial" w:hAnsi="Arial"/>
          <w:sz w:val="18"/>
          <w:szCs w:val="18"/>
          <w:color w:val="auto"/>
        </w:rPr>
        <w:t>the U.S. Borrower and its Restricted Subsidiaries and their businesses, operations and Real Property are in compliance with, and the U.S. Borrower and its Restricted Subsidiaries have no liability under, Environmental Law;</w:t>
      </w:r>
    </w:p>
    <w:p>
      <w:pPr>
        <w:spacing w:after="0" w:line="190" w:lineRule="exact"/>
        <w:rPr>
          <w:rFonts w:ascii="Arial" w:cs="Arial" w:eastAsia="Arial" w:hAnsi="Arial"/>
          <w:sz w:val="20"/>
          <w:szCs w:val="20"/>
          <w:color w:val="auto"/>
        </w:rPr>
      </w:pPr>
    </w:p>
    <w:p>
      <w:pPr>
        <w:ind w:left="640" w:right="140" w:firstLine="644"/>
        <w:spacing w:after="0" w:line="264" w:lineRule="auto"/>
        <w:tabs>
          <w:tab w:leader="none" w:pos="1709" w:val="left"/>
        </w:tabs>
        <w:numPr>
          <w:ilvl w:val="1"/>
          <w:numId w:val="136"/>
        </w:numPr>
        <w:rPr>
          <w:rFonts w:ascii="Arial" w:cs="Arial" w:eastAsia="Arial" w:hAnsi="Arial"/>
          <w:sz w:val="20"/>
          <w:szCs w:val="20"/>
          <w:color w:val="auto"/>
        </w:rPr>
      </w:pPr>
      <w:r>
        <w:rPr>
          <w:rFonts w:ascii="Arial" w:cs="Arial" w:eastAsia="Arial" w:hAnsi="Arial"/>
          <w:sz w:val="18"/>
          <w:szCs w:val="18"/>
          <w:color w:val="auto"/>
        </w:rPr>
        <w:t>the U.S. Borrower and its Restricted Subsidiaries have obtained all Environmental Permits required for the conduct of their businesses and operations, and the ownership, operation and use of their property, under Environmental Law and all such Environmental Permits are valid and in good standing;</w:t>
      </w:r>
    </w:p>
    <w:p>
      <w:pPr>
        <w:spacing w:after="0" w:line="196" w:lineRule="exact"/>
        <w:rPr>
          <w:rFonts w:ascii="Arial" w:cs="Arial" w:eastAsia="Arial" w:hAnsi="Arial"/>
          <w:sz w:val="20"/>
          <w:szCs w:val="20"/>
          <w:color w:val="auto"/>
        </w:rPr>
      </w:pPr>
    </w:p>
    <w:p>
      <w:pPr>
        <w:ind w:left="640" w:firstLine="644"/>
        <w:spacing w:after="0" w:line="265" w:lineRule="auto"/>
        <w:tabs>
          <w:tab w:leader="none" w:pos="1765" w:val="left"/>
        </w:tabs>
        <w:numPr>
          <w:ilvl w:val="1"/>
          <w:numId w:val="136"/>
        </w:numPr>
        <w:rPr>
          <w:rFonts w:ascii="Arial" w:cs="Arial" w:eastAsia="Arial" w:hAnsi="Arial"/>
          <w:sz w:val="20"/>
          <w:szCs w:val="20"/>
          <w:color w:val="auto"/>
        </w:rPr>
      </w:pPr>
      <w:r>
        <w:rPr>
          <w:rFonts w:ascii="Arial" w:cs="Arial" w:eastAsia="Arial" w:hAnsi="Arial"/>
          <w:sz w:val="18"/>
          <w:szCs w:val="18"/>
          <w:color w:val="auto"/>
        </w:rPr>
        <w:t>there has been no Release or threatened Release of Hazardous Material on, at, under or from any Real Property or facility presently or, to the knowledge of the U.S. Borrower and its Restricted Subsidiaries, formerly owned, leased or operated by the U.S. Borrower and its Restricted Subsidiaries or their predecessors in interest, which Release or threatened Release could reasonably be expected to result in liability by the U.S. Borrower and its Restricted Subsidiaries under Environmental Law; and</w:t>
      </w:r>
    </w:p>
    <w:p>
      <w:pPr>
        <w:spacing w:after="0" w:line="194" w:lineRule="exact"/>
        <w:rPr>
          <w:rFonts w:ascii="Arial" w:cs="Arial" w:eastAsia="Arial" w:hAnsi="Arial"/>
          <w:sz w:val="20"/>
          <w:szCs w:val="20"/>
          <w:color w:val="auto"/>
        </w:rPr>
      </w:pPr>
    </w:p>
    <w:p>
      <w:pPr>
        <w:ind w:left="640" w:right="60" w:firstLine="644"/>
        <w:spacing w:after="0" w:line="265" w:lineRule="auto"/>
        <w:tabs>
          <w:tab w:leader="none" w:pos="1754" w:val="left"/>
        </w:tabs>
        <w:numPr>
          <w:ilvl w:val="1"/>
          <w:numId w:val="136"/>
        </w:numPr>
        <w:rPr>
          <w:rFonts w:ascii="Arial" w:cs="Arial" w:eastAsia="Arial" w:hAnsi="Arial"/>
          <w:sz w:val="20"/>
          <w:szCs w:val="20"/>
          <w:color w:val="auto"/>
        </w:rPr>
      </w:pPr>
      <w:r>
        <w:rPr>
          <w:rFonts w:ascii="Arial" w:cs="Arial" w:eastAsia="Arial" w:hAnsi="Arial"/>
          <w:sz w:val="18"/>
          <w:szCs w:val="18"/>
          <w:color w:val="auto"/>
        </w:rPr>
        <w:t>there is no Environmental Claim pending or, to the knowledge of the U.S. Borrower and its Restricted Subsidiaries, threatened in writing against the U.S. Borrower and its Restricted Subsidiaries, or which claim relates to the Real Property currently or, to the knowledge of the U.S. Borrower and its Restricted Subsidiaries, formerly owned, leased or operated by the U.S. Borrower and its Restricted Subsidiaries or which claim relates to the operations of the U.S. Borrower and its Restricted Subsidiaries, and, to the knowledge of the U.S. Borrower and its Restricted Subsidiaries, there are no actions, activities, circumstances, conditions, events or incidents that could reasonably be expected to form the basis of such an Environmental Claim.</w:t>
      </w:r>
    </w:p>
    <w:p>
      <w:pPr>
        <w:spacing w:after="0" w:line="196" w:lineRule="exact"/>
        <w:rPr>
          <w:rFonts w:ascii="Arial" w:cs="Arial" w:eastAsia="Arial" w:hAnsi="Arial"/>
          <w:sz w:val="20"/>
          <w:szCs w:val="20"/>
          <w:color w:val="auto"/>
        </w:rPr>
      </w:pPr>
    </w:p>
    <w:p>
      <w:pPr>
        <w:ind w:left="1040" w:hanging="404"/>
        <w:spacing w:after="0"/>
        <w:tabs>
          <w:tab w:leader="none" w:pos="1040" w:val="left"/>
        </w:tabs>
        <w:numPr>
          <w:ilvl w:val="0"/>
          <w:numId w:val="136"/>
        </w:numPr>
        <w:rPr>
          <w:rFonts w:ascii="Arial" w:cs="Arial" w:eastAsia="Arial" w:hAnsi="Arial"/>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or as would not reasonably be expected to have a Material Adverse Effect:</w:t>
      </w:r>
    </w:p>
    <w:p>
      <w:pPr>
        <w:spacing w:after="0" w:line="215" w:lineRule="exact"/>
        <w:rPr>
          <w:rFonts w:ascii="Arial" w:cs="Arial" w:eastAsia="Arial" w:hAnsi="Arial"/>
          <w:sz w:val="20"/>
          <w:szCs w:val="20"/>
          <w:color w:val="auto"/>
        </w:rPr>
      </w:pPr>
    </w:p>
    <w:p>
      <w:pPr>
        <w:ind w:left="640" w:right="60" w:firstLine="644"/>
        <w:spacing w:after="0" w:line="306" w:lineRule="auto"/>
        <w:tabs>
          <w:tab w:leader="none" w:pos="1655" w:val="left"/>
        </w:tabs>
        <w:numPr>
          <w:ilvl w:val="1"/>
          <w:numId w:val="136"/>
        </w:numPr>
        <w:rPr>
          <w:rFonts w:ascii="Arial" w:cs="Arial" w:eastAsia="Arial" w:hAnsi="Arial"/>
          <w:sz w:val="18"/>
          <w:szCs w:val="18"/>
          <w:color w:val="auto"/>
        </w:rPr>
      </w:pPr>
      <w:r>
        <w:rPr>
          <w:rFonts w:ascii="Arial" w:cs="Arial" w:eastAsia="Arial" w:hAnsi="Arial"/>
          <w:sz w:val="16"/>
          <w:szCs w:val="16"/>
          <w:color w:val="auto"/>
        </w:rPr>
        <w:t>none of the U.S. Borrower or its Restricted Subsidiaries is obligated to perform any action or otherwise incur any expense under Environmental Law pursuant to any order, decree, judgment or agreement by which it is bound or has assumed by contract or agreement, and no such Person is conducting or financing any Response pursuant to any Environmental Law with respect to any Real Property or any other location, except as, individually or in the aggregate, would not reasonably be expected to result in a Material Adverse Effect;</w:t>
      </w:r>
    </w:p>
    <w:p>
      <w:pPr>
        <w:spacing w:after="0" w:line="166" w:lineRule="exact"/>
        <w:rPr>
          <w:rFonts w:ascii="Arial" w:cs="Arial" w:eastAsia="Arial" w:hAnsi="Arial"/>
          <w:sz w:val="18"/>
          <w:szCs w:val="18"/>
          <w:color w:val="auto"/>
        </w:rPr>
      </w:pPr>
    </w:p>
    <w:p>
      <w:pPr>
        <w:ind w:left="640" w:right="40" w:firstLine="644"/>
        <w:spacing w:after="0" w:line="304" w:lineRule="auto"/>
        <w:tabs>
          <w:tab w:leader="none" w:pos="1709" w:val="left"/>
        </w:tabs>
        <w:numPr>
          <w:ilvl w:val="1"/>
          <w:numId w:val="136"/>
        </w:numPr>
        <w:rPr>
          <w:rFonts w:ascii="Arial" w:cs="Arial" w:eastAsia="Arial" w:hAnsi="Arial"/>
          <w:sz w:val="18"/>
          <w:szCs w:val="18"/>
          <w:color w:val="auto"/>
        </w:rPr>
      </w:pPr>
      <w:r>
        <w:rPr>
          <w:rFonts w:ascii="Arial" w:cs="Arial" w:eastAsia="Arial" w:hAnsi="Arial"/>
          <w:sz w:val="16"/>
          <w:szCs w:val="16"/>
          <w:color w:val="auto"/>
        </w:rPr>
        <w:t>no Real Property or facility owned, operated or leased by the U.S. Borrower and its Restricted Subsidiaries and, to the knowledge of the U.S. Borrower and its Restricted Subsidiaries, no Real Property or facility formerly owned, operated or leased by the U.S. Borrower and its Restricted Subsidiaries or any of their predecessors in interest is (A) listed or proposed for listing on the National Priorities List promulgated pursuant to CERCLA or (B) listed on the Comprehensive Environmental Response, Compensation and Liability Information System promulgated pursuant to CERCLA or included on any similar list maintained by any Governmental Authority including any such list relating to petroleum;</w:t>
      </w:r>
    </w:p>
    <w:p>
      <w:pPr>
        <w:spacing w:after="0" w:line="169" w:lineRule="exact"/>
        <w:rPr>
          <w:rFonts w:ascii="Arial" w:cs="Arial" w:eastAsia="Arial" w:hAnsi="Arial"/>
          <w:sz w:val="18"/>
          <w:szCs w:val="18"/>
          <w:color w:val="auto"/>
        </w:rPr>
      </w:pPr>
    </w:p>
    <w:p>
      <w:pPr>
        <w:jc w:val="both"/>
        <w:ind w:left="640" w:right="620" w:firstLine="644"/>
        <w:spacing w:after="0" w:line="286" w:lineRule="auto"/>
        <w:tabs>
          <w:tab w:leader="none" w:pos="1765" w:val="left"/>
        </w:tabs>
        <w:numPr>
          <w:ilvl w:val="1"/>
          <w:numId w:val="136"/>
        </w:numPr>
        <w:rPr>
          <w:rFonts w:ascii="Arial" w:cs="Arial" w:eastAsia="Arial" w:hAnsi="Arial"/>
          <w:sz w:val="19"/>
          <w:szCs w:val="19"/>
          <w:color w:val="auto"/>
        </w:rPr>
      </w:pPr>
      <w:r>
        <w:rPr>
          <w:rFonts w:ascii="Arial" w:cs="Arial" w:eastAsia="Arial" w:hAnsi="Arial"/>
          <w:sz w:val="17"/>
          <w:szCs w:val="17"/>
          <w:color w:val="auto"/>
        </w:rPr>
        <w:t>no Lien has been recorded or, to the knowledge of the U.S. Borrower and its Restricted Subsidiaries, threatened under any Environmental Law with respect to any owned real property or other assets of the U.S. Borrower and its Restricted Subsidiaries, except as individually or in the aggregate, would not reasonably be expected to result in a Material Adverse Effect; and</w:t>
      </w:r>
    </w:p>
    <w:p>
      <w:pPr>
        <w:spacing w:after="0" w:line="178" w:lineRule="exact"/>
        <w:rPr>
          <w:rFonts w:ascii="Arial" w:cs="Arial" w:eastAsia="Arial" w:hAnsi="Arial"/>
          <w:sz w:val="19"/>
          <w:szCs w:val="19"/>
          <w:color w:val="auto"/>
        </w:rPr>
      </w:pPr>
    </w:p>
    <w:p>
      <w:pPr>
        <w:ind w:left="640" w:right="20" w:firstLine="644"/>
        <w:spacing w:after="0" w:line="266" w:lineRule="auto"/>
        <w:tabs>
          <w:tab w:leader="none" w:pos="1754" w:val="left"/>
        </w:tabs>
        <w:numPr>
          <w:ilvl w:val="1"/>
          <w:numId w:val="136"/>
        </w:numPr>
        <w:rPr>
          <w:rFonts w:ascii="Arial" w:cs="Arial" w:eastAsia="Arial" w:hAnsi="Arial"/>
          <w:sz w:val="20"/>
          <w:szCs w:val="20"/>
          <w:color w:val="auto"/>
        </w:rPr>
      </w:pPr>
      <w:r>
        <w:rPr>
          <w:rFonts w:ascii="Arial" w:cs="Arial" w:eastAsia="Arial" w:hAnsi="Arial"/>
          <w:sz w:val="18"/>
          <w:szCs w:val="18"/>
          <w:color w:val="auto"/>
        </w:rPr>
        <w:t>the execution, delivery and performance of this Agreement and the consummation of the transactions contemplated hereby will not require any notification, registration, filing, reporting,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40" w:top="765" w:right="359" w:bottom="1440" w:gutter="0" w:footer="0" w:header="0"/>
        </w:sectPr>
      </w:pPr>
    </w:p>
    <w:bookmarkStart w:id="163" w:name="page164"/>
    <w:bookmarkEnd w:id="163"/>
    <w:p>
      <w:pPr>
        <w:ind w:left="660" w:right="540"/>
        <w:spacing w:after="0" w:line="263" w:lineRule="auto"/>
        <w:rPr>
          <w:sz w:val="20"/>
          <w:szCs w:val="20"/>
          <w:color w:val="auto"/>
        </w:rPr>
      </w:pPr>
      <w:r>
        <w:rPr>
          <w:rFonts w:ascii="Arial" w:cs="Arial" w:eastAsia="Arial" w:hAnsi="Arial"/>
          <w:sz w:val="18"/>
          <w:szCs w:val="18"/>
          <w:color w:val="auto"/>
        </w:rPr>
        <w:t>disclosure, investigation, remediation or cleanup pursuant to any Governmental Real Property Disclosure Requirements or any other Environmental Law, except for those matters that, individually or in the aggregate, would not reasonably be expected to result in a Material Adverse Effect.</w:t>
      </w:r>
    </w:p>
    <w:p>
      <w:pPr>
        <w:spacing w:after="0" w:line="175"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b w:val="1"/>
          <w:bCs w:val="1"/>
          <w:color w:val="auto"/>
        </w:rPr>
        <w:t xml:space="preserve">5.10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The properties of the U.S. Borrower and its Restricted Subsidiaries are insured with financially sound and reputable insurance</w:t>
      </w:r>
      <w:r>
        <w:rPr>
          <w:rFonts w:ascii="Arial" w:cs="Arial" w:eastAsia="Arial" w:hAnsi="Arial"/>
          <w:sz w:val="19"/>
          <w:szCs w:val="19"/>
          <w:b w:val="1"/>
          <w:bCs w:val="1"/>
          <w:color w:val="auto"/>
        </w:rPr>
        <w:t xml:space="preserve"> </w:t>
      </w:r>
      <w:r>
        <w:rPr>
          <w:rFonts w:ascii="Arial" w:cs="Arial" w:eastAsia="Arial" w:hAnsi="Arial"/>
          <w:sz w:val="16"/>
          <w:szCs w:val="16"/>
          <w:color w:val="auto"/>
        </w:rPr>
        <w:t>companies, in such amounts (after giving effect to any self-insurance reasonable and customary for similarly situated Persons engaged in the same or similar businesses as U.S. Borrower and its Restricted Subsidiaries) with such deductibles and covering such risks as are customarily carried by prudent companies engaged in similar businesses and owning similar properties in localities where U.S. Borrower or the applicable Restricted Subsidiary operates.</w:t>
      </w:r>
    </w:p>
    <w:p>
      <w:pPr>
        <w:spacing w:after="0" w:line="15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b w:val="1"/>
          <w:bCs w:val="1"/>
          <w:color w:val="auto"/>
        </w:rPr>
        <w:t xml:space="preserve">5.11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Holdings and each of its Restricted Subsidiaries have (a) timely filed all material federal, state and other Tax Returns and reports</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required to be filed and (b) duly and timely paid all material federal, state, provincial, territorial and other Taxes levied or imposed upon them or their properties, income or assets otherwise due and payable (whether or not shown on any Tax Return), except those which are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not more than 30 days overdue </w:t>
      </w:r>
      <w:r>
        <w:rPr>
          <w:rFonts w:ascii="Arial" w:cs="Arial" w:eastAsia="Arial" w:hAnsi="Arial"/>
          <w:sz w:val="16"/>
          <w:szCs w:val="16"/>
          <w:color w:val="auto"/>
          <w:strike w:val="1"/>
        </w:rPr>
        <w: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*(ii) during the Restricted Period, the subject of any deferral, forbearance or similar action by any Governmental Authority to the extent such</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deferral, forbearance or similar action is ongoing, or (iii)*</w:t>
      </w:r>
      <w:r>
        <w:rPr>
          <w:rFonts w:ascii="Arial" w:cs="Arial" w:eastAsia="Arial" w:hAnsi="Arial"/>
          <w:sz w:val="16"/>
          <w:szCs w:val="16"/>
          <w:color w:val="auto"/>
        </w:rPr>
        <w:t xml:space="preserve"> are being contested in good faith by appropriate actions diligently conducted and in each case for which adequate reserves have been provided in accordance with GAAP. There are no proposed tax assessments against Holdings or any of its Restricted Subsidiaries that, if made, would reasonably be expected to, individually or in the aggregate, result in a Material Adverse Effect. Holdings and each Restricted Subsidiary has made adequate provision in accordance with GAAP for all material Taxes not yet due and payable. Neither Holdings nor any Restricted Subsidiary has engaged in any “listed transaction” within the meaning of Treasury Regulation Section 1.6011-4(b)(2), except as would not be reasonably expected to, individually or in the aggregate, result in a Material Adverse Effect. Except any liabilities for Taxes of any consolidated, combined or unitary Tax group of which the Holdings is the common parent, neither Holdings nor any of its Restricted Subsidiaries has any liabilities for the Taxes of any Person under Treas. Reg. Section 1.1502-6 or any similar provision of state, provincial, territorial, local or foreign law, as a transferee or successor, by contract or otherwise, except for (i) any agreements among or between Holdings and its Restricted Subsidiaries and other than customary Tax indemnifications contained in credit or other commercial agreements the primary purpose of which does not relate to Taxes or (ii) as would not reasonably be expected to, individually or in the aggregate, result in a Material Adverse Effect.</w:t>
      </w:r>
    </w:p>
    <w:p>
      <w:pPr>
        <w:spacing w:after="0" w:line="15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6"/>
          <w:szCs w:val="16"/>
          <w:b w:val="1"/>
          <w:bCs w:val="1"/>
          <w:u w:val="single" w:color="auto"/>
          <w:color w:val="auto"/>
        </w:rPr>
        <w:t>ERISA Compliance</w:t>
      </w:r>
      <w:r>
        <w:rPr>
          <w:rFonts w:ascii="Arial" w:cs="Arial" w:eastAsia="Arial" w:hAnsi="Arial"/>
          <w:sz w:val="16"/>
          <w:szCs w:val="16"/>
          <w:color w:val="auto"/>
        </w:rPr>
        <w:t>.</w:t>
      </w:r>
    </w:p>
    <w:p>
      <w:pPr>
        <w:spacing w:after="0" w:line="238" w:lineRule="exact"/>
        <w:rPr>
          <w:sz w:val="20"/>
          <w:szCs w:val="20"/>
          <w:color w:val="auto"/>
        </w:rPr>
      </w:pPr>
    </w:p>
    <w:p>
      <w:pPr>
        <w:ind w:right="40" w:firstLine="656"/>
        <w:spacing w:after="0" w:line="303" w:lineRule="auto"/>
        <w:tabs>
          <w:tab w:leader="none" w:pos="1048" w:val="left"/>
        </w:tabs>
        <w:numPr>
          <w:ilvl w:val="0"/>
          <w:numId w:val="137"/>
        </w:numPr>
        <w:rPr>
          <w:rFonts w:ascii="Arial" w:cs="Arial" w:eastAsia="Arial" w:hAnsi="Arial"/>
          <w:sz w:val="18"/>
          <w:szCs w:val="18"/>
          <w:color w:val="auto"/>
        </w:rPr>
      </w:pPr>
      <w:r>
        <w:rPr>
          <w:rFonts w:ascii="Arial" w:cs="Arial" w:eastAsia="Arial" w:hAnsi="Arial"/>
          <w:sz w:val="16"/>
          <w:szCs w:val="16"/>
          <w:color w:val="auto"/>
        </w:rPr>
        <w:t>No ERISA Event has occurred or is reasonably expected to occur that, when taken together with all other such ERISA Events for which liability is reasonably expected to occur, would reasonably be expected to result in a Material Adverse Effect. The Loan Parties and each ERISA Affiliate are in compliance in all material respects with the presently applicable provisions of ERISA and the Code with respect to each Employee Benefit Plan except such noncompliance as would not reasonably be expected to have a Material Adverse Effect. The present value of all accumulated benefit obligations of all underfunded Pension Plans (based on the assumptions used for purposes of FASB ASC No. 715) did not, as of the date of the most recent financial statements reflecting such amounts, exceed an amount that would reasonably be expected to have a Material Adverse Effect.</w:t>
      </w:r>
    </w:p>
    <w:p>
      <w:pPr>
        <w:spacing w:after="0" w:line="170" w:lineRule="exact"/>
        <w:rPr>
          <w:rFonts w:ascii="Arial" w:cs="Arial" w:eastAsia="Arial" w:hAnsi="Arial"/>
          <w:sz w:val="18"/>
          <w:szCs w:val="18"/>
          <w:color w:val="auto"/>
        </w:rPr>
      </w:pPr>
    </w:p>
    <w:p>
      <w:pPr>
        <w:ind w:right="20" w:firstLine="656"/>
        <w:spacing w:after="0" w:line="265" w:lineRule="auto"/>
        <w:tabs>
          <w:tab w:leader="none" w:pos="1058" w:val="left"/>
        </w:tabs>
        <w:numPr>
          <w:ilvl w:val="0"/>
          <w:numId w:val="137"/>
        </w:numPr>
        <w:rPr>
          <w:rFonts w:ascii="Arial" w:cs="Arial" w:eastAsia="Arial" w:hAnsi="Arial"/>
          <w:sz w:val="20"/>
          <w:szCs w:val="20"/>
          <w:color w:val="auto"/>
        </w:rPr>
      </w:pPr>
      <w:r>
        <w:rPr>
          <w:rFonts w:ascii="Arial" w:cs="Arial" w:eastAsia="Arial" w:hAnsi="Arial"/>
          <w:sz w:val="18"/>
          <w:szCs w:val="18"/>
          <w:color w:val="auto"/>
        </w:rPr>
        <w:t>Except as would not reasonably be expected to have a Material Adverse Effect, (i) each Foreign Plan has been maintained in substantial compliance with its terms and with the requirements of any and all applicable Law and has been maintained, where required, in good standing with applicable regulatory authorities, (ii) neither the U.S. Borrower or any of its Restricted Subsidiaries has incurred any material obligation in connection with the termination of or withdrawal from any Foreign Plan and (iii) the present value of the accrued benefit liabilities (whether or not vested) under each Foreign Plan which is funded, determined as of the end of the most recently ended fiscal year on the basis of actuarial assumptions, each of which is reasonable, did not exceed the current value of the property of such Foreign Plan, and for each Foreign Plan which is not funded, the obligations of such Foreign Plan are properly accrued.</w:t>
      </w:r>
    </w:p>
    <w:p>
      <w:pPr>
        <w:spacing w:after="0" w:line="197" w:lineRule="exact"/>
        <w:rPr>
          <w:rFonts w:ascii="Arial" w:cs="Arial" w:eastAsia="Arial" w:hAnsi="Arial"/>
          <w:sz w:val="20"/>
          <w:szCs w:val="20"/>
          <w:color w:val="auto"/>
        </w:rPr>
      </w:pPr>
    </w:p>
    <w:p>
      <w:pPr>
        <w:ind w:right="40" w:firstLine="656"/>
        <w:spacing w:after="0" w:line="266" w:lineRule="auto"/>
        <w:tabs>
          <w:tab w:leader="none" w:pos="1048" w:val="left"/>
        </w:tabs>
        <w:numPr>
          <w:ilvl w:val="0"/>
          <w:numId w:val="137"/>
        </w:numPr>
        <w:rPr>
          <w:rFonts w:ascii="Arial" w:cs="Arial" w:eastAsia="Arial" w:hAnsi="Arial"/>
          <w:sz w:val="20"/>
          <w:szCs w:val="20"/>
          <w:color w:val="auto"/>
        </w:rPr>
      </w:pPr>
      <w:r>
        <w:rPr>
          <w:rFonts w:ascii="Arial" w:cs="Arial" w:eastAsia="Arial" w:hAnsi="Arial"/>
          <w:sz w:val="18"/>
          <w:szCs w:val="18"/>
          <w:color w:val="auto"/>
        </w:rPr>
        <w:t>Except as would not reasonably be expected to have a Material Adverse Effect, the Canadian Pension Plans, if any, are duly registered under the ITA (if required to be so registered) and any other applicable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557" w:right="359" w:bottom="1440" w:gutter="0" w:footer="0" w:header="0"/>
        </w:sectPr>
      </w:pPr>
    </w:p>
    <w:bookmarkStart w:id="164" w:name="page165"/>
    <w:bookmarkEnd w:id="164"/>
    <w:p>
      <w:pPr>
        <w:spacing w:after="0" w:line="287" w:lineRule="auto"/>
        <w:rPr>
          <w:sz w:val="20"/>
          <w:szCs w:val="20"/>
          <w:color w:val="auto"/>
        </w:rPr>
      </w:pPr>
      <w:r>
        <w:rPr>
          <w:rFonts w:ascii="Arial" w:cs="Arial" w:eastAsia="Arial" w:hAnsi="Arial"/>
          <w:sz w:val="16"/>
          <w:szCs w:val="16"/>
          <w:color w:val="auto"/>
        </w:rPr>
        <w:t>laws which require registration, have been administered in accordance with the ITA and such other applicable laws and no event has occurred which could reasonably be expected to cause the loss of such registered status. All material obligations of the U.S. Borrower and/or its Restricted Subsidiaries, as applicable (including fiduciary, funding, investment and administration obligations) required to be performed in connection with the Canadian Pension Plans and the funding agreements therefor have been performed on a timely basis, except to the extent that any failure to do so could not reasonably be expected to have a Material Adverse Effect. Except as would not reasonably be expected to have a Material Adverse Effect, there are no outstanding disputes concerning the assets of the Canadian Pension Plans or the Canadian Benefit Plans. Except as would not reasonably be expected to have a Material Adverse Effect, all contributions or premiums required to be made or paid by the U.S. Borrower and/or its Restricted Subsidiaries, as applicable, to the Canadian Pension Plans or the Canadian Benefit Plans have been made on a timely basis in accordance with the terms of such plans and all applicable laws. Except as would not reasonably be expected to have a Material Adverse Effect, there have been no improper withdrawals or applications of the assets of the Canadian Pension Plans or the Canadian Benefit Plans. The Loan Parties do not, and have not previously sponsored, administered, participated in or contributed to a Canadian Pension Plan that is a “registered pension plan” as defined in subsection 248(1) of the ITA and which contains a “defined benefit provision” as defined in subsection 147.1(1) of the Income Tax Act (Canada).</w:t>
      </w:r>
    </w:p>
    <w:p>
      <w:pPr>
        <w:spacing w:after="0" w:line="181" w:lineRule="exact"/>
        <w:rPr>
          <w:sz w:val="20"/>
          <w:szCs w:val="20"/>
          <w:color w:val="auto"/>
        </w:rPr>
      </w:pPr>
    </w:p>
    <w:p>
      <w:pPr>
        <w:ind w:right="120" w:firstLine="656"/>
        <w:spacing w:after="0" w:line="264" w:lineRule="auto"/>
        <w:tabs>
          <w:tab w:leader="none" w:pos="1049" w:val="left"/>
        </w:tabs>
        <w:numPr>
          <w:ilvl w:val="0"/>
          <w:numId w:val="138"/>
        </w:numPr>
        <w:rPr>
          <w:rFonts w:ascii="Arial" w:cs="Arial" w:eastAsia="Arial" w:hAnsi="Arial"/>
          <w:sz w:val="20"/>
          <w:szCs w:val="20"/>
          <w:color w:val="auto"/>
        </w:rPr>
      </w:pPr>
      <w:r>
        <w:rPr>
          <w:rFonts w:ascii="Arial" w:cs="Arial" w:eastAsia="Arial" w:hAnsi="Arial"/>
          <w:sz w:val="18"/>
          <w:szCs w:val="18"/>
          <w:color w:val="auto"/>
        </w:rPr>
        <w:t>As of the Closing Date, no Borrower is nor will be (1) an employee benefit plan subject to Title I of ERISA; (2) a plan or account subject to Section 4975 of the Code; (3) an entity deemed to hold “plan assets” of any such plans or accounts for purposes of ERISA or the Code; or (4) a “governmental plan” within the meaning of ERISA.</w:t>
      </w:r>
    </w:p>
    <w:p>
      <w:pPr>
        <w:spacing w:after="0" w:line="174" w:lineRule="exact"/>
        <w:rPr>
          <w:sz w:val="20"/>
          <w:szCs w:val="20"/>
          <w:color w:val="auto"/>
        </w:rPr>
      </w:pPr>
    </w:p>
    <w:p>
      <w:pPr>
        <w:ind w:right="20" w:firstLine="648"/>
        <w:spacing w:after="0" w:line="278" w:lineRule="auto"/>
        <w:rPr>
          <w:sz w:val="20"/>
          <w:szCs w:val="20"/>
          <w:color w:val="auto"/>
        </w:rPr>
      </w:pPr>
      <w:r>
        <w:rPr>
          <w:rFonts w:ascii="Arial" w:cs="Arial" w:eastAsia="Arial" w:hAnsi="Arial"/>
          <w:sz w:val="20"/>
          <w:szCs w:val="20"/>
          <w:b w:val="1"/>
          <w:bCs w:val="1"/>
          <w:color w:val="auto"/>
        </w:rPr>
        <w:t xml:space="preserve">5.13 </w:t>
      </w:r>
      <w:r>
        <w:rPr>
          <w:rFonts w:ascii="Arial" w:cs="Arial" w:eastAsia="Arial" w:hAnsi="Arial"/>
          <w:sz w:val="17"/>
          <w:szCs w:val="17"/>
          <w:b w:val="1"/>
          <w:bCs w:val="1"/>
          <w:u w:val="single" w:color="auto"/>
          <w:color w:val="auto"/>
        </w:rPr>
        <w:t>Subsidiaries; Equity Interests</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As of the Fourth Restatement Date, the U.S. Borrower does not have any Subsidiaries other than those</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specifically disclosed in </w:t>
      </w:r>
      <w:r>
        <w:rPr>
          <w:rFonts w:ascii="Arial" w:cs="Arial" w:eastAsia="Arial" w:hAnsi="Arial"/>
          <w:sz w:val="17"/>
          <w:szCs w:val="17"/>
          <w:u w:val="single" w:color="auto"/>
          <w:color w:val="auto"/>
        </w:rPr>
        <w:t>Schedule 5.13(a)</w:t>
      </w:r>
      <w:r>
        <w:rPr>
          <w:rFonts w:ascii="Arial" w:cs="Arial" w:eastAsia="Arial" w:hAnsi="Arial"/>
          <w:sz w:val="17"/>
          <w:szCs w:val="17"/>
          <w:color w:val="auto"/>
        </w:rPr>
        <w:t xml:space="preserve">, and all of the outstanding Equity Interests in such Subsidiaries have been validly issued, are, to the extent applicable, fully paid and nonassessable and are owned by a Loan Party in the amounts specified on </w:t>
      </w:r>
      <w:r>
        <w:rPr>
          <w:rFonts w:ascii="Arial" w:cs="Arial" w:eastAsia="Arial" w:hAnsi="Arial"/>
          <w:sz w:val="17"/>
          <w:szCs w:val="17"/>
          <w:u w:val="single" w:color="auto"/>
          <w:color w:val="auto"/>
        </w:rPr>
        <w:t>Schedule 5.13(a)</w:t>
      </w:r>
      <w:r>
        <w:rPr>
          <w:rFonts w:ascii="Arial" w:cs="Arial" w:eastAsia="Arial" w:hAnsi="Arial"/>
          <w:sz w:val="17"/>
          <w:szCs w:val="17"/>
          <w:color w:val="auto"/>
        </w:rPr>
        <w:t xml:space="preserve"> free and clear of all Liens, except the security interest created by the Security Agreement,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and Liens arising by operation of law. As of the Fourth Restatement Date, neither the U.S. Borrower nor any of its Subsidiaries has any equity investments in any other corporation or entity other than those specifically disclosed in </w:t>
      </w:r>
      <w:r>
        <w:rPr>
          <w:rFonts w:ascii="Arial" w:cs="Arial" w:eastAsia="Arial" w:hAnsi="Arial"/>
          <w:sz w:val="17"/>
          <w:szCs w:val="17"/>
          <w:u w:val="single" w:color="auto"/>
          <w:color w:val="auto"/>
        </w:rPr>
        <w:t>Schedule 5.13(b)</w:t>
      </w:r>
      <w:r>
        <w:rPr>
          <w:rFonts w:ascii="Arial" w:cs="Arial" w:eastAsia="Arial" w:hAnsi="Arial"/>
          <w:sz w:val="17"/>
          <w:szCs w:val="17"/>
          <w:color w:val="auto"/>
        </w:rPr>
        <w:t xml:space="preserve">. All of the outstanding Equity Interests of the U.S. Borrower have been validly issued. As of the Fourth Restatement Date, all Wholly-Owned Restricted Subsidiaries of the U.S. Borrower that do not constitute Excluded Subsidiaries existing on the Fourth Restatement Date, other than the Foreign Subsidiaries that are not Dutch Borrower and Canadian Borrower, are Subsidiary Guarantors. As of the Fourth Restatement Date, </w:t>
      </w:r>
      <w:r>
        <w:rPr>
          <w:rFonts w:ascii="Arial" w:cs="Arial" w:eastAsia="Arial" w:hAnsi="Arial"/>
          <w:sz w:val="17"/>
          <w:szCs w:val="17"/>
          <w:u w:val="single" w:color="auto"/>
          <w:color w:val="auto"/>
        </w:rPr>
        <w:t>Schedule 5.13(a)</w:t>
      </w:r>
      <w:r>
        <w:rPr>
          <w:rFonts w:ascii="Arial" w:cs="Arial" w:eastAsia="Arial" w:hAnsi="Arial"/>
          <w:sz w:val="17"/>
          <w:szCs w:val="17"/>
          <w:color w:val="auto"/>
        </w:rPr>
        <w:t xml:space="preserve"> correctly sets forth the ownership interest of the U.S. Borrower and its Subsidiaries in their respective Subsidiaries as of the Fourth Restatement Date.</w:t>
      </w:r>
    </w:p>
    <w:p>
      <w:pPr>
        <w:spacing w:after="0" w:line="16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5.14</w:t>
      </w:r>
      <w:r>
        <w:rPr>
          <w:sz w:val="20"/>
          <w:szCs w:val="20"/>
          <w:color w:val="auto"/>
        </w:rPr>
        <w:tab/>
      </w:r>
      <w:r>
        <w:rPr>
          <w:rFonts w:ascii="Arial" w:cs="Arial" w:eastAsia="Arial" w:hAnsi="Arial"/>
          <w:sz w:val="16"/>
          <w:szCs w:val="16"/>
          <w:b w:val="1"/>
          <w:bCs w:val="1"/>
          <w:u w:val="single" w:color="auto"/>
          <w:color w:val="auto"/>
        </w:rPr>
        <w:t>Margin Regulations; Investment Company Act</w:t>
      </w:r>
      <w:r>
        <w:rPr>
          <w:rFonts w:ascii="Arial" w:cs="Arial" w:eastAsia="Arial" w:hAnsi="Arial"/>
          <w:sz w:val="16"/>
          <w:szCs w:val="16"/>
          <w:color w:val="auto"/>
        </w:rPr>
        <w:t>.</w:t>
      </w:r>
    </w:p>
    <w:p>
      <w:pPr>
        <w:spacing w:after="0" w:line="238" w:lineRule="exact"/>
        <w:rPr>
          <w:sz w:val="20"/>
          <w:szCs w:val="20"/>
          <w:color w:val="auto"/>
        </w:rPr>
      </w:pPr>
    </w:p>
    <w:p>
      <w:pPr>
        <w:ind w:right="20" w:firstLine="656"/>
        <w:spacing w:after="0" w:line="265" w:lineRule="auto"/>
        <w:tabs>
          <w:tab w:leader="none" w:pos="1048" w:val="left"/>
        </w:tabs>
        <w:numPr>
          <w:ilvl w:val="0"/>
          <w:numId w:val="139"/>
        </w:numPr>
        <w:rPr>
          <w:rFonts w:ascii="Arial" w:cs="Arial" w:eastAsia="Arial" w:hAnsi="Arial"/>
          <w:sz w:val="20"/>
          <w:szCs w:val="20"/>
          <w:color w:val="auto"/>
        </w:rPr>
      </w:pPr>
      <w:r>
        <w:rPr>
          <w:rFonts w:ascii="Arial" w:cs="Arial" w:eastAsia="Arial" w:hAnsi="Arial"/>
          <w:sz w:val="18"/>
          <w:szCs w:val="18"/>
          <w:color w:val="auto"/>
        </w:rPr>
        <w:t>Neither the U.S. Borrower nor any of its Restricted Subsidiaries is engaged nor does it intend to engage, principally or as one of its important activities, in the business of purchasing or carrying margin stock (within the meaning of Regulation U issued by the FRB), or extending credit for the purpose of purchasing or carrying margin stock, and no proceeds of any Borrowings or drawings under any Letter of Credit will be used for any purpose that violates Regulation U.</w:t>
      </w:r>
    </w:p>
    <w:p>
      <w:pPr>
        <w:spacing w:after="0" w:line="194" w:lineRule="exact"/>
        <w:rPr>
          <w:rFonts w:ascii="Arial" w:cs="Arial" w:eastAsia="Arial" w:hAnsi="Arial"/>
          <w:sz w:val="20"/>
          <w:szCs w:val="20"/>
          <w:color w:val="auto"/>
        </w:rPr>
      </w:pPr>
    </w:p>
    <w:p>
      <w:pPr>
        <w:ind w:left="1060" w:hanging="404"/>
        <w:spacing w:after="0"/>
        <w:tabs>
          <w:tab w:leader="none" w:pos="1060" w:val="left"/>
        </w:tabs>
        <w:numPr>
          <w:ilvl w:val="0"/>
          <w:numId w:val="139"/>
        </w:numPr>
        <w:rPr>
          <w:rFonts w:ascii="Arial" w:cs="Arial" w:eastAsia="Arial" w:hAnsi="Arial"/>
          <w:sz w:val="18"/>
          <w:szCs w:val="18"/>
          <w:color w:val="auto"/>
        </w:rPr>
      </w:pPr>
      <w:r>
        <w:rPr>
          <w:rFonts w:ascii="Arial" w:cs="Arial" w:eastAsia="Arial" w:hAnsi="Arial"/>
          <w:sz w:val="16"/>
          <w:szCs w:val="16"/>
          <w:color w:val="auto"/>
        </w:rPr>
        <w:t>Neither the U.S. Borrower nor any of its Restricted Subsidiaries is an “investment company” under the Investment Company Act of 1940.</w:t>
      </w:r>
    </w:p>
    <w:p>
      <w:pPr>
        <w:spacing w:after="0" w:line="21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5.15</w:t>
      </w:r>
      <w:r>
        <w:rPr>
          <w:sz w:val="20"/>
          <w:szCs w:val="20"/>
          <w:color w:val="auto"/>
        </w:rPr>
        <w:tab/>
      </w:r>
      <w:r>
        <w:rPr>
          <w:rFonts w:ascii="Arial" w:cs="Arial" w:eastAsia="Arial" w:hAnsi="Arial"/>
          <w:sz w:val="15"/>
          <w:szCs w:val="15"/>
          <w:b w:val="1"/>
          <w:bCs w:val="1"/>
          <w:u w:val="single" w:color="auto"/>
          <w:color w:val="auto"/>
        </w:rPr>
        <w:t>Disclosure</w:t>
      </w:r>
      <w:r>
        <w:rPr>
          <w:rFonts w:ascii="Arial" w:cs="Arial" w:eastAsia="Arial" w:hAnsi="Arial"/>
          <w:sz w:val="15"/>
          <w:szCs w:val="15"/>
          <w:color w:val="auto"/>
        </w:rPr>
        <w:t>.</w:t>
      </w:r>
    </w:p>
    <w:p>
      <w:pPr>
        <w:spacing w:after="0" w:line="238" w:lineRule="exact"/>
        <w:rPr>
          <w:sz w:val="20"/>
          <w:szCs w:val="20"/>
          <w:color w:val="auto"/>
        </w:rPr>
      </w:pPr>
    </w:p>
    <w:p>
      <w:pPr>
        <w:ind w:right="260" w:firstLine="656"/>
        <w:spacing w:after="0" w:line="284" w:lineRule="auto"/>
        <w:tabs>
          <w:tab w:leader="none" w:pos="1048" w:val="left"/>
        </w:tabs>
        <w:numPr>
          <w:ilvl w:val="0"/>
          <w:numId w:val="140"/>
        </w:numPr>
        <w:rPr>
          <w:rFonts w:ascii="Arial" w:cs="Arial" w:eastAsia="Arial" w:hAnsi="Arial"/>
          <w:sz w:val="19"/>
          <w:szCs w:val="19"/>
          <w:color w:val="auto"/>
        </w:rPr>
      </w:pPr>
      <w:r>
        <w:rPr>
          <w:rFonts w:ascii="Arial" w:cs="Arial" w:eastAsia="Arial" w:hAnsi="Arial"/>
          <w:sz w:val="17"/>
          <w:szCs w:val="17"/>
          <w:color w:val="auto"/>
        </w:rPr>
        <w:t>No report, financial statement, certificate or other information, including the Perfection Certificate, but excluding projected financial information, budgets, estimates, pro formas, general industry information and other forward-looking information, furnished in writing by or on behalf of any Loan Party to any Agent or any Lender in connection with the transactions contemplated hereby and the negotiation of this Agreement or delivered hereunder or under any other Loan Document, when taken as a whole (after giving effect to all supplements and updates thereto from time to time), contained any material misstatement of fact or omitted to state any material fact necessary 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773" w:right="339" w:bottom="1440" w:gutter="0" w:footer="0" w:header="0"/>
        </w:sectPr>
      </w:pPr>
    </w:p>
    <w:bookmarkStart w:id="165" w:name="page166"/>
    <w:bookmarkEnd w:id="165"/>
    <w:p>
      <w:pPr>
        <w:ind w:right="40"/>
        <w:spacing w:after="0" w:line="257" w:lineRule="auto"/>
        <w:rPr>
          <w:sz w:val="20"/>
          <w:szCs w:val="20"/>
          <w:color w:val="auto"/>
        </w:rPr>
      </w:pPr>
      <w:r>
        <w:rPr>
          <w:rFonts w:ascii="Arial" w:cs="Arial" w:eastAsia="Arial" w:hAnsi="Arial"/>
          <w:sz w:val="18"/>
          <w:szCs w:val="18"/>
          <w:color w:val="auto"/>
        </w:rPr>
        <w:t xml:space="preserve">make the statements therein, in the light of the circumstances under which they were made, not materially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Loan Parties represent only that such information was prepared in good faith based upon assumptions believed by them to be reasonable at the time; it being understood that such projections may vary from actual results and that such variances may be material, are subject to significant uncertainties and outside factors, many of which are beyond the control of the Loan Parties, and that they are not a guarantee of financial performance.</w:t>
      </w:r>
    </w:p>
    <w:p>
      <w:pPr>
        <w:spacing w:after="0" w:line="201" w:lineRule="exact"/>
        <w:rPr>
          <w:sz w:val="20"/>
          <w:szCs w:val="20"/>
          <w:color w:val="auto"/>
        </w:rPr>
      </w:pPr>
    </w:p>
    <w:p>
      <w:pPr>
        <w:ind w:right="160" w:firstLine="656"/>
        <w:spacing w:after="0" w:line="264" w:lineRule="auto"/>
        <w:tabs>
          <w:tab w:leader="none" w:pos="1049" w:val="left"/>
        </w:tabs>
        <w:numPr>
          <w:ilvl w:val="0"/>
          <w:numId w:val="141"/>
        </w:numPr>
        <w:rPr>
          <w:rFonts w:ascii="Arial" w:cs="Arial" w:eastAsia="Arial" w:hAnsi="Arial"/>
          <w:sz w:val="20"/>
          <w:szCs w:val="20"/>
          <w:color w:val="auto"/>
        </w:rPr>
      </w:pPr>
      <w:r>
        <w:rPr>
          <w:rFonts w:ascii="Arial" w:cs="Arial" w:eastAsia="Arial" w:hAnsi="Arial"/>
          <w:sz w:val="18"/>
          <w:szCs w:val="18"/>
          <w:color w:val="auto"/>
        </w:rPr>
        <w:t>As of the Amendment No. 1 Effective Date, to the best knowledge of the U.S. Borrower, the information included in the Beneficial Ownership Certification provided on or prior to the Amendment No. 1 Effective Date to any Lender in connection with this Agreement is true and correct in all respects.</w:t>
      </w:r>
    </w:p>
    <w:p>
      <w:pPr>
        <w:spacing w:after="0" w:line="174" w:lineRule="exact"/>
        <w:rPr>
          <w:sz w:val="20"/>
          <w:szCs w:val="20"/>
          <w:color w:val="auto"/>
        </w:rPr>
      </w:pPr>
    </w:p>
    <w:p>
      <w:pPr>
        <w:ind w:firstLine="648"/>
        <w:spacing w:after="0" w:line="272" w:lineRule="auto"/>
        <w:rPr>
          <w:sz w:val="20"/>
          <w:szCs w:val="20"/>
          <w:color w:val="auto"/>
        </w:rPr>
      </w:pPr>
      <w:r>
        <w:rPr>
          <w:rFonts w:ascii="Arial" w:cs="Arial" w:eastAsia="Arial" w:hAnsi="Arial"/>
          <w:sz w:val="20"/>
          <w:szCs w:val="20"/>
          <w:b w:val="1"/>
          <w:bCs w:val="1"/>
          <w:color w:val="auto"/>
        </w:rPr>
        <w:t xml:space="preserve">5.16 </w:t>
      </w:r>
      <w:r>
        <w:rPr>
          <w:rFonts w:ascii="Arial" w:cs="Arial" w:eastAsia="Arial" w:hAnsi="Arial"/>
          <w:sz w:val="17"/>
          <w:szCs w:val="17"/>
          <w:b w:val="1"/>
          <w:bCs w:val="1"/>
          <w:u w:val="single" w:color="auto"/>
          <w:color w:val="auto"/>
        </w:rPr>
        <w:t>Compliance with Laws</w:t>
      </w:r>
      <w:r>
        <w:rPr>
          <w:rFonts w:ascii="Arial" w:cs="Arial" w:eastAsia="Arial" w:hAnsi="Arial"/>
          <w:sz w:val="17"/>
          <w:szCs w:val="17"/>
          <w:color w:val="auto"/>
        </w:rPr>
        <w:t>. Each of the U.S. Borrower and its Restricted Subsidiaries is in compliance with the requirements of all Laws and</w:t>
      </w:r>
      <w:r>
        <w:rPr>
          <w:rFonts w:ascii="Arial" w:cs="Arial" w:eastAsia="Arial" w:hAnsi="Arial"/>
          <w:sz w:val="20"/>
          <w:szCs w:val="20"/>
          <w:b w:val="1"/>
          <w:bCs w:val="1"/>
          <w:color w:val="auto"/>
        </w:rPr>
        <w:t xml:space="preserve"> </w:t>
      </w:r>
      <w:r>
        <w:rPr>
          <w:rFonts w:ascii="Arial" w:cs="Arial" w:eastAsia="Arial" w:hAnsi="Arial"/>
          <w:sz w:val="17"/>
          <w:szCs w:val="17"/>
          <w:color w:val="auto"/>
        </w:rPr>
        <w:t>all orders, writs, injunctions and decrees applicable to it or to its properties, except in such instances in which (a) such applicable law or order, writ, injunction or decree is being contested in good faith by appropriate actions diligently conducted or (b) the failure to comply therewith, either individually or in the aggregate, could not reasonably be expected to have a Material Adverse Effect.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20"/>
          <w:szCs w:val="20"/>
          <w:b w:val="1"/>
          <w:bCs w:val="1"/>
          <w:color w:val="auto"/>
        </w:rPr>
        <w:t xml:space="preserve">5.17 </w:t>
      </w:r>
      <w:r>
        <w:rPr>
          <w:rFonts w:ascii="Arial" w:cs="Arial" w:eastAsia="Arial" w:hAnsi="Arial"/>
          <w:sz w:val="17"/>
          <w:szCs w:val="17"/>
          <w:b w:val="1"/>
          <w:bCs w:val="1"/>
          <w:u w:val="single" w:color="auto"/>
          <w:color w:val="auto"/>
        </w:rPr>
        <w:t>Solvency</w:t>
      </w:r>
      <w:r>
        <w:rPr>
          <w:rFonts w:ascii="Arial" w:cs="Arial" w:eastAsia="Arial" w:hAnsi="Arial"/>
          <w:sz w:val="17"/>
          <w:szCs w:val="17"/>
          <w:color w:val="auto"/>
        </w:rPr>
        <w:t>. Immediately after the Credit Extension to occur on the Fourth Restatement Date and immediately following the making of each</w:t>
      </w:r>
      <w:r>
        <w:rPr>
          <w:rFonts w:ascii="Arial" w:cs="Arial" w:eastAsia="Arial" w:hAnsi="Arial"/>
          <w:sz w:val="20"/>
          <w:szCs w:val="20"/>
          <w:b w:val="1"/>
          <w:bCs w:val="1"/>
          <w:color w:val="auto"/>
        </w:rPr>
        <w:t xml:space="preserve"> </w:t>
      </w:r>
      <w:r>
        <w:rPr>
          <w:rFonts w:ascii="Arial" w:cs="Arial" w:eastAsia="Arial" w:hAnsi="Arial"/>
          <w:sz w:val="17"/>
          <w:szCs w:val="17"/>
          <w:color w:val="auto"/>
        </w:rPr>
        <w:t>Loan and after giving effect to the application of the proceeds of each Loan (after taking into account the contribution obligations of each Loan Party pursuant to the Guarantees), (a) the fair value of the properties (as a going concern) of the Loan Parties, taken as a whole, will exceed its debts and liabilities, subordinated, contingent or otherwise; (b) the present fair saleable value of the property of the Loan Parties, taken as a whole, will be greater than the amount that will be required to pay the probable liability of its debts and other liabilities, subordinated, contingent or otherwise, as such debts and other liabilities become absolute and matured; (c) the Loan Parties, taken as a whole, will be able to generally pay their debts and liabilities, subordinated, contingent or otherwise, as such debts and liabilities become absolute and matured; and (d) the Loan Parties, taken as a whole, will not have unreasonably small capital with which to conduct its business in which it is engaged.</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20"/>
          <w:szCs w:val="20"/>
          <w:b w:val="1"/>
          <w:bCs w:val="1"/>
          <w:color w:val="auto"/>
        </w:rPr>
        <w:t xml:space="preserve">5.18 </w:t>
      </w:r>
      <w:r>
        <w:rPr>
          <w:rFonts w:ascii="Arial" w:cs="Arial" w:eastAsia="Arial" w:hAnsi="Arial"/>
          <w:sz w:val="17"/>
          <w:szCs w:val="17"/>
          <w:b w:val="1"/>
          <w:bCs w:val="1"/>
          <w:u w:val="single" w:color="auto"/>
          <w:color w:val="auto"/>
        </w:rPr>
        <w:t>Intellectual Property Matters</w:t>
      </w:r>
      <w:r>
        <w:rPr>
          <w:rFonts w:ascii="Arial" w:cs="Arial" w:eastAsia="Arial" w:hAnsi="Arial"/>
          <w:sz w:val="17"/>
          <w:szCs w:val="17"/>
          <w:color w:val="auto"/>
        </w:rPr>
        <w:t>. Except as set forth in</w:t>
      </w:r>
      <w:r>
        <w:rPr>
          <w:rFonts w:ascii="Arial" w:cs="Arial" w:eastAsia="Arial" w:hAnsi="Arial"/>
          <w:sz w:val="20"/>
          <w:szCs w:val="20"/>
          <w:b w:val="1"/>
          <w:bCs w:val="1"/>
          <w:color w:val="auto"/>
        </w:rPr>
        <w:t xml:space="preserve"> </w:t>
      </w:r>
      <w:r>
        <w:rPr>
          <w:rFonts w:ascii="Arial" w:cs="Arial" w:eastAsia="Arial" w:hAnsi="Arial"/>
          <w:sz w:val="17"/>
          <w:szCs w:val="17"/>
          <w:u w:val="single" w:color="auto"/>
          <w:color w:val="auto"/>
        </w:rPr>
        <w:t>Schedule 5.18</w:t>
      </w:r>
      <w:r>
        <w:rPr>
          <w:rFonts w:ascii="Arial" w:cs="Arial" w:eastAsia="Arial" w:hAnsi="Arial"/>
          <w:sz w:val="17"/>
          <w:szCs w:val="17"/>
          <w:color w:val="auto"/>
        </w:rPr>
        <w:t>: (i) each Loan Party owns, is licensed, or is otherwise free to use, all</w:t>
      </w:r>
      <w:r>
        <w:rPr>
          <w:rFonts w:ascii="Arial" w:cs="Arial" w:eastAsia="Arial" w:hAnsi="Arial"/>
          <w:sz w:val="20"/>
          <w:szCs w:val="20"/>
          <w:b w:val="1"/>
          <w:bCs w:val="1"/>
          <w:color w:val="auto"/>
        </w:rPr>
        <w:t xml:space="preserve"> </w:t>
      </w:r>
      <w:r>
        <w:rPr>
          <w:rFonts w:ascii="Arial" w:cs="Arial" w:eastAsia="Arial" w:hAnsi="Arial"/>
          <w:sz w:val="17"/>
          <w:szCs w:val="17"/>
          <w:color w:val="auto"/>
        </w:rPr>
        <w:t>patents, patent applications, trademarks, trade names, service marks, copyrights, proprietary technology, trade secrets, proprietary information, domain names, and proprietary know-how and processes, necessary for the conduct of its business as currently conducted (the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except for those which the failure to own, license or otherwise have the right to use, individually or in the aggregate, would not reasonably be expected to result in a Material Adverse Effect. To the knowledge of each Loan Party, no claim has been asserted and is pending by any Person challenging or questioning the use of any such Intellectual Property or the validity or effectiveness of any such Intellectual Property, nor to the knowledge of each Loan Party does the use of such Intellectual Property by each Loan Party infringe the rights of any Person, except for such claims and infringements that, individually or in the aggregate, would not reasonably be expected to result in a Material Adverse Effect.</w:t>
      </w:r>
    </w:p>
    <w:p>
      <w:pPr>
        <w:spacing w:after="0" w:line="167" w:lineRule="exact"/>
        <w:rPr>
          <w:sz w:val="20"/>
          <w:szCs w:val="20"/>
          <w:color w:val="auto"/>
        </w:rPr>
      </w:pPr>
    </w:p>
    <w:p>
      <w:pPr>
        <w:ind w:right="100" w:firstLine="648"/>
        <w:spacing w:after="0" w:line="295" w:lineRule="auto"/>
        <w:rPr>
          <w:sz w:val="20"/>
          <w:szCs w:val="20"/>
          <w:color w:val="auto"/>
        </w:rPr>
      </w:pPr>
      <w:r>
        <w:rPr>
          <w:rFonts w:ascii="Arial" w:cs="Arial" w:eastAsia="Arial" w:hAnsi="Arial"/>
          <w:sz w:val="19"/>
          <w:szCs w:val="19"/>
          <w:b w:val="1"/>
          <w:bCs w:val="1"/>
          <w:color w:val="auto"/>
        </w:rPr>
        <w:t xml:space="preserve">5.19 </w:t>
      </w:r>
      <w:r>
        <w:rPr>
          <w:rFonts w:ascii="Arial" w:cs="Arial" w:eastAsia="Arial" w:hAnsi="Arial"/>
          <w:sz w:val="16"/>
          <w:szCs w:val="16"/>
          <w:b w:val="1"/>
          <w:bCs w:val="1"/>
          <w:u w:val="single" w:color="auto"/>
          <w:color w:val="auto"/>
        </w:rPr>
        <w:t>Perfection, Etc.</w:t>
      </w:r>
      <w:r>
        <w:rPr>
          <w:rFonts w:ascii="Arial" w:cs="Arial" w:eastAsia="Arial" w:hAnsi="Arial"/>
          <w:sz w:val="19"/>
          <w:szCs w:val="19"/>
          <w:b w:val="1"/>
          <w:bCs w:val="1"/>
          <w:color w:val="auto"/>
        </w:rPr>
        <w:t xml:space="preserve"> </w:t>
      </w:r>
      <w:r>
        <w:rPr>
          <w:rFonts w:ascii="Arial" w:cs="Arial" w:eastAsia="Arial" w:hAnsi="Arial"/>
          <w:sz w:val="16"/>
          <w:szCs w:val="16"/>
          <w:color w:val="auto"/>
        </w:rPr>
        <w:t>Except during a Collateral and Covenant Release Period, all filings and other actions necessary to perfect and protect the</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Lien in the Collateral created under the Security Documents, to the extent required by the Security Documents, have been duly made or taken or otherwise provided for and are in full force and effect, and except during a Collateral and Covenant Release Period, the Security Documents create in favor of the Collateral Agent for the benefit of the Secured Parties a valid and, together with such filings and other actions, to the extent required by the Security Documents, perfected first priority Lien in such Collateral, securing the payment of the Secured Obligations, subject to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Except during a Collateral and Covenant Release Period, the Loan Parties (other than the Canadian Borrower and the Dutch Borrower) are the legal and beneficial owners of the Collateral free and clear of any Lien, except for the Liens created or permitted under the Loan Documents.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341" w:right="339" w:bottom="1440" w:gutter="0" w:footer="0" w:header="0"/>
        </w:sectPr>
      </w:pPr>
    </w:p>
    <w:bookmarkStart w:id="166" w:name="page167"/>
    <w:bookmarkEnd w:id="166"/>
    <w:p>
      <w:pPr>
        <w:ind w:left="660"/>
        <w:spacing w:after="0"/>
        <w:tabs>
          <w:tab w:leader="none" w:pos="1160" w:val="left"/>
        </w:tabs>
        <w:rPr>
          <w:sz w:val="20"/>
          <w:szCs w:val="20"/>
          <w:color w:val="auto"/>
        </w:rPr>
      </w:pPr>
      <w:r>
        <w:rPr>
          <w:rFonts w:ascii="Arial" w:cs="Arial" w:eastAsia="Arial" w:hAnsi="Arial"/>
          <w:sz w:val="20"/>
          <w:szCs w:val="20"/>
          <w:b w:val="1"/>
          <w:bCs w:val="1"/>
          <w:color w:val="auto"/>
        </w:rPr>
        <w:t>5.20</w:t>
      </w:r>
      <w:r>
        <w:rPr>
          <w:sz w:val="20"/>
          <w:szCs w:val="20"/>
          <w:color w:val="auto"/>
        </w:rPr>
        <w:tab/>
      </w:r>
      <w:r>
        <w:rPr>
          <w:rFonts w:ascii="Arial" w:cs="Arial" w:eastAsia="Arial" w:hAnsi="Arial"/>
          <w:sz w:val="16"/>
          <w:szCs w:val="16"/>
          <w:b w:val="1"/>
          <w:bCs w:val="1"/>
          <w:u w:val="single" w:color="auto"/>
          <w:color w:val="auto"/>
        </w:rPr>
        <w:t>Anti-Terrorism Laws; Anti-Corruption Laws; Sanctions</w:t>
      </w:r>
      <w:r>
        <w:rPr>
          <w:rFonts w:ascii="Arial" w:cs="Arial" w:eastAsia="Arial" w:hAnsi="Arial"/>
          <w:sz w:val="16"/>
          <w:szCs w:val="16"/>
          <w:color w:val="auto"/>
        </w:rPr>
        <w:t>.</w:t>
      </w:r>
    </w:p>
    <w:p>
      <w:pPr>
        <w:spacing w:after="0" w:line="238" w:lineRule="exact"/>
        <w:rPr>
          <w:sz w:val="20"/>
          <w:szCs w:val="20"/>
          <w:color w:val="auto"/>
        </w:rPr>
      </w:pPr>
    </w:p>
    <w:p>
      <w:pPr>
        <w:ind w:right="20" w:firstLine="656"/>
        <w:spacing w:after="0" w:line="284" w:lineRule="auto"/>
        <w:tabs>
          <w:tab w:leader="none" w:pos="1048" w:val="left"/>
        </w:tabs>
        <w:numPr>
          <w:ilvl w:val="0"/>
          <w:numId w:val="142"/>
        </w:numPr>
        <w:rPr>
          <w:rFonts w:ascii="Arial" w:cs="Arial" w:eastAsia="Arial" w:hAnsi="Arial"/>
          <w:sz w:val="19"/>
          <w:szCs w:val="19"/>
          <w:color w:val="auto"/>
        </w:rPr>
      </w:pPr>
      <w:r>
        <w:rPr>
          <w:rFonts w:ascii="Arial" w:cs="Arial" w:eastAsia="Arial" w:hAnsi="Arial"/>
          <w:sz w:val="17"/>
          <w:szCs w:val="17"/>
          <w:color w:val="auto"/>
        </w:rPr>
        <w:t>No Loan Party and, to the knowledge of the Loan Parties, none of its Affiliates is in violation of any applicable law, sanctions or trade embargoes relating to terrorism, money laundering or Sanctions (“</w:t>
      </w:r>
      <w:r>
        <w:rPr>
          <w:rFonts w:ascii="Arial" w:cs="Arial" w:eastAsia="Arial" w:hAnsi="Arial"/>
          <w:sz w:val="17"/>
          <w:szCs w:val="17"/>
          <w:u w:val="single" w:color="auto"/>
          <w:color w:val="auto"/>
        </w:rPr>
        <w:t>Anti-Terrorism Laws</w:t>
      </w:r>
      <w:r>
        <w:rPr>
          <w:rFonts w:ascii="Arial" w:cs="Arial" w:eastAsia="Arial" w:hAnsi="Arial"/>
          <w:sz w:val="17"/>
          <w:szCs w:val="17"/>
          <w:color w:val="auto"/>
        </w:rPr>
        <w:t>”), including Executive Order No. 13224 on Terrorist Financing, effective September 24, 2001 (the “</w:t>
      </w:r>
      <w:r>
        <w:rPr>
          <w:rFonts w:ascii="Arial" w:cs="Arial" w:eastAsia="Arial" w:hAnsi="Arial"/>
          <w:sz w:val="17"/>
          <w:szCs w:val="17"/>
          <w:u w:val="single" w:color="auto"/>
          <w:color w:val="auto"/>
        </w:rPr>
        <w:t>Executive Order</w:t>
      </w:r>
      <w:r>
        <w:rPr>
          <w:rFonts w:ascii="Arial" w:cs="Arial" w:eastAsia="Arial" w:hAnsi="Arial"/>
          <w:sz w:val="17"/>
          <w:szCs w:val="17"/>
          <w:color w:val="auto"/>
        </w:rPr>
        <w:t>”), the Patriot Act and Canadian Anti-Terrorism Laws. The Borrowers have implemented and maintain in effect policies and procedures designed to promote and achieve compliance by Holdings, its Subsidiaries and their respective directors, officers, employees and agents, in all material respects, with Anti-Corruption Laws and applicable Sanctions.</w:t>
      </w:r>
    </w:p>
    <w:p>
      <w:pPr>
        <w:spacing w:after="0" w:line="179" w:lineRule="exact"/>
        <w:rPr>
          <w:rFonts w:ascii="Arial" w:cs="Arial" w:eastAsia="Arial" w:hAnsi="Arial"/>
          <w:sz w:val="19"/>
          <w:szCs w:val="19"/>
          <w:color w:val="auto"/>
        </w:rPr>
      </w:pPr>
    </w:p>
    <w:p>
      <w:pPr>
        <w:ind w:right="120" w:firstLine="656"/>
        <w:spacing w:after="0" w:line="264" w:lineRule="auto"/>
        <w:tabs>
          <w:tab w:leader="none" w:pos="1058" w:val="left"/>
        </w:tabs>
        <w:numPr>
          <w:ilvl w:val="0"/>
          <w:numId w:val="142"/>
        </w:numPr>
        <w:rPr>
          <w:rFonts w:ascii="Arial" w:cs="Arial" w:eastAsia="Arial" w:hAnsi="Arial"/>
          <w:sz w:val="20"/>
          <w:szCs w:val="20"/>
          <w:color w:val="auto"/>
        </w:rPr>
      </w:pPr>
      <w:r>
        <w:rPr>
          <w:rFonts w:ascii="Arial" w:cs="Arial" w:eastAsia="Arial" w:hAnsi="Arial"/>
          <w:sz w:val="18"/>
          <w:szCs w:val="18"/>
          <w:color w:val="auto"/>
        </w:rPr>
        <w:t>No Loan Party or Subsidiary of a Loan Party, or any of their respective officers and directors, or, to the knowledge of the Loan Parties, any Affiliate, employee, broker or other agent of any Loan Party or Subsidiary of a Loan Party, acting or benefiting in any capacity in connection with the Loans is any of the following:</w:t>
      </w:r>
    </w:p>
    <w:p>
      <w:pPr>
        <w:spacing w:after="0" w:line="196" w:lineRule="exact"/>
        <w:rPr>
          <w:rFonts w:ascii="Arial" w:cs="Arial" w:eastAsia="Arial" w:hAnsi="Arial"/>
          <w:sz w:val="20"/>
          <w:szCs w:val="20"/>
          <w:color w:val="auto"/>
        </w:rPr>
      </w:pPr>
    </w:p>
    <w:p>
      <w:pPr>
        <w:ind w:left="1680" w:hanging="376"/>
        <w:spacing w:after="0"/>
        <w:tabs>
          <w:tab w:leader="none" w:pos="1680" w:val="left"/>
        </w:tabs>
        <w:numPr>
          <w:ilvl w:val="1"/>
          <w:numId w:val="142"/>
        </w:numPr>
        <w:rPr>
          <w:rFonts w:ascii="Arial" w:cs="Arial" w:eastAsia="Arial" w:hAnsi="Arial"/>
          <w:sz w:val="20"/>
          <w:szCs w:val="20"/>
          <w:color w:val="auto"/>
        </w:rPr>
      </w:pPr>
      <w:r>
        <w:rPr>
          <w:rFonts w:ascii="Arial" w:cs="Arial" w:eastAsia="Arial" w:hAnsi="Arial"/>
          <w:sz w:val="18"/>
          <w:szCs w:val="18"/>
          <w:color w:val="auto"/>
        </w:rPr>
        <w:t>a Person that is listed in the annex to, or is otherwise subject to the provisions of, the Executive Order;</w:t>
      </w:r>
    </w:p>
    <w:p>
      <w:pPr>
        <w:spacing w:after="0" w:line="215" w:lineRule="exact"/>
        <w:rPr>
          <w:rFonts w:ascii="Arial" w:cs="Arial" w:eastAsia="Arial" w:hAnsi="Arial"/>
          <w:sz w:val="20"/>
          <w:szCs w:val="20"/>
          <w:color w:val="auto"/>
        </w:rPr>
      </w:pPr>
    </w:p>
    <w:p>
      <w:pPr>
        <w:ind w:left="660" w:firstLine="644"/>
        <w:spacing w:after="0" w:line="266" w:lineRule="auto"/>
        <w:tabs>
          <w:tab w:leader="none" w:pos="1729" w:val="left"/>
        </w:tabs>
        <w:numPr>
          <w:ilvl w:val="1"/>
          <w:numId w:val="142"/>
        </w:numPr>
        <w:rPr>
          <w:rFonts w:ascii="Arial" w:cs="Arial" w:eastAsia="Arial" w:hAnsi="Arial"/>
          <w:sz w:val="20"/>
          <w:szCs w:val="20"/>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190" w:lineRule="exact"/>
        <w:rPr>
          <w:rFonts w:ascii="Arial" w:cs="Arial" w:eastAsia="Arial" w:hAnsi="Arial"/>
          <w:sz w:val="20"/>
          <w:szCs w:val="20"/>
          <w:color w:val="auto"/>
        </w:rPr>
      </w:pPr>
    </w:p>
    <w:p>
      <w:pPr>
        <w:ind w:left="1780" w:hanging="476"/>
        <w:spacing w:after="0"/>
        <w:tabs>
          <w:tab w:leader="none" w:pos="1780" w:val="left"/>
        </w:tabs>
        <w:numPr>
          <w:ilvl w:val="1"/>
          <w:numId w:val="142"/>
        </w:numPr>
        <w:rPr>
          <w:rFonts w:ascii="Arial" w:cs="Arial" w:eastAsia="Arial" w:hAnsi="Arial"/>
          <w:sz w:val="18"/>
          <w:szCs w:val="18"/>
          <w:color w:val="auto"/>
        </w:rPr>
      </w:pPr>
      <w:r>
        <w:rPr>
          <w:rFonts w:ascii="Arial" w:cs="Arial" w:eastAsia="Arial" w:hAnsi="Arial"/>
          <w:sz w:val="16"/>
          <w:szCs w:val="16"/>
          <w:color w:val="auto"/>
        </w:rPr>
        <w:t>a Person with which any Lender is prohibited from dealing or otherwise engaging in any transaction by any Anti-Terrorism Law;</w:t>
      </w:r>
    </w:p>
    <w:p>
      <w:pPr>
        <w:spacing w:after="0" w:line="238" w:lineRule="exact"/>
        <w:rPr>
          <w:rFonts w:ascii="Arial" w:cs="Arial" w:eastAsia="Arial" w:hAnsi="Arial"/>
          <w:sz w:val="18"/>
          <w:szCs w:val="18"/>
          <w:color w:val="auto"/>
        </w:rPr>
      </w:pPr>
    </w:p>
    <w:p>
      <w:pPr>
        <w:ind w:left="1760" w:hanging="456"/>
        <w:spacing w:after="0"/>
        <w:tabs>
          <w:tab w:leader="none" w:pos="1760" w:val="left"/>
        </w:tabs>
        <w:numPr>
          <w:ilvl w:val="1"/>
          <w:numId w:val="142"/>
        </w:numPr>
        <w:rPr>
          <w:rFonts w:ascii="Arial" w:cs="Arial" w:eastAsia="Arial" w:hAnsi="Arial"/>
          <w:sz w:val="20"/>
          <w:szCs w:val="20"/>
          <w:color w:val="auto"/>
        </w:rPr>
      </w:pPr>
      <w:r>
        <w:rPr>
          <w:rFonts w:ascii="Arial" w:cs="Arial" w:eastAsia="Arial" w:hAnsi="Arial"/>
          <w:sz w:val="18"/>
          <w:szCs w:val="18"/>
          <w:color w:val="auto"/>
        </w:rPr>
        <w:t>a Person that commits, threatens or conspires to commit or supports “terrorism” as defined in the Executive Order;</w:t>
      </w:r>
    </w:p>
    <w:p>
      <w:pPr>
        <w:spacing w:after="0" w:line="215" w:lineRule="exact"/>
        <w:rPr>
          <w:rFonts w:ascii="Arial" w:cs="Arial" w:eastAsia="Arial" w:hAnsi="Arial"/>
          <w:sz w:val="20"/>
          <w:szCs w:val="20"/>
          <w:color w:val="auto"/>
        </w:rPr>
      </w:pPr>
    </w:p>
    <w:p>
      <w:pPr>
        <w:ind w:left="660" w:right="80" w:firstLine="644"/>
        <w:spacing w:after="0" w:line="264" w:lineRule="auto"/>
        <w:tabs>
          <w:tab w:leader="none" w:pos="1718" w:val="left"/>
        </w:tabs>
        <w:numPr>
          <w:ilvl w:val="1"/>
          <w:numId w:val="142"/>
        </w:numPr>
        <w:rPr>
          <w:rFonts w:ascii="Arial" w:cs="Arial" w:eastAsia="Arial" w:hAnsi="Arial"/>
          <w:sz w:val="20"/>
          <w:szCs w:val="20"/>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Assets Control at its official website or any replacement website or other replacement official publication of such list; or</w:t>
      </w:r>
    </w:p>
    <w:p>
      <w:pPr>
        <w:spacing w:after="0" w:line="196" w:lineRule="exact"/>
        <w:rPr>
          <w:rFonts w:ascii="Arial" w:cs="Arial" w:eastAsia="Arial" w:hAnsi="Arial"/>
          <w:sz w:val="20"/>
          <w:szCs w:val="20"/>
          <w:color w:val="auto"/>
        </w:rPr>
      </w:pPr>
    </w:p>
    <w:p>
      <w:pPr>
        <w:ind w:left="1760" w:hanging="456"/>
        <w:spacing w:after="0"/>
        <w:tabs>
          <w:tab w:leader="none" w:pos="1760" w:val="left"/>
        </w:tabs>
        <w:numPr>
          <w:ilvl w:val="1"/>
          <w:numId w:val="142"/>
        </w:numPr>
        <w:rPr>
          <w:rFonts w:ascii="Arial" w:cs="Arial" w:eastAsia="Arial" w:hAnsi="Arial"/>
          <w:sz w:val="20"/>
          <w:szCs w:val="20"/>
          <w:color w:val="auto"/>
        </w:rPr>
      </w:pPr>
      <w:r>
        <w:rPr>
          <w:rFonts w:ascii="Arial" w:cs="Arial" w:eastAsia="Arial" w:hAnsi="Arial"/>
          <w:sz w:val="18"/>
          <w:szCs w:val="18"/>
          <w:color w:val="auto"/>
        </w:rPr>
        <w:t>a Sanctioned Person.</w:t>
      </w:r>
    </w:p>
    <w:p>
      <w:pPr>
        <w:spacing w:after="0" w:line="215" w:lineRule="exact"/>
        <w:rPr>
          <w:rFonts w:ascii="Arial" w:cs="Arial" w:eastAsia="Arial" w:hAnsi="Arial"/>
          <w:sz w:val="20"/>
          <w:szCs w:val="20"/>
          <w:color w:val="auto"/>
        </w:rPr>
      </w:pPr>
    </w:p>
    <w:p>
      <w:pPr>
        <w:ind w:right="40" w:firstLine="656"/>
        <w:spacing w:after="0" w:line="265" w:lineRule="auto"/>
        <w:tabs>
          <w:tab w:leader="none" w:pos="1048" w:val="left"/>
        </w:tabs>
        <w:numPr>
          <w:ilvl w:val="0"/>
          <w:numId w:val="142"/>
        </w:numPr>
        <w:rPr>
          <w:rFonts w:ascii="Arial" w:cs="Arial" w:eastAsia="Arial" w:hAnsi="Arial"/>
          <w:sz w:val="20"/>
          <w:szCs w:val="20"/>
          <w:color w:val="auto"/>
        </w:rPr>
      </w:pPr>
      <w:r>
        <w:rPr>
          <w:rFonts w:ascii="Arial" w:cs="Arial" w:eastAsia="Arial" w:hAnsi="Arial"/>
          <w:sz w:val="18"/>
          <w:szCs w:val="18"/>
          <w:color w:val="auto"/>
        </w:rPr>
        <w:t>No Loan Party and, to the knowledge of the Loan Parties, no broker or other agent of any Loan Party acting in any capacity in connection with the Loans (i) conducts any business or engages in making or receiving any contribution of funds, goods or services to or for the benefit of any Person described in paragraph (b) above,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w:t>
      </w:r>
    </w:p>
    <w:p>
      <w:pPr>
        <w:spacing w:after="0" w:line="195" w:lineRule="exact"/>
        <w:rPr>
          <w:rFonts w:ascii="Arial" w:cs="Arial" w:eastAsia="Arial" w:hAnsi="Arial"/>
          <w:sz w:val="20"/>
          <w:szCs w:val="20"/>
          <w:color w:val="auto"/>
        </w:rPr>
      </w:pPr>
    </w:p>
    <w:p>
      <w:pPr>
        <w:ind w:right="80" w:firstLine="656"/>
        <w:spacing w:after="0" w:line="306" w:lineRule="auto"/>
        <w:tabs>
          <w:tab w:leader="none" w:pos="1058" w:val="left"/>
        </w:tabs>
        <w:numPr>
          <w:ilvl w:val="0"/>
          <w:numId w:val="142"/>
        </w:numPr>
        <w:rPr>
          <w:rFonts w:ascii="Arial" w:cs="Arial" w:eastAsia="Arial" w:hAnsi="Arial"/>
          <w:sz w:val="18"/>
          <w:szCs w:val="18"/>
          <w:color w:val="auto"/>
        </w:rPr>
      </w:pPr>
      <w:r>
        <w:rPr>
          <w:rFonts w:ascii="Arial" w:cs="Arial" w:eastAsia="Arial" w:hAnsi="Arial"/>
          <w:sz w:val="16"/>
          <w:szCs w:val="16"/>
          <w:color w:val="auto"/>
        </w:rPr>
        <w:t>Holdings, its Subsidiaries and their respective officers and directors and, to the knowledge of Holdings and its Subsidiaries, their respective employees and agents are in compliance with Anti-Corruption Laws in all material respects and are not knowingly engaged in any activity that would reasonably be expected to result in either of Canadian Borrower or Dutch Borrower being designated as a Sanctioned Person. No borrowing or Letter of Credit, use of proceeds or other Fourth Restatement Date Transaction will violate any Anti-Corruption Law or applicable Sanctions.</w:t>
      </w:r>
    </w:p>
    <w:p>
      <w:pPr>
        <w:spacing w:after="0" w:line="14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5.21</w:t>
      </w:r>
      <w:r>
        <w:rPr>
          <w:sz w:val="20"/>
          <w:szCs w:val="20"/>
          <w:color w:val="auto"/>
        </w:rPr>
        <w:tab/>
      </w:r>
      <w:r>
        <w:rPr>
          <w:rFonts w:ascii="Arial" w:cs="Arial" w:eastAsia="Arial" w:hAnsi="Arial"/>
          <w:sz w:val="16"/>
          <w:szCs w:val="16"/>
          <w:b w:val="1"/>
          <w:bCs w:val="1"/>
          <w:u w:val="single" w:color="auto"/>
          <w:color w:val="auto"/>
        </w:rPr>
        <w:t>EEA Financial Institutions</w:t>
      </w:r>
      <w:r>
        <w:rPr>
          <w:rFonts w:ascii="Arial" w:cs="Arial" w:eastAsia="Arial" w:hAnsi="Arial"/>
          <w:sz w:val="16"/>
          <w:szCs w:val="16"/>
          <w:color w:val="auto"/>
        </w:rPr>
        <w:t>. No Loan Party is an EEA Financial Institution.</w:t>
      </w:r>
    </w:p>
    <w:p>
      <w:pPr>
        <w:spacing w:after="0" w:line="216"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ARTICLE VI</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AFFIRMATIVE COVENANTS</w:t>
      </w:r>
    </w:p>
    <w:p>
      <w:pPr>
        <w:spacing w:after="0" w:line="22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(other than (A) contingent indemnification obligations and (B) obligations and liabilities under Swap Contracts and Treasury Management Agreements not then due and payable), or any Letter of</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765" w:right="399" w:bottom="1440" w:gutter="0" w:footer="0" w:header="0"/>
        </w:sectPr>
      </w:pPr>
    </w:p>
    <w:bookmarkStart w:id="167" w:name="page168"/>
    <w:bookmarkEnd w:id="167"/>
    <w:p>
      <w:pPr>
        <w:ind w:right="200"/>
        <w:spacing w:after="0" w:line="342" w:lineRule="auto"/>
        <w:rPr>
          <w:sz w:val="20"/>
          <w:szCs w:val="20"/>
          <w:color w:val="auto"/>
        </w:rPr>
      </w:pPr>
      <w:r>
        <w:rPr>
          <w:rFonts w:ascii="Arial" w:cs="Arial" w:eastAsia="Arial" w:hAnsi="Arial"/>
          <w:sz w:val="16"/>
          <w:szCs w:val="16"/>
          <w:color w:val="auto"/>
        </w:rPr>
        <w:t xml:space="preserve">Credit shall remain outstanding (other than Letters of Credit as to which arrangements reasonably satisfactory to the Administrative Agent and the L/C Issuers shall have been made), the U.S. Borrower shall, and shall cause each Restricted Subsidiary (except in the case of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6.03</w:t>
      </w:r>
      <w:r>
        <w:rPr>
          <w:rFonts w:ascii="Arial" w:cs="Arial" w:eastAsia="Arial" w:hAnsi="Arial"/>
          <w:sz w:val="16"/>
          <w:szCs w:val="16"/>
          <w:color w:val="auto"/>
        </w:rPr>
        <w:t>) to:</w:t>
      </w:r>
    </w:p>
    <w:p>
      <w:pPr>
        <w:spacing w:after="0" w:line="11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6.01</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Deliver to the Administrative Agent (for distribution to each Lender):</w:t>
      </w:r>
    </w:p>
    <w:p>
      <w:pPr>
        <w:spacing w:after="0" w:line="238" w:lineRule="exact"/>
        <w:rPr>
          <w:sz w:val="20"/>
          <w:szCs w:val="20"/>
          <w:color w:val="auto"/>
        </w:rPr>
      </w:pPr>
    </w:p>
    <w:p>
      <w:pPr>
        <w:ind w:left="660" w:right="20" w:firstLine="644"/>
        <w:spacing w:after="0" w:line="300" w:lineRule="auto"/>
        <w:tabs>
          <w:tab w:leader="none" w:pos="1708" w:val="left"/>
        </w:tabs>
        <w:numPr>
          <w:ilvl w:val="0"/>
          <w:numId w:val="143"/>
        </w:numPr>
        <w:rPr>
          <w:rFonts w:ascii="Arial" w:cs="Arial" w:eastAsia="Arial" w:hAnsi="Arial"/>
          <w:sz w:val="18"/>
          <w:szCs w:val="18"/>
          <w:color w:val="auto"/>
        </w:rPr>
      </w:pPr>
      <w:r>
        <w:rPr>
          <w:rFonts w:ascii="Arial" w:cs="Arial" w:eastAsia="Arial" w:hAnsi="Arial"/>
          <w:sz w:val="16"/>
          <w:szCs w:val="16"/>
          <w:color w:val="auto"/>
        </w:rPr>
        <w:t xml:space="preserve">as soon as available, but in any event within 90 days after the end of each fiscal year (or, </w:t>
      </w:r>
      <w:r>
        <w:rPr>
          <w:rFonts w:ascii="Arial" w:cs="Arial" w:eastAsia="Arial" w:hAnsi="Arial"/>
          <w:sz w:val="16"/>
          <w:szCs w:val="16"/>
          <w:color w:val="auto"/>
          <w:strike w:val="1"/>
        </w:rPr>
        <w:t>if earlier</w:t>
      </w:r>
      <w:r>
        <w:rPr>
          <w:rFonts w:ascii="Arial" w:cs="Arial" w:eastAsia="Arial" w:hAnsi="Arial"/>
          <w:sz w:val="16"/>
          <w:szCs w:val="16"/>
          <w:color w:val="auto"/>
        </w:rPr>
        <w:t>,</w:t>
      </w:r>
      <w:r>
        <w:rPr>
          <w:rFonts w:ascii="Arial" w:cs="Arial" w:eastAsia="Arial" w:hAnsi="Arial"/>
          <w:sz w:val="16"/>
          <w:szCs w:val="16"/>
          <w:u w:val="single" w:color="auto"/>
          <w:color w:val="auto"/>
        </w:rPr>
        <w:t>*during the Restricted Period,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earlier of (x) to the extent the SEC grants an extension of the SEC’s corresponding reporting obligation for such period to filers generally, such later date mandated by the SEC and (y)*</w:t>
      </w:r>
      <w:r>
        <w:rPr>
          <w:rFonts w:ascii="Arial" w:cs="Arial" w:eastAsia="Arial" w:hAnsi="Arial"/>
          <w:sz w:val="16"/>
          <w:szCs w:val="16"/>
          <w:color w:val="auto"/>
        </w:rPr>
        <w:t xml:space="preserve"> within </w:t>
      </w:r>
      <w:r>
        <w:rPr>
          <w:rFonts w:ascii="Arial" w:cs="Arial" w:eastAsia="Arial" w:hAnsi="Arial"/>
          <w:sz w:val="16"/>
          <w:szCs w:val="16"/>
          <w:color w:val="auto"/>
          <w:strike w:val="1"/>
        </w:rPr>
        <w:t>15</w:t>
      </w:r>
      <w:r>
        <w:rPr>
          <w:rFonts w:ascii="Arial" w:cs="Arial" w:eastAsia="Arial" w:hAnsi="Arial"/>
          <w:sz w:val="16"/>
          <w:szCs w:val="16"/>
          <w:u w:val="single" w:color="auto"/>
          <w:color w:val="auto"/>
        </w:rPr>
        <w:t>*120*</w:t>
      </w:r>
      <w:r>
        <w:rPr>
          <w:rFonts w:ascii="Arial" w:cs="Arial" w:eastAsia="Arial" w:hAnsi="Arial"/>
          <w:sz w:val="16"/>
          <w:szCs w:val="16"/>
          <w:color w:val="auto"/>
        </w:rPr>
        <w:t xml:space="preserve"> days after the </w:t>
      </w:r>
      <w:r>
        <w:rPr>
          <w:rFonts w:ascii="Arial" w:cs="Arial" w:eastAsia="Arial" w:hAnsi="Arial"/>
          <w:sz w:val="16"/>
          <w:szCs w:val="16"/>
          <w:color w:val="auto"/>
          <w:strike w:val="1"/>
        </w:rPr>
        <w:t>date the U.S. Borrower is required to file such financial statements with</w:t>
      </w:r>
      <w:r>
        <w:rPr>
          <w:rFonts w:ascii="Arial" w:cs="Arial" w:eastAsia="Arial" w:hAnsi="Arial"/>
          <w:sz w:val="16"/>
          <w:szCs w:val="16"/>
          <w:color w:val="auto"/>
        </w:rPr>
        <w:t xml:space="preserve"> </w:t>
      </w:r>
      <w:r>
        <w:rPr>
          <w:rFonts w:ascii="Arial" w:cs="Arial" w:eastAsia="Arial" w:hAnsi="Arial"/>
          <w:sz w:val="16"/>
          <w:szCs w:val="16"/>
          <w:color w:val="auto"/>
          <w:strike w:val="1"/>
        </w:rPr>
        <w:t>the SEC without giving effect to extensions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*end of such fiscal year)*</w:t>
      </w:r>
      <w:r>
        <w:rPr>
          <w:rFonts w:ascii="Arial" w:cs="Arial" w:eastAsia="Arial" w:hAnsi="Arial"/>
          <w:sz w:val="16"/>
          <w:szCs w:val="16"/>
          <w:color w:val="auto"/>
        </w:rPr>
        <w:t xml:space="preserve"> of the U.S. Borrower, a consolidated balance sheet of the U.S. Borrower and its Subsidiaries as at the end of such fiscal year, and the related consolidated statements of income, stockholders’ equity and cash flows for such fiscal year setting forth in each case in comparative form the figures for the previous fiscal year, prepared in accordance with GAAP, audited and accompanied by a report and opinion of an independent registered public accountant of nationally recognized standing, which report and opinion shall be prepared in accordance with generally accepted auditing standards and shall not be subject to any “going concern” or like qualification (except for </w:t>
      </w:r>
      <w:r>
        <w:rPr>
          <w:rFonts w:ascii="Arial" w:cs="Arial" w:eastAsia="Arial" w:hAnsi="Arial"/>
          <w:sz w:val="16"/>
          <w:szCs w:val="16"/>
          <w:u w:val="single" w:color="auto"/>
          <w:color w:val="auto"/>
        </w:rPr>
        <w:t>*(x)*</w:t>
      </w:r>
      <w:r>
        <w:rPr>
          <w:rFonts w:ascii="Arial" w:cs="Arial" w:eastAsia="Arial" w:hAnsi="Arial"/>
          <w:sz w:val="16"/>
          <w:szCs w:val="16"/>
          <w:color w:val="auto"/>
        </w:rPr>
        <w:t xml:space="preserve"> qualifications resulting from the Obligations being classified as short term Indebtedness during the year prior to the applicable maturity date </w:t>
      </w:r>
      <w:r>
        <w:rPr>
          <w:rFonts w:ascii="Arial" w:cs="Arial" w:eastAsia="Arial" w:hAnsi="Arial"/>
          <w:sz w:val="16"/>
          <w:szCs w:val="16"/>
          <w:u w:val="single" w:color="auto"/>
          <w:color w:val="auto"/>
        </w:rPr>
        <w:t>*or (y) in respect of any fiscal year ending in 2019 or 2020, a qualification (including any matter of emphasis paragraph)</w:t>
      </w:r>
      <w:r>
        <w:rPr>
          <w:rFonts w:ascii="Arial" w:cs="Arial" w:eastAsia="Arial" w:hAnsi="Arial"/>
          <w:sz w:val="16"/>
          <w:szCs w:val="16"/>
          <w:color w:val="auto"/>
        </w:rPr>
        <w:t xml:space="preserve"> </w:t>
      </w:r>
      <w:r>
        <w:rPr>
          <w:rFonts w:ascii="Arial" w:cs="Arial" w:eastAsia="Arial" w:hAnsi="Arial"/>
          <w:sz w:val="16"/>
          <w:szCs w:val="16"/>
          <w:u w:val="single" w:color="auto"/>
          <w:color w:val="auto"/>
        </w:rPr>
        <w:t>to the extent relating to or arising from circumstances caused by the Covid-19 pandemic</w:t>
      </w:r>
      <w:r>
        <w:rPr>
          <w:rFonts w:ascii="Arial" w:cs="Arial" w:eastAsia="Arial" w:hAnsi="Arial"/>
          <w:sz w:val="16"/>
          <w:szCs w:val="16"/>
          <w:color w:val="auto"/>
        </w:rPr>
        <w:t xml:space="preserve">)* or exception or any qualification or exception as to the scope of such audit, together with, if not filed with the SEC within such time frame, a management’s discussion and analysis with respect to such financial statements (it being understood and agreed that so long as Holdings has no material assets or liabilities other than Holdings’ Guarantee of the Loans and the other Secured Obligations, the Equity Interests of the U.S. Borrower and guarantees of other Indebtedness permitted to be incurred under </w:t>
      </w:r>
      <w:r>
        <w:rPr>
          <w:rFonts w:ascii="Arial" w:cs="Arial" w:eastAsia="Arial" w:hAnsi="Arial"/>
          <w:sz w:val="16"/>
          <w:szCs w:val="16"/>
          <w:u w:val="single" w:color="auto"/>
          <w:color w:val="auto"/>
        </w:rPr>
        <w:t>Section 7.03(r)</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w:t>
      </w:r>
      <w:r>
        <w:rPr>
          <w:rFonts w:ascii="Arial" w:cs="Arial" w:eastAsia="Arial" w:hAnsi="Arial"/>
          <w:sz w:val="16"/>
          <w:szCs w:val="16"/>
          <w:color w:val="auto"/>
        </w:rPr>
        <w:t xml:space="preserve"> to the extent such Indebtedness appears on the consolidated balance sheet of Holdings and its Subsidiaries, the U.S. Borrower may provide financial statements, audit reports and management’s discussion and analysis of financial statements of Holdings and its Subsidiaries as if “Holdings” were substituted in place of “the U.S. Borrower” in this </w:t>
      </w:r>
      <w:r>
        <w:rPr>
          <w:rFonts w:ascii="Arial" w:cs="Arial" w:eastAsia="Arial" w:hAnsi="Arial"/>
          <w:sz w:val="16"/>
          <w:szCs w:val="16"/>
          <w:u w:val="single" w:color="auto"/>
          <w:color w:val="auto"/>
        </w:rPr>
        <w:t>Section 6.01(a)</w:t>
      </w:r>
      <w:r>
        <w:rPr>
          <w:rFonts w:ascii="Arial" w:cs="Arial" w:eastAsia="Arial" w:hAnsi="Arial"/>
          <w:sz w:val="16"/>
          <w:szCs w:val="16"/>
          <w:color w:val="auto"/>
        </w:rPr>
        <w:t>);</w:t>
      </w:r>
    </w:p>
    <w:p>
      <w:pPr>
        <w:spacing w:after="0" w:line="179" w:lineRule="exact"/>
        <w:rPr>
          <w:rFonts w:ascii="Arial" w:cs="Arial" w:eastAsia="Arial" w:hAnsi="Arial"/>
          <w:sz w:val="18"/>
          <w:szCs w:val="18"/>
          <w:color w:val="auto"/>
        </w:rPr>
      </w:pPr>
    </w:p>
    <w:p>
      <w:pPr>
        <w:ind w:left="660" w:firstLine="644"/>
        <w:spacing w:after="0" w:line="282" w:lineRule="auto"/>
        <w:tabs>
          <w:tab w:leader="none" w:pos="1718" w:val="left"/>
        </w:tabs>
        <w:numPr>
          <w:ilvl w:val="0"/>
          <w:numId w:val="143"/>
        </w:numPr>
        <w:rPr>
          <w:rFonts w:ascii="Arial" w:cs="Arial" w:eastAsia="Arial" w:hAnsi="Arial"/>
          <w:sz w:val="19"/>
          <w:szCs w:val="19"/>
          <w:color w:val="auto"/>
        </w:rPr>
      </w:pPr>
      <w:r>
        <w:rPr>
          <w:rFonts w:ascii="Arial" w:cs="Arial" w:eastAsia="Arial" w:hAnsi="Arial"/>
          <w:sz w:val="17"/>
          <w:szCs w:val="17"/>
          <w:color w:val="auto"/>
        </w:rPr>
        <w:t xml:space="preserve">as soon as available, but in any event within 45 days after the end of each of the first three fiscal quarters of each fiscal year (or, </w:t>
      </w:r>
      <w:r>
        <w:rPr>
          <w:rFonts w:ascii="Arial" w:cs="Arial" w:eastAsia="Arial" w:hAnsi="Arial"/>
          <w:sz w:val="17"/>
          <w:szCs w:val="17"/>
          <w:color w:val="auto"/>
          <w:strike w:val="1"/>
        </w:rPr>
        <w:t>if</w:t>
      </w:r>
      <w:r>
        <w:rPr>
          <w:rFonts w:ascii="Arial" w:cs="Arial" w:eastAsia="Arial" w:hAnsi="Arial"/>
          <w:sz w:val="17"/>
          <w:szCs w:val="17"/>
          <w:color w:val="auto"/>
        </w:rPr>
        <w:t xml:space="preserve"> </w:t>
      </w:r>
      <w:r>
        <w:rPr>
          <w:rFonts w:ascii="Arial" w:cs="Arial" w:eastAsia="Arial" w:hAnsi="Arial"/>
          <w:sz w:val="17"/>
          <w:szCs w:val="17"/>
          <w:color w:val="auto"/>
          <w:strike w:val="1"/>
        </w:rPr>
        <w:t>earlier,</w:t>
      </w:r>
      <w:r>
        <w:rPr>
          <w:rFonts w:ascii="Arial" w:cs="Arial" w:eastAsia="Arial" w:hAnsi="Arial"/>
          <w:sz w:val="17"/>
          <w:szCs w:val="17"/>
          <w:u w:val="single" w:color="auto"/>
          <w:color w:val="auto"/>
          <w:strike w:val="1"/>
        </w:rPr>
        <w:t>*during the Restricted Period, the earlier of (x) to the extent the SEC grants an extension of the SEC’s corresponding reporting obligation</w:t>
      </w:r>
      <w:r>
        <w:rPr>
          <w:rFonts w:ascii="Arial" w:cs="Arial" w:eastAsia="Arial" w:hAnsi="Arial"/>
          <w:sz w:val="17"/>
          <w:szCs w:val="17"/>
          <w:color w:val="auto"/>
          <w:strike w:val="1"/>
        </w:rPr>
        <w:t xml:space="preserve"> </w:t>
      </w:r>
      <w:r>
        <w:rPr>
          <w:rFonts w:ascii="Arial" w:cs="Arial" w:eastAsia="Arial" w:hAnsi="Arial"/>
          <w:sz w:val="17"/>
          <w:szCs w:val="17"/>
          <w:u w:val="single" w:color="auto"/>
          <w:color w:val="auto"/>
          <w:strike w:val="1"/>
        </w:rPr>
        <w:t>for such period to filers generally, such later date mandated by the SEC and (y)*</w:t>
      </w:r>
      <w:r>
        <w:rPr>
          <w:rFonts w:ascii="Arial" w:cs="Arial" w:eastAsia="Arial" w:hAnsi="Arial"/>
          <w:sz w:val="17"/>
          <w:szCs w:val="17"/>
          <w:color w:val="auto"/>
          <w:strike w:val="1"/>
        </w:rPr>
        <w:t xml:space="preserve"> within 10</w:t>
      </w:r>
      <w:r>
        <w:rPr>
          <w:rFonts w:ascii="Arial" w:cs="Arial" w:eastAsia="Arial" w:hAnsi="Arial"/>
          <w:sz w:val="17"/>
          <w:szCs w:val="17"/>
          <w:u w:val="single" w:color="auto"/>
          <w:color w:val="auto"/>
          <w:strike w:val="1"/>
        </w:rPr>
        <w:t>*75*</w:t>
      </w:r>
      <w:r>
        <w:rPr>
          <w:rFonts w:ascii="Arial" w:cs="Arial" w:eastAsia="Arial" w:hAnsi="Arial"/>
          <w:sz w:val="17"/>
          <w:szCs w:val="17"/>
          <w:color w:val="auto"/>
          <w:strike w:val="1"/>
        </w:rPr>
        <w:t xml:space="preserve"> days after the date the U.S. Borrower is required to file such financial statements with the SEC without giving effect to extensions </w:t>
      </w:r>
      <w:r>
        <w:rPr>
          <w:rFonts w:ascii="Arial" w:cs="Arial" w:eastAsia="Arial" w:hAnsi="Arial"/>
          <w:sz w:val="17"/>
          <w:szCs w:val="17"/>
          <w:u w:val="single" w:color="auto"/>
          <w:color w:val="auto"/>
          <w:strike w:val="1"/>
        </w:rPr>
        <w:t>*end of such fiscal quarter</w:t>
      </w:r>
      <w:r>
        <w:rPr>
          <w:rFonts w:ascii="Arial" w:cs="Arial" w:eastAsia="Arial" w:hAnsi="Arial"/>
          <w:sz w:val="17"/>
          <w:szCs w:val="17"/>
          <w:color w:val="auto"/>
          <w:strike w:val="1"/>
        </w:rPr>
        <w:t xml:space="preserve">)* of the U.S. Borrower, a consolidated balance sheet of the U.S. Borrower and its Subsidiaries as at the end of such fiscal quarter, and the related consolidated statements of income and cash flows for such fiscal quarter and for the portion of the U.S. Borrower’s fiscal year then ended, setting forth in each case in comparative form the figures for the corresponding fiscal quarter of the previous fiscal year, certified by a Responsible Officer of the U.S. Borrower, as fairly presenting in all material respects the financial condition, results of income and cash flows of the U.S. Borrower and its Subsidiaries in accordance with GAAP, subject only to normal year-end audit adjustments and the absence of footnotes, together with, if not filed with the SEC within such time frame, a management’s discussion and analysis with respect to such financial statements (it being understood and agreed that so long as Holdings has no material assets or liabilities other than Holdings’ Guarantee of the Loans and the other Secured Obligations, the Equity Interests of the U.S. Borrower and guarantees of other Indebtedness permitted to be incurred under </w:t>
      </w:r>
      <w:r>
        <w:rPr>
          <w:rFonts w:ascii="Arial" w:cs="Arial" w:eastAsia="Arial" w:hAnsi="Arial"/>
          <w:sz w:val="17"/>
          <w:szCs w:val="17"/>
          <w:u w:val="single" w:color="auto"/>
          <w:color w:val="auto"/>
          <w:strike w:val="1"/>
        </w:rPr>
        <w:t>Section 7.03(r)</w:t>
      </w:r>
      <w:r>
        <w:rPr>
          <w:rFonts w:ascii="Arial" w:cs="Arial" w:eastAsia="Arial" w:hAnsi="Arial"/>
          <w:sz w:val="17"/>
          <w:szCs w:val="17"/>
          <w:color w:val="auto"/>
          <w:strike w:val="1"/>
        </w:rPr>
        <w:t xml:space="preserve"> or </w:t>
      </w:r>
      <w:r>
        <w:rPr>
          <w:rFonts w:ascii="Arial" w:cs="Arial" w:eastAsia="Arial" w:hAnsi="Arial"/>
          <w:sz w:val="17"/>
          <w:szCs w:val="17"/>
          <w:u w:val="single" w:color="auto"/>
          <w:color w:val="auto"/>
          <w:strike w:val="1"/>
        </w:rPr>
        <w:t>(s)</w:t>
      </w:r>
      <w:r>
        <w:rPr>
          <w:rFonts w:ascii="Arial" w:cs="Arial" w:eastAsia="Arial" w:hAnsi="Arial"/>
          <w:sz w:val="17"/>
          <w:szCs w:val="17"/>
          <w:color w:val="auto"/>
          <w:strike w:val="1"/>
        </w:rPr>
        <w:t xml:space="preserve"> to the extent such Indebtedness appears on the consolidated balance sheet of Holdings and its Subsidiaries, the U.S. Borrower may provide financial statements and management’s discussion and analysis of financial statements of Holdings and its Subsidiaries as if “Holdings” were substituted in place of “the U.S. Borrower” in this </w:t>
      </w:r>
      <w:r>
        <w:rPr>
          <w:rFonts w:ascii="Arial" w:cs="Arial" w:eastAsia="Arial" w:hAnsi="Arial"/>
          <w:sz w:val="17"/>
          <w:szCs w:val="17"/>
          <w:u w:val="single" w:color="auto"/>
          <w:color w:val="auto"/>
          <w:strike w:val="1"/>
        </w:rPr>
        <w:t>Section 6.01(b)</w:t>
      </w:r>
      <w:r>
        <w:rPr>
          <w:rFonts w:ascii="Arial" w:cs="Arial" w:eastAsia="Arial" w:hAnsi="Arial"/>
          <w:sz w:val="17"/>
          <w:szCs w:val="17"/>
          <w:color w:val="auto"/>
          <w:strike w:val="1"/>
        </w:rPr>
        <w:t>);</w:t>
      </w:r>
    </w:p>
    <w:p>
      <w:pPr>
        <w:spacing w:after="0" w:line="186" w:lineRule="exact"/>
        <w:rPr>
          <w:rFonts w:ascii="Arial" w:cs="Arial" w:eastAsia="Arial" w:hAnsi="Arial"/>
          <w:sz w:val="19"/>
          <w:szCs w:val="19"/>
          <w:color w:val="auto"/>
        </w:rPr>
      </w:pPr>
    </w:p>
    <w:p>
      <w:pPr>
        <w:ind w:left="660" w:right="140" w:firstLine="644"/>
        <w:spacing w:after="0" w:line="264" w:lineRule="auto"/>
        <w:tabs>
          <w:tab w:leader="none" w:pos="1708" w:val="left"/>
        </w:tabs>
        <w:numPr>
          <w:ilvl w:val="0"/>
          <w:numId w:val="143"/>
        </w:numPr>
        <w:rPr>
          <w:rFonts w:ascii="Arial" w:cs="Arial" w:eastAsia="Arial" w:hAnsi="Arial"/>
          <w:sz w:val="20"/>
          <w:szCs w:val="20"/>
          <w:color w:val="auto"/>
        </w:rPr>
      </w:pPr>
      <w:r>
        <w:rPr>
          <w:rFonts w:ascii="Arial" w:cs="Arial" w:eastAsia="Arial" w:hAnsi="Arial"/>
          <w:sz w:val="18"/>
          <w:szCs w:val="18"/>
          <w:color w:val="auto"/>
        </w:rPr>
        <w:t xml:space="preserve">simultaneously with the delivery of each set of consolidated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6.01(b)</w:t>
      </w:r>
      <w:r>
        <w:rPr>
          <w:rFonts w:ascii="Arial" w:cs="Arial" w:eastAsia="Arial" w:hAnsi="Arial"/>
          <w:sz w:val="18"/>
          <w:szCs w:val="18"/>
          <w:color w:val="auto"/>
        </w:rPr>
        <w:t xml:space="preserve"> above, the related consolidating financial statements reflecting the adjustments necessary to eliminate the accounts of Unrestricted Subsidiaries (if any) (which may be in footnote form only) from such consolidated financial statements;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341" w:right="339" w:bottom="1440" w:gutter="0" w:footer="0" w:header="0"/>
        </w:sectPr>
      </w:pPr>
    </w:p>
    <w:bookmarkStart w:id="168" w:name="page169"/>
    <w:bookmarkEnd w:id="168"/>
    <w:p>
      <w:pPr>
        <w:ind w:left="660" w:right="320" w:firstLine="644"/>
        <w:spacing w:after="0" w:line="265" w:lineRule="auto"/>
        <w:tabs>
          <w:tab w:leader="none" w:pos="1718" w:val="left"/>
        </w:tabs>
        <w:numPr>
          <w:ilvl w:val="0"/>
          <w:numId w:val="144"/>
        </w:numPr>
        <w:rPr>
          <w:rFonts w:ascii="Arial" w:cs="Arial" w:eastAsia="Arial" w:hAnsi="Arial"/>
          <w:sz w:val="20"/>
          <w:szCs w:val="20"/>
          <w:color w:val="auto"/>
        </w:rPr>
      </w:pPr>
      <w:r>
        <w:rPr>
          <w:rFonts w:ascii="Arial" w:cs="Arial" w:eastAsia="Arial" w:hAnsi="Arial"/>
          <w:sz w:val="18"/>
          <w:szCs w:val="18"/>
          <w:color w:val="auto"/>
        </w:rPr>
        <w:t xml:space="preserve">as soon as available, but in any event within 90 days </w:t>
      </w:r>
      <w:r>
        <w:rPr>
          <w:rFonts w:ascii="Arial" w:cs="Arial" w:eastAsia="Arial" w:hAnsi="Arial"/>
          <w:sz w:val="18"/>
          <w:szCs w:val="18"/>
          <w:u w:val="single" w:color="auto"/>
          <w:color w:val="auto"/>
        </w:rPr>
        <w:t>*(or, if later, the date the audited financials are required to be delivered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pursuant to clause (a) above)*</w:t>
      </w:r>
      <w:r>
        <w:rPr>
          <w:rFonts w:ascii="Arial" w:cs="Arial" w:eastAsia="Arial" w:hAnsi="Arial"/>
          <w:sz w:val="18"/>
          <w:szCs w:val="18"/>
          <w:color w:val="auto"/>
        </w:rPr>
        <w:t xml:space="preserve"> after the commencement of each fiscal year, a financial forecast for such fiscal year (including the fiscal year in which the Maturity Date occurs) (a “</w:t>
      </w:r>
      <w:r>
        <w:rPr>
          <w:rFonts w:ascii="Arial" w:cs="Arial" w:eastAsia="Arial" w:hAnsi="Arial"/>
          <w:sz w:val="18"/>
          <w:szCs w:val="18"/>
          <w:u w:val="single" w:color="auto"/>
          <w:color w:val="auto"/>
        </w:rPr>
        <w:t>Financial Plan</w:t>
      </w:r>
      <w:r>
        <w:rPr>
          <w:rFonts w:ascii="Arial" w:cs="Arial" w:eastAsia="Arial" w:hAnsi="Arial"/>
          <w:sz w:val="18"/>
          <w:szCs w:val="18"/>
          <w:color w:val="auto"/>
        </w:rPr>
        <w:t>”), presented on a quarterly basis, including a forecasted consolidated balance sheet and forecasted consolidated statements of income and cash flows of the U.S. Borrower and its Subsidiaries for such fiscal year and any revised Financial Plan for such fiscal year promptly after it is available.</w:t>
      </w:r>
    </w:p>
    <w:p>
      <w:pPr>
        <w:spacing w:after="0" w:line="18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As to any information contained in materials furnished pursuant to </w:t>
      </w:r>
      <w:r>
        <w:rPr>
          <w:rFonts w:ascii="Arial" w:cs="Arial" w:eastAsia="Arial" w:hAnsi="Arial"/>
          <w:sz w:val="17"/>
          <w:szCs w:val="17"/>
          <w:u w:val="single" w:color="auto"/>
          <w:color w:val="auto"/>
        </w:rPr>
        <w:t>Section 6.02(d)</w:t>
      </w:r>
      <w:r>
        <w:rPr>
          <w:rFonts w:ascii="Arial" w:cs="Arial" w:eastAsia="Arial" w:hAnsi="Arial"/>
          <w:sz w:val="17"/>
          <w:szCs w:val="17"/>
          <w:color w:val="auto"/>
        </w:rPr>
        <w:t>, the U.S. Borrower shall not be separately required to furnish such information under clause (a) or (b) above, to the extent applicable, but the foregoing shall not be in derogation of the obligation of the U.S. Borrower to furnish the information and materials described in clauses (a) and (b) above at the times specified therein.</w:t>
      </w:r>
    </w:p>
    <w:p>
      <w:pPr>
        <w:spacing w:after="0" w:line="15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6.02</w:t>
      </w:r>
      <w:r>
        <w:rPr>
          <w:sz w:val="20"/>
          <w:szCs w:val="20"/>
          <w:color w:val="auto"/>
        </w:rPr>
        <w:tab/>
      </w:r>
      <w:r>
        <w:rPr>
          <w:rFonts w:ascii="Arial" w:cs="Arial" w:eastAsia="Arial" w:hAnsi="Arial"/>
          <w:sz w:val="16"/>
          <w:szCs w:val="16"/>
          <w:b w:val="1"/>
          <w:bCs w:val="1"/>
          <w:u w:val="single" w:color="auto"/>
          <w:color w:val="auto"/>
        </w:rPr>
        <w:t>Certificates; Other Information</w:t>
      </w:r>
      <w:r>
        <w:rPr>
          <w:rFonts w:ascii="Arial" w:cs="Arial" w:eastAsia="Arial" w:hAnsi="Arial"/>
          <w:sz w:val="16"/>
          <w:szCs w:val="16"/>
          <w:color w:val="auto"/>
        </w:rPr>
        <w:t>. Deliver to the Administrative Agent (for distribution to each Lender):</w:t>
      </w:r>
    </w:p>
    <w:p>
      <w:pPr>
        <w:spacing w:after="0" w:line="238" w:lineRule="exact"/>
        <w:rPr>
          <w:sz w:val="20"/>
          <w:szCs w:val="20"/>
          <w:color w:val="auto"/>
        </w:rPr>
      </w:pPr>
    </w:p>
    <w:p>
      <w:pPr>
        <w:ind w:left="660" w:firstLine="644"/>
        <w:spacing w:after="0" w:line="265" w:lineRule="auto"/>
        <w:tabs>
          <w:tab w:leader="none" w:pos="1708" w:val="left"/>
        </w:tabs>
        <w:numPr>
          <w:ilvl w:val="0"/>
          <w:numId w:val="145"/>
        </w:numPr>
        <w:rPr>
          <w:rFonts w:ascii="Arial" w:cs="Arial" w:eastAsia="Arial" w:hAnsi="Arial"/>
          <w:sz w:val="20"/>
          <w:szCs w:val="20"/>
          <w:color w:val="auto"/>
        </w:rPr>
      </w:pPr>
      <w:r>
        <w:rPr>
          <w:rFonts w:ascii="Arial" w:cs="Arial" w:eastAsia="Arial" w:hAnsi="Arial"/>
          <w:sz w:val="18"/>
          <w:szCs w:val="18"/>
          <w:color w:val="auto"/>
          <w:strike w:val="1"/>
        </w:rPr>
        <w:t>[Reserved.]</w:t>
      </w:r>
      <w:r>
        <w:rPr>
          <w:rFonts w:ascii="Arial" w:cs="Arial" w:eastAsia="Arial" w:hAnsi="Arial"/>
          <w:sz w:val="18"/>
          <w:szCs w:val="18"/>
          <w:u w:val="single" w:color="auto"/>
          <w:color w:val="auto"/>
          <w:strike w:val="1"/>
        </w:rPr>
        <w:t>*no later than (x) with respect to each fiscal month that is not the end of a fiscal quarter, fifteen Business Days following</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the end of each such fiscal month or (y) with respect to each fiscal month that is the end of a fiscal quarter, the date upon which the financial statements are required to be delivered pursuant to Section 6.01(b), during the Restricted Period, a certificate signed by a Responsible Officer of the U.S. Borrower confirming compliance with Section 7.12(c), which certificate shall set forth the amounts in each of clauses (A), (B) and (C) in the definition of Liquidity as of the last day of such fiscal month;*</w:t>
      </w:r>
    </w:p>
    <w:p>
      <w:pPr>
        <w:spacing w:after="0" w:line="195" w:lineRule="exact"/>
        <w:rPr>
          <w:rFonts w:ascii="Arial" w:cs="Arial" w:eastAsia="Arial" w:hAnsi="Arial"/>
          <w:sz w:val="20"/>
          <w:szCs w:val="20"/>
          <w:color w:val="auto"/>
        </w:rPr>
      </w:pPr>
    </w:p>
    <w:p>
      <w:pPr>
        <w:ind w:left="660" w:right="600" w:firstLine="644"/>
        <w:spacing w:after="0" w:line="266" w:lineRule="auto"/>
        <w:tabs>
          <w:tab w:leader="none" w:pos="1718" w:val="left"/>
        </w:tabs>
        <w:numPr>
          <w:ilvl w:val="0"/>
          <w:numId w:val="145"/>
        </w:numPr>
        <w:rPr>
          <w:rFonts w:ascii="Arial" w:cs="Arial" w:eastAsia="Arial" w:hAnsi="Arial"/>
          <w:sz w:val="20"/>
          <w:szCs w:val="20"/>
          <w:color w:val="auto"/>
        </w:rPr>
      </w:pPr>
      <w:r>
        <w:rPr>
          <w:rFonts w:ascii="Arial" w:cs="Arial" w:eastAsia="Arial" w:hAnsi="Arial"/>
          <w:sz w:val="18"/>
          <w:szCs w:val="18"/>
          <w:color w:val="auto"/>
        </w:rPr>
        <w:t xml:space="preserve">no later than five days after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a Responsible Officer of the U.S. Borrower;</w:t>
      </w:r>
    </w:p>
    <w:p>
      <w:pPr>
        <w:spacing w:after="0" w:line="190" w:lineRule="exact"/>
        <w:rPr>
          <w:rFonts w:ascii="Arial" w:cs="Arial" w:eastAsia="Arial" w:hAnsi="Arial"/>
          <w:sz w:val="20"/>
          <w:szCs w:val="20"/>
          <w:color w:val="auto"/>
        </w:rPr>
      </w:pPr>
    </w:p>
    <w:p>
      <w:pPr>
        <w:ind w:left="660" w:right="120" w:firstLine="644"/>
        <w:spacing w:after="0" w:line="286" w:lineRule="auto"/>
        <w:tabs>
          <w:tab w:leader="none" w:pos="1708" w:val="left"/>
        </w:tabs>
        <w:numPr>
          <w:ilvl w:val="0"/>
          <w:numId w:val="145"/>
        </w:numPr>
        <w:rPr>
          <w:rFonts w:ascii="Arial" w:cs="Arial" w:eastAsia="Arial" w:hAnsi="Arial"/>
          <w:sz w:val="19"/>
          <w:szCs w:val="19"/>
          <w:color w:val="auto"/>
        </w:rPr>
      </w:pPr>
      <w:r>
        <w:rPr>
          <w:rFonts w:ascii="Arial" w:cs="Arial" w:eastAsia="Arial" w:hAnsi="Arial"/>
          <w:sz w:val="17"/>
          <w:szCs w:val="17"/>
          <w:color w:val="auto"/>
        </w:rPr>
        <w:t>promptly after any request by the Administrative Agent, copies of any detailed audit reports submitted to the board of directors (or the audit committee of the board of directors) of the U.S. Borrower or Holdings by independent accountants in connection with the accounts or books of Holdings, the U.S. Borrower or any of their respective Subsidiaries, or any audit of any of them;</w:t>
      </w:r>
    </w:p>
    <w:p>
      <w:pPr>
        <w:spacing w:after="0" w:line="178" w:lineRule="exact"/>
        <w:rPr>
          <w:rFonts w:ascii="Arial" w:cs="Arial" w:eastAsia="Arial" w:hAnsi="Arial"/>
          <w:sz w:val="19"/>
          <w:szCs w:val="19"/>
          <w:color w:val="auto"/>
        </w:rPr>
      </w:pPr>
    </w:p>
    <w:p>
      <w:pPr>
        <w:ind w:left="660" w:right="120" w:firstLine="644"/>
        <w:spacing w:after="0" w:line="265" w:lineRule="auto"/>
        <w:tabs>
          <w:tab w:leader="none" w:pos="1718" w:val="left"/>
        </w:tabs>
        <w:numPr>
          <w:ilvl w:val="0"/>
          <w:numId w:val="145"/>
        </w:numPr>
        <w:rPr>
          <w:rFonts w:ascii="Arial" w:cs="Arial" w:eastAsia="Arial" w:hAnsi="Arial"/>
          <w:sz w:val="20"/>
          <w:szCs w:val="20"/>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the U.S. Borrower or Holdings, and copies of all annual, regular, periodic and special reports and registration statements which the U.S. Borrower or Holdings may file or be required to file with the SEC under Section 13 or 15(d) of the Exchange Act, and not otherwise required to be delivered to the Administrative Agent pursuant hereto;</w:t>
      </w:r>
    </w:p>
    <w:p>
      <w:pPr>
        <w:spacing w:after="0" w:line="194" w:lineRule="exact"/>
        <w:rPr>
          <w:rFonts w:ascii="Arial" w:cs="Arial" w:eastAsia="Arial" w:hAnsi="Arial"/>
          <w:sz w:val="20"/>
          <w:szCs w:val="20"/>
          <w:color w:val="auto"/>
        </w:rPr>
      </w:pPr>
    </w:p>
    <w:p>
      <w:pPr>
        <w:ind w:left="660" w:right="340" w:firstLine="644"/>
        <w:spacing w:after="0" w:line="286" w:lineRule="auto"/>
        <w:tabs>
          <w:tab w:leader="none" w:pos="1708" w:val="left"/>
        </w:tabs>
        <w:numPr>
          <w:ilvl w:val="0"/>
          <w:numId w:val="145"/>
        </w:numPr>
        <w:rPr>
          <w:rFonts w:ascii="Arial" w:cs="Arial" w:eastAsia="Arial" w:hAnsi="Arial"/>
          <w:sz w:val="19"/>
          <w:szCs w:val="19"/>
          <w:color w:val="auto"/>
        </w:rPr>
      </w:pPr>
      <w:r>
        <w:rPr>
          <w:rFonts w:ascii="Arial" w:cs="Arial" w:eastAsia="Arial" w:hAnsi="Arial"/>
          <w:sz w:val="17"/>
          <w:szCs w:val="17"/>
          <w:color w:val="auto"/>
        </w:rPr>
        <w:t xml:space="preserve">except during a Collateral and Covenant Release Period, promptly after the furnishing thereof, copies of any material report furnished to any holder of debt securities of any Loan Party pursuant to the terms of any indenture, loan or credit or similar agreement and not otherwise required to be furnished to the Lenders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any other clause of this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78" w:lineRule="exact"/>
        <w:rPr>
          <w:rFonts w:ascii="Arial" w:cs="Arial" w:eastAsia="Arial" w:hAnsi="Arial"/>
          <w:sz w:val="19"/>
          <w:szCs w:val="19"/>
          <w:color w:val="auto"/>
        </w:rPr>
      </w:pPr>
    </w:p>
    <w:p>
      <w:pPr>
        <w:ind w:left="660" w:right="40" w:firstLine="644"/>
        <w:spacing w:after="0" w:line="265" w:lineRule="auto"/>
        <w:tabs>
          <w:tab w:leader="none" w:pos="1686" w:val="left"/>
        </w:tabs>
        <w:numPr>
          <w:ilvl w:val="0"/>
          <w:numId w:val="145"/>
        </w:numPr>
        <w:rPr>
          <w:rFonts w:ascii="Arial" w:cs="Arial" w:eastAsia="Arial" w:hAnsi="Arial"/>
          <w:sz w:val="20"/>
          <w:szCs w:val="20"/>
          <w:color w:val="auto"/>
        </w:rPr>
      </w:pPr>
      <w:r>
        <w:rPr>
          <w:rFonts w:ascii="Arial" w:cs="Arial" w:eastAsia="Arial" w:hAnsi="Arial"/>
          <w:sz w:val="18"/>
          <w:szCs w:val="18"/>
          <w:color w:val="auto"/>
        </w:rPr>
        <w:t>promptly after receipt thereof by any Loan Party or any Restricted Subsidiary thereof, copies of each material notice or other material correspondence received from the SEC (or comparable agency in any applicable non-U.S. jurisdiction) concerning any investigation or possible investigation or other material inquiry by such agency regarding financial or other operational results of any Loan Party or any Restricted Subsidiary thereof;</w:t>
      </w:r>
    </w:p>
    <w:p>
      <w:pPr>
        <w:spacing w:after="0" w:line="194" w:lineRule="exact"/>
        <w:rPr>
          <w:rFonts w:ascii="Arial" w:cs="Arial" w:eastAsia="Arial" w:hAnsi="Arial"/>
          <w:sz w:val="20"/>
          <w:szCs w:val="20"/>
          <w:color w:val="auto"/>
        </w:rPr>
      </w:pPr>
    </w:p>
    <w:p>
      <w:pPr>
        <w:jc w:val="both"/>
        <w:ind w:left="660" w:right="160" w:firstLine="644"/>
        <w:spacing w:after="0" w:line="265" w:lineRule="auto"/>
        <w:tabs>
          <w:tab w:leader="none" w:pos="1718" w:val="left"/>
        </w:tabs>
        <w:numPr>
          <w:ilvl w:val="0"/>
          <w:numId w:val="145"/>
        </w:numPr>
        <w:rPr>
          <w:rFonts w:ascii="Arial" w:cs="Arial" w:eastAsia="Arial" w:hAnsi="Arial"/>
          <w:sz w:val="20"/>
          <w:szCs w:val="20"/>
          <w:color w:val="auto"/>
        </w:rPr>
      </w:pPr>
      <w:r>
        <w:rPr>
          <w:rFonts w:ascii="Arial" w:cs="Arial" w:eastAsia="Arial" w:hAnsi="Arial"/>
          <w:sz w:val="18"/>
          <w:szCs w:val="18"/>
          <w:color w:val="auto"/>
        </w:rPr>
        <w:t>upon request by the Administrative Agent, copies of (i) each Schedule B (Actuarial Information) to the annual report (Form 5500 Series) filed by a Loan Party or any Restricted Subsidiary with the IRS with respect to each Pension Plan; (ii) the most recent actuarial valuation report for each Pension Plan; (iii) all notices received by a Loan Party or any Restricted Subsidiary from a Multiemployer Plan sponsor or any governmental agency concerning an ERISA Event; and (iv) such other documents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787" w:right="359" w:bottom="1440" w:gutter="0" w:footer="0" w:header="0"/>
        </w:sectPr>
      </w:pPr>
    </w:p>
    <w:bookmarkStart w:id="169" w:name="page170"/>
    <w:bookmarkEnd w:id="169"/>
    <w:p>
      <w:pPr>
        <w:ind w:right="500"/>
        <w:spacing w:after="0" w:line="277" w:lineRule="auto"/>
        <w:rPr>
          <w:sz w:val="20"/>
          <w:szCs w:val="20"/>
          <w:color w:val="auto"/>
        </w:rPr>
      </w:pPr>
      <w:r>
        <w:rPr>
          <w:rFonts w:ascii="Arial" w:cs="Arial" w:eastAsia="Arial" w:hAnsi="Arial"/>
          <w:sz w:val="18"/>
          <w:szCs w:val="18"/>
          <w:color w:val="auto"/>
        </w:rPr>
        <w:t>governmental reports or filings relating to any Pension Plan or Canadian Pension Plan sponsored by a Loan Party or any Restricted Subsidiary as the Administrative Agent shall reasonably request;</w:t>
      </w:r>
    </w:p>
    <w:p>
      <w:pPr>
        <w:spacing w:after="0" w:line="184" w:lineRule="exact"/>
        <w:rPr>
          <w:sz w:val="20"/>
          <w:szCs w:val="20"/>
          <w:color w:val="auto"/>
        </w:rPr>
      </w:pPr>
    </w:p>
    <w:p>
      <w:pPr>
        <w:ind w:left="660" w:right="160" w:firstLine="644"/>
        <w:spacing w:after="0" w:line="265" w:lineRule="auto"/>
        <w:tabs>
          <w:tab w:leader="none" w:pos="1718" w:val="left"/>
        </w:tabs>
        <w:numPr>
          <w:ilvl w:val="0"/>
          <w:numId w:val="146"/>
        </w:numPr>
        <w:rPr>
          <w:rFonts w:ascii="Arial" w:cs="Arial" w:eastAsia="Arial" w:hAnsi="Arial"/>
          <w:sz w:val="20"/>
          <w:szCs w:val="20"/>
          <w:color w:val="auto"/>
        </w:rPr>
      </w:pPr>
      <w:r>
        <w:rPr>
          <w:rFonts w:ascii="Arial" w:cs="Arial" w:eastAsia="Arial" w:hAnsi="Arial"/>
          <w:sz w:val="18"/>
          <w:szCs w:val="18"/>
          <w:color w:val="auto"/>
        </w:rPr>
        <w:t>promptly, (x) such additional information regarding the business, financial or corporate affairs of Holdings, the U.S. Borrower or any of its Restricted Subsidiaries, or compliance with the terms of the Loan Documents, as the Administrative Agent or any Lender through the Administrative Agent may from time to time reasonably request and (y) information and documentation reasonably requested by the Administrative Agent or any Lender for purposes of compliance with the applicable “know your customer” and anti-money laundering rules and regulations, including the Patriot Act and the Beneficial Ownership Regulation; and</w:t>
      </w:r>
    </w:p>
    <w:p>
      <w:pPr>
        <w:spacing w:after="0" w:line="195" w:lineRule="exact"/>
        <w:rPr>
          <w:rFonts w:ascii="Arial" w:cs="Arial" w:eastAsia="Arial" w:hAnsi="Arial"/>
          <w:sz w:val="20"/>
          <w:szCs w:val="20"/>
          <w:color w:val="auto"/>
        </w:rPr>
      </w:pPr>
    </w:p>
    <w:p>
      <w:pPr>
        <w:ind w:left="660" w:right="80" w:firstLine="644"/>
        <w:spacing w:after="0" w:line="302" w:lineRule="auto"/>
        <w:tabs>
          <w:tab w:leader="none" w:pos="1675" w:val="left"/>
        </w:tabs>
        <w:numPr>
          <w:ilvl w:val="0"/>
          <w:numId w:val="146"/>
        </w:numPr>
        <w:rPr>
          <w:rFonts w:ascii="Arial" w:cs="Arial" w:eastAsia="Arial" w:hAnsi="Arial"/>
          <w:sz w:val="18"/>
          <w:szCs w:val="18"/>
          <w:color w:val="auto"/>
        </w:rPr>
      </w:pPr>
      <w:r>
        <w:rPr>
          <w:rFonts w:ascii="Arial" w:cs="Arial" w:eastAsia="Arial" w:hAnsi="Arial"/>
          <w:sz w:val="16"/>
          <w:szCs w:val="16"/>
          <w:color w:val="auto"/>
        </w:rPr>
        <w:t xml:space="preserve">except during a Collateral and Covenant Release Period, within 90 days after the end of each fiscal year of the U.S. Borrower, (i) a report supplementing </w:t>
      </w:r>
      <w:r>
        <w:rPr>
          <w:rFonts w:ascii="Arial" w:cs="Arial" w:eastAsia="Arial" w:hAnsi="Arial"/>
          <w:sz w:val="16"/>
          <w:szCs w:val="16"/>
          <w:u w:val="single" w:color="auto"/>
          <w:color w:val="auto"/>
        </w:rPr>
        <w:t>Schedule 7(a)</w:t>
      </w:r>
      <w:r>
        <w:rPr>
          <w:rFonts w:ascii="Arial" w:cs="Arial" w:eastAsia="Arial" w:hAnsi="Arial"/>
          <w:sz w:val="16"/>
          <w:szCs w:val="16"/>
          <w:color w:val="auto"/>
        </w:rPr>
        <w:t xml:space="preserve"> of the Perfection Certificate, limited to an identification of all owned real property disposed of by the U.S. Borrower or any Restricted Subsidiary thereof during such fiscal year, a list of all owned real property acquired during such fiscal year and a description of such other changes in the information included in such Schedules with respect to owned real property as may be necessary for such Schedules to be accurate and complete with respect to owned real property; (ii) a report supplementing </w:t>
      </w:r>
      <w:r>
        <w:rPr>
          <w:rFonts w:ascii="Arial" w:cs="Arial" w:eastAsia="Arial" w:hAnsi="Arial"/>
          <w:sz w:val="16"/>
          <w:szCs w:val="16"/>
          <w:u w:val="single" w:color="auto"/>
          <w:color w:val="auto"/>
        </w:rPr>
        <w:t>Schedules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11(c)</w:t>
      </w:r>
      <w:r>
        <w:rPr>
          <w:rFonts w:ascii="Arial" w:cs="Arial" w:eastAsia="Arial" w:hAnsi="Arial"/>
          <w:sz w:val="16"/>
          <w:szCs w:val="16"/>
          <w:color w:val="auto"/>
        </w:rPr>
        <w:t xml:space="preserve"> of the Perfection Certificate, setting forth an updated list of the information included in such Schedules as may be necessary for such Schedules to be accurate and complete; and (iii) a report supplementing </w:t>
      </w:r>
      <w:r>
        <w:rPr>
          <w:rFonts w:ascii="Arial" w:cs="Arial" w:eastAsia="Arial" w:hAnsi="Arial"/>
          <w:sz w:val="16"/>
          <w:szCs w:val="16"/>
          <w:u w:val="single" w:color="auto"/>
          <w:color w:val="auto"/>
        </w:rPr>
        <w:t>Schedules 5.13(a)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containing a description of all changes in the information included in such Schedules as may be necessary for such Schedules to be accurate and complete, each such report to be signed by a Responsible Officer of the U.S. Borrower and to be in a form reasonably satisfactory to the Administrative Agent.</w:t>
      </w:r>
    </w:p>
    <w:p>
      <w:pPr>
        <w:spacing w:after="0" w:line="15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U.S. Borrower or Holdings posts such documents, or provides a link thereto, on the U.S. Borrower’s or Holdings’ website on the Internet at its website address provided to the Lenders; or (ii) on which such documents are posted on the U.S. Borrower’s or Holdings’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U.S. Borrower shall not be required to deliver paper copies of such documents to the Administrative Agent unless a written request to deliver paper copies is given by the Administrative Agent and (ii) the U.S. Borrower shall notify the Administrative Agent (by facsimile or electronic mail) of the posting of any such documents and provide, if requested, to the Administrative Agent by electronic mail electronic versions (i.e., soft copies) of such documents. Upon the request of the Administrative Agent, the U.S. Borrower promptly deliver paper copies of originally executed Compliance Certificates required by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to the Administrative Agent. The Administrative Agent shall have no obligation to request the delivery or to maintain copies (except for such Compliance Certificates) of the documents referred to above, and in any event shall have no responsibility to monitor compliance by the U.S. Borrower with any such request for delivery, and each Lender shall be solely responsible for requesting delivery to it or maintaining its copies of such documents.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U.S. Borrower hereby acknowledges that (a) the Administrative Agent and/or the Arrangers will make available to the Lenders and the 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Issuers materials and/or information provided by or on behalf of the U.S. Borrower and Holdings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may be “public-side” Lenders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i.e.</w:t>
      </w:r>
      <w:r>
        <w:rPr>
          <w:rFonts w:ascii="Arial" w:cs="Arial" w:eastAsia="Arial" w:hAnsi="Arial"/>
          <w:sz w:val="16"/>
          <w:szCs w:val="16"/>
          <w:color w:val="auto"/>
        </w:rPr>
        <w:t>, Lenders that do not wish to receive material non-public information with respect to the U.S. Borrower or its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Borrower hereby agrees that (w) all Borrower Materials that are to be made available to Public Lenders shall be clearly and conspicuously marked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“PUBLIC” which, at a minimum, shall mean that the word “PUBLIC” shall appear prominently on the first page thereof; (x) by marking Borrower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Materials “PUBLIC,” the U.S. Borrower shall be deemed to have authorized the Administrative Agent, the Arrangers, the L/C Issuers and the Lenders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treat such Borrower Materials as not containing any material nonpublic information with respect to the U.S. Borrower or its securities for purposes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such Borrower Materials constitute Information, they shall be treated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set forth in </w:t>
      </w:r>
      <w:r>
        <w:rPr>
          <w:rFonts w:ascii="Arial" w:cs="Arial" w:eastAsia="Arial" w:hAnsi="Arial"/>
          <w:sz w:val="17"/>
          <w:szCs w:val="17"/>
          <w:u w:val="single" w:color="auto"/>
          <w:color w:val="auto"/>
        </w:rPr>
        <w:t>Section 10.07</w:t>
      </w:r>
      <w:r>
        <w:rPr>
          <w:rFonts w:ascii="Arial" w:cs="Arial" w:eastAsia="Arial" w:hAnsi="Arial"/>
          <w:sz w:val="17"/>
          <w:szCs w:val="17"/>
          <w:color w:val="auto"/>
        </w:rPr>
        <w:t>); (y) all Borrower Materials marked “PUBLIC” are permitted to be made available through a portion of the Platform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designated “Public Investor;” and (z) the Administrative Agent and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341" w:right="359" w:bottom="1440" w:gutter="0" w:footer="0" w:header="0"/>
        </w:sectPr>
      </w:pPr>
    </w:p>
    <w:bookmarkStart w:id="170" w:name="page171"/>
    <w:bookmarkEnd w:id="170"/>
    <w:p>
      <w:pPr>
        <w:ind w:right="220"/>
        <w:spacing w:after="0" w:line="277" w:lineRule="auto"/>
        <w:rPr>
          <w:sz w:val="20"/>
          <w:szCs w:val="20"/>
          <w:color w:val="auto"/>
        </w:rPr>
      </w:pPr>
      <w:r>
        <w:rPr>
          <w:rFonts w:ascii="Arial" w:cs="Arial" w:eastAsia="Arial" w:hAnsi="Arial"/>
          <w:sz w:val="18"/>
          <w:szCs w:val="18"/>
          <w:color w:val="auto"/>
        </w:rPr>
        <w:t>Arrangers shall be entitled to treat any Borrower Materials that are not marked “PUBLIC” as being suitable only for posting on a portion of the Platform not designated “Public Investor.”</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6.03</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Promptly after obtaining knowledge thereof notify the Administrative Agent in writing (for distribution to the Lenders):</w:t>
      </w:r>
    </w:p>
    <w:p>
      <w:pPr>
        <w:spacing w:after="0" w:line="238" w:lineRule="exact"/>
        <w:rPr>
          <w:sz w:val="20"/>
          <w:szCs w:val="20"/>
          <w:color w:val="auto"/>
        </w:rPr>
      </w:pPr>
    </w:p>
    <w:p>
      <w:pPr>
        <w:ind w:left="1700" w:hanging="396"/>
        <w:spacing w:after="0"/>
        <w:tabs>
          <w:tab w:leader="none" w:pos="1700" w:val="left"/>
        </w:tabs>
        <w:numPr>
          <w:ilvl w:val="0"/>
          <w:numId w:val="147"/>
        </w:numPr>
        <w:rPr>
          <w:rFonts w:ascii="Arial" w:cs="Arial" w:eastAsia="Arial" w:hAnsi="Arial"/>
          <w:sz w:val="20"/>
          <w:szCs w:val="20"/>
          <w:color w:val="auto"/>
        </w:rPr>
      </w:pPr>
      <w:r>
        <w:rPr>
          <w:rFonts w:ascii="Arial" w:cs="Arial" w:eastAsia="Arial" w:hAnsi="Arial"/>
          <w:sz w:val="18"/>
          <w:szCs w:val="18"/>
          <w:color w:val="auto"/>
        </w:rPr>
        <w:t>of the occurrence of any Default or Event of Default;</w:t>
      </w:r>
    </w:p>
    <w:p>
      <w:pPr>
        <w:spacing w:after="0" w:line="215" w:lineRule="exact"/>
        <w:rPr>
          <w:rFonts w:ascii="Arial" w:cs="Arial" w:eastAsia="Arial" w:hAnsi="Arial"/>
          <w:sz w:val="20"/>
          <w:szCs w:val="20"/>
          <w:color w:val="auto"/>
        </w:rPr>
      </w:pPr>
    </w:p>
    <w:p>
      <w:pPr>
        <w:ind w:left="660" w:right="100" w:firstLine="644"/>
        <w:spacing w:after="0" w:line="265" w:lineRule="auto"/>
        <w:tabs>
          <w:tab w:leader="none" w:pos="1718" w:val="left"/>
        </w:tabs>
        <w:numPr>
          <w:ilvl w:val="0"/>
          <w:numId w:val="147"/>
        </w:numPr>
        <w:rPr>
          <w:rFonts w:ascii="Arial" w:cs="Arial" w:eastAsia="Arial" w:hAnsi="Arial"/>
          <w:sz w:val="20"/>
          <w:szCs w:val="20"/>
          <w:color w:val="auto"/>
        </w:rPr>
      </w:pPr>
      <w:r>
        <w:rPr>
          <w:rFonts w:ascii="Arial" w:cs="Arial" w:eastAsia="Arial" w:hAnsi="Arial"/>
          <w:sz w:val="18"/>
          <w:szCs w:val="18"/>
          <w:color w:val="auto"/>
        </w:rPr>
        <w:t>of any matter that has resulted or could reasonably be expected to result in a Material Adverse Effect, including to the extent the following meets the foregoing standard, (i) breach or non-performance of, or any default under, a Contractual Obligation of the U.S. Borrower or any of its Restricted Subsidiaries; (ii) any dispute, litigation, investigation, proceeding or suspension between the U.S. Borrower or any of its Restricted Subsidiaries and any Governmental Authority; (iii) the commencement of, or any material adverse development in, any litigation or proceeding affecting the U.S. Borrower or any of its Restricted Subsidiaries, including pursuant to any applicable Environmental Laws; or (iv) of any ERISA Event; and</w:t>
      </w:r>
    </w:p>
    <w:p>
      <w:pPr>
        <w:spacing w:after="0" w:line="196" w:lineRule="exact"/>
        <w:rPr>
          <w:rFonts w:ascii="Arial" w:cs="Arial" w:eastAsia="Arial" w:hAnsi="Arial"/>
          <w:sz w:val="20"/>
          <w:szCs w:val="20"/>
          <w:color w:val="auto"/>
        </w:rPr>
      </w:pPr>
    </w:p>
    <w:p>
      <w:pPr>
        <w:ind w:left="660" w:right="260" w:firstLine="644"/>
        <w:spacing w:after="0" w:line="266" w:lineRule="auto"/>
        <w:tabs>
          <w:tab w:leader="none" w:pos="1708" w:val="left"/>
        </w:tabs>
        <w:numPr>
          <w:ilvl w:val="0"/>
          <w:numId w:val="147"/>
        </w:numPr>
        <w:rPr>
          <w:rFonts w:ascii="Arial" w:cs="Arial" w:eastAsia="Arial" w:hAnsi="Arial"/>
          <w:sz w:val="20"/>
          <w:szCs w:val="20"/>
          <w:color w:val="auto"/>
        </w:rPr>
      </w:pPr>
      <w:r>
        <w:rPr>
          <w:rFonts w:ascii="Arial" w:cs="Arial" w:eastAsia="Arial" w:hAnsi="Arial"/>
          <w:sz w:val="18"/>
          <w:szCs w:val="18"/>
          <w:color w:val="auto"/>
        </w:rPr>
        <w:t>any change in the information provided in the Beneficial Ownership Certification delivered to such Lender that would result in a change to the list of beneficial owners identified in such certification.</w:t>
      </w:r>
    </w:p>
    <w:p>
      <w:pPr>
        <w:spacing w:after="0" w:line="17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Each notice pursuant to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be accompanied by a statement of a Responsible Officer of the U.S. Borrower setting forth details of the occurrence referred to therein and stating what action the U.S.Borrower has taken and proposes to take with respect thereto.</w:t>
      </w:r>
    </w:p>
    <w:p>
      <w:pPr>
        <w:spacing w:after="0" w:line="138" w:lineRule="exact"/>
        <w:rPr>
          <w:sz w:val="20"/>
          <w:szCs w:val="20"/>
          <w:color w:val="auto"/>
        </w:rPr>
      </w:pPr>
    </w:p>
    <w:p>
      <w:pPr>
        <w:ind w:firstLine="648"/>
        <w:spacing w:after="0" w:line="296" w:lineRule="auto"/>
        <w:rPr>
          <w:sz w:val="20"/>
          <w:szCs w:val="20"/>
          <w:color w:val="auto"/>
        </w:rPr>
      </w:pPr>
      <w:r>
        <w:rPr>
          <w:rFonts w:ascii="Arial" w:cs="Arial" w:eastAsia="Arial" w:hAnsi="Arial"/>
          <w:sz w:val="19"/>
          <w:szCs w:val="19"/>
          <w:b w:val="1"/>
          <w:bCs w:val="1"/>
          <w:color w:val="auto"/>
        </w:rPr>
        <w:t xml:space="preserve">6.04 </w:t>
      </w:r>
      <w:r>
        <w:rPr>
          <w:rFonts w:ascii="Arial" w:cs="Arial" w:eastAsia="Arial" w:hAnsi="Arial"/>
          <w:sz w:val="16"/>
          <w:szCs w:val="16"/>
          <w:b w:val="1"/>
          <w:bCs w:val="1"/>
          <w:u w:val="single" w:color="auto"/>
          <w:color w:val="auto"/>
        </w:rPr>
        <w:t>Payment of Obligations</w:t>
      </w:r>
      <w:r>
        <w:rPr>
          <w:rFonts w:ascii="Arial" w:cs="Arial" w:eastAsia="Arial" w:hAnsi="Arial"/>
          <w:sz w:val="16"/>
          <w:szCs w:val="16"/>
          <w:color w:val="auto"/>
        </w:rPr>
        <w:t>. Pay and discharge as the same shall become due and payable, all their obligations and liabilities, including (a) all</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Taxes, assessments and governmental charges or levies upon it or its properties or assets, </w:t>
      </w:r>
      <w:r>
        <w:rPr>
          <w:rFonts w:ascii="Arial" w:cs="Arial" w:eastAsia="Arial" w:hAnsi="Arial"/>
          <w:sz w:val="16"/>
          <w:szCs w:val="16"/>
          <w:u w:val="single" w:color="auto"/>
          <w:color w:val="auto"/>
        </w:rPr>
        <w:t>*unless the same (i) are being contested in good faith by</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appropriate actions diligently conducted and adequate reserves in accordance with GAAP are being maintained by the U.S. Borrower or such Restricted Subsidiary or (ii) during the Restricted Period, constitute Taxes that are the subject of any deferral, forbearance or similar action by any Governmental Authority to the extent such deferral, forbearance or similar action is ongoing; and (b) all lawful claims which, if unpaid, would by law become a Lien (other than a Permitted Lien) upon its property,*</w:t>
      </w:r>
      <w:r>
        <w:rPr>
          <w:rFonts w:ascii="Arial" w:cs="Arial" w:eastAsia="Arial" w:hAnsi="Arial"/>
          <w:sz w:val="16"/>
          <w:szCs w:val="16"/>
          <w:color w:val="auto"/>
        </w:rPr>
        <w:t xml:space="preserve"> unless the same are being contested in good faith by appropriate actions diligently conducted and adequate reserves in accordance with GAAP are being maintained by the U.S. Borrower or such Restricted Subsidiary; </w:t>
      </w:r>
      <w:r>
        <w:rPr>
          <w:rFonts w:ascii="Arial" w:cs="Arial" w:eastAsia="Arial" w:hAnsi="Arial"/>
          <w:sz w:val="16"/>
          <w:szCs w:val="16"/>
          <w:color w:val="auto"/>
          <w:strike w:val="1"/>
        </w:rPr>
        <w:t>and (b) all lawful claims which, if unpaid,</w:t>
      </w:r>
      <w:r>
        <w:rPr>
          <w:rFonts w:ascii="Arial" w:cs="Arial" w:eastAsia="Arial" w:hAnsi="Arial"/>
          <w:sz w:val="16"/>
          <w:szCs w:val="16"/>
          <w:color w:val="auto"/>
        </w:rPr>
        <w:t xml:space="preserve"> </w:t>
      </w:r>
      <w:r>
        <w:rPr>
          <w:rFonts w:ascii="Arial" w:cs="Arial" w:eastAsia="Arial" w:hAnsi="Arial"/>
          <w:sz w:val="16"/>
          <w:szCs w:val="16"/>
          <w:color w:val="auto"/>
          <w:strike w:val="1"/>
        </w:rPr>
        <w:t>would by law become a Lien (other than a Permitted Lien) upon its property</w:t>
      </w:r>
      <w:r>
        <w:rPr>
          <w:rFonts w:ascii="Arial" w:cs="Arial" w:eastAsia="Arial" w:hAnsi="Arial"/>
          <w:sz w:val="16"/>
          <w:szCs w:val="16"/>
          <w:color w:val="auto"/>
        </w:rPr>
        <w:t>; except, in each of the cases of clauses (a) and (b), where any failure to pay or discharge as would not reasonably be expected to have, individually or in the aggregate, a Material Adverse Effect.</w:t>
      </w:r>
    </w:p>
    <w:p>
      <w:pPr>
        <w:spacing w:after="0" w:line="154" w:lineRule="exact"/>
        <w:rPr>
          <w:sz w:val="20"/>
          <w:szCs w:val="20"/>
          <w:color w:val="auto"/>
        </w:rPr>
      </w:pPr>
    </w:p>
    <w:p>
      <w:pPr>
        <w:ind w:right="80" w:firstLine="648"/>
        <w:spacing w:after="0" w:line="309" w:lineRule="auto"/>
        <w:rPr>
          <w:sz w:val="20"/>
          <w:szCs w:val="20"/>
          <w:color w:val="auto"/>
        </w:rPr>
      </w:pPr>
      <w:r>
        <w:rPr>
          <w:rFonts w:ascii="Arial" w:cs="Arial" w:eastAsia="Arial" w:hAnsi="Arial"/>
          <w:sz w:val="19"/>
          <w:szCs w:val="19"/>
          <w:b w:val="1"/>
          <w:bCs w:val="1"/>
          <w:color w:val="auto"/>
        </w:rPr>
        <w:t xml:space="preserve">6.05 </w:t>
      </w:r>
      <w:r>
        <w:rPr>
          <w:rFonts w:ascii="Arial" w:cs="Arial" w:eastAsia="Arial" w:hAnsi="Arial"/>
          <w:sz w:val="16"/>
          <w:szCs w:val="16"/>
          <w:b w:val="1"/>
          <w:bCs w:val="1"/>
          <w:u w:val="single" w:color="auto"/>
          <w:color w:val="auto"/>
        </w:rPr>
        <w:t>Preservation of Existence, Etc.</w:t>
      </w:r>
      <w:r>
        <w:rPr>
          <w:rFonts w:ascii="Arial" w:cs="Arial" w:eastAsia="Arial" w:hAnsi="Arial"/>
          <w:sz w:val="19"/>
          <w:szCs w:val="19"/>
          <w:b w:val="1"/>
          <w:bCs w:val="1"/>
          <w:color w:val="auto"/>
        </w:rPr>
        <w:t xml:space="preserve"> </w:t>
      </w:r>
      <w:r>
        <w:rPr>
          <w:rFonts w:ascii="Arial" w:cs="Arial" w:eastAsia="Arial" w:hAnsi="Arial"/>
          <w:sz w:val="16"/>
          <w:szCs w:val="16"/>
          <w:color w:val="auto"/>
        </w:rPr>
        <w:t>Except to the extent that failure to do so, individually or in the aggregate, would not reasonably be</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expected to result in a Material Adverse Effect, do or cause to be done all things necessary to preserve, renew and maintain in full force and effect its legal existence, except as otherwise expressly permitted under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and except for the liquidation or dissolution of Subsidiaries if the assets of such Subsidiaries are acquired by the U.S. Borrower or a Wholly-Owned Subsidiary of the U.S. Borrower in such liquidation.</w:t>
      </w:r>
    </w:p>
    <w:p>
      <w:pPr>
        <w:spacing w:after="0" w:line="142" w:lineRule="exact"/>
        <w:rPr>
          <w:sz w:val="20"/>
          <w:szCs w:val="20"/>
          <w:color w:val="auto"/>
        </w:rPr>
      </w:pPr>
    </w:p>
    <w:p>
      <w:pPr>
        <w:ind w:firstLine="648"/>
        <w:spacing w:after="0" w:line="277" w:lineRule="auto"/>
        <w:rPr>
          <w:sz w:val="20"/>
          <w:szCs w:val="20"/>
          <w:color w:val="auto"/>
        </w:rPr>
      </w:pPr>
      <w:r>
        <w:rPr>
          <w:rFonts w:ascii="Arial" w:cs="Arial" w:eastAsia="Arial" w:hAnsi="Arial"/>
          <w:sz w:val="20"/>
          <w:szCs w:val="20"/>
          <w:b w:val="1"/>
          <w:bCs w:val="1"/>
          <w:color w:val="auto"/>
        </w:rPr>
        <w:t xml:space="preserve">6.06 </w:t>
      </w:r>
      <w:r>
        <w:rPr>
          <w:rFonts w:ascii="Arial" w:cs="Arial" w:eastAsia="Arial" w:hAnsi="Arial"/>
          <w:sz w:val="17"/>
          <w:szCs w:val="17"/>
          <w:b w:val="1"/>
          <w:bCs w:val="1"/>
          <w:u w:val="single" w:color="auto"/>
          <w:color w:val="auto"/>
        </w:rPr>
        <w:t>Maintenance of Properties</w:t>
      </w:r>
      <w:r>
        <w:rPr>
          <w:rFonts w:ascii="Arial" w:cs="Arial" w:eastAsia="Arial" w:hAnsi="Arial"/>
          <w:sz w:val="17"/>
          <w:szCs w:val="17"/>
          <w:color w:val="auto"/>
        </w:rPr>
        <w:t>. Except to the extent that failure to do so, individually or in the aggregate, would not reasonably be expected</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to result in a Material Adverse Effect, do or cause to be done all things reasonably necessary to obtain, preserve, renew, extend and keep in full force and effect the rights, licenses, permits, privileges, franchises, authorizations, patents, copyrights, trademarks and trade names material to the conduct of its business and at all times maintain, preserve and protect all tangible property material to the conduct of such business and keep such property in good repair, working order and condition (other than as may result from any casualty or condemnation or wear and tear occurring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shall prevent (i) sales of property, consolidations, amalgamations or mergers by or involving any Loan Party in accordance with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w:t>
      </w:r>
      <w:r>
        <w:rPr>
          <w:rFonts w:ascii="Arial" w:cs="Arial" w:eastAsia="Arial" w:hAnsi="Arial"/>
          <w:sz w:val="17"/>
          <w:szCs w:val="17"/>
          <w:color w:val="auto"/>
        </w:rPr>
        <w:t>; (ii) the withdrawal by any Loan Party of its qualification as a foreign corporation in any jurisdiction where such withdrawal, individually or in the aggregate, would not reasonably be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341" w:right="359" w:bottom="1440" w:gutter="0" w:footer="0" w:header="0"/>
        </w:sectPr>
      </w:pPr>
    </w:p>
    <w:bookmarkStart w:id="171" w:name="page172"/>
    <w:bookmarkEnd w:id="171"/>
    <w:p>
      <w:pPr>
        <w:ind w:right="80"/>
        <w:spacing w:after="0" w:line="342" w:lineRule="auto"/>
        <w:rPr>
          <w:sz w:val="20"/>
          <w:szCs w:val="20"/>
          <w:color w:val="auto"/>
        </w:rPr>
      </w:pPr>
      <w:r>
        <w:rPr>
          <w:rFonts w:ascii="Arial" w:cs="Arial" w:eastAsia="Arial" w:hAnsi="Arial"/>
          <w:sz w:val="16"/>
          <w:szCs w:val="16"/>
          <w:color w:val="auto"/>
        </w:rPr>
        <w:t>expected to result in a Material Adverse Effect; or the abandonment by any Loan Party of any rights, franchises, licenses, trademarks, trade names, copyrights, patents or other Intellectual Property that such Person reasonably determines are not useful to its business or no longer commercially desirable.</w:t>
      </w:r>
    </w:p>
    <w:p>
      <w:pPr>
        <w:spacing w:after="0" w:line="11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6.07</w:t>
      </w:r>
      <w:r>
        <w:rPr>
          <w:sz w:val="20"/>
          <w:szCs w:val="20"/>
          <w:color w:val="auto"/>
        </w:rPr>
        <w:tab/>
      </w:r>
      <w:r>
        <w:rPr>
          <w:rFonts w:ascii="Arial" w:cs="Arial" w:eastAsia="Arial" w:hAnsi="Arial"/>
          <w:sz w:val="16"/>
          <w:szCs w:val="16"/>
          <w:b w:val="1"/>
          <w:bCs w:val="1"/>
          <w:u w:val="single" w:color="auto"/>
          <w:color w:val="auto"/>
        </w:rPr>
        <w:t>Maintenance of Insurance</w:t>
      </w:r>
      <w:r>
        <w:rPr>
          <w:rFonts w:ascii="Arial" w:cs="Arial" w:eastAsia="Arial" w:hAnsi="Arial"/>
          <w:sz w:val="16"/>
          <w:szCs w:val="16"/>
          <w:color w:val="auto"/>
        </w:rPr>
        <w:t>.</w:t>
      </w:r>
    </w:p>
    <w:p>
      <w:pPr>
        <w:spacing w:after="0" w:line="238" w:lineRule="exact"/>
        <w:rPr>
          <w:sz w:val="20"/>
          <w:szCs w:val="20"/>
          <w:color w:val="auto"/>
        </w:rPr>
      </w:pPr>
    </w:p>
    <w:p>
      <w:pPr>
        <w:ind w:firstLine="656"/>
        <w:spacing w:after="0" w:line="265" w:lineRule="auto"/>
        <w:tabs>
          <w:tab w:leader="none" w:pos="1048" w:val="left"/>
        </w:tabs>
        <w:numPr>
          <w:ilvl w:val="0"/>
          <w:numId w:val="148"/>
        </w:numPr>
        <w:rPr>
          <w:rFonts w:ascii="Arial" w:cs="Arial" w:eastAsia="Arial" w:hAnsi="Arial"/>
          <w:sz w:val="20"/>
          <w:szCs w:val="20"/>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U.S. Borrower and its Restricted Subsidiaries) as are customarily carried under similar circumstances by such other Persons. Except during a Collateral and Covenant Release Period, such insurance policies relating to property, casualty and liability insurance shall name the Collateral Agent as additional insured or loss payee, as applicable.</w:t>
      </w:r>
    </w:p>
    <w:p>
      <w:pPr>
        <w:spacing w:after="0" w:line="196" w:lineRule="exact"/>
        <w:rPr>
          <w:rFonts w:ascii="Arial" w:cs="Arial" w:eastAsia="Arial" w:hAnsi="Arial"/>
          <w:sz w:val="20"/>
          <w:szCs w:val="20"/>
          <w:color w:val="auto"/>
        </w:rPr>
      </w:pPr>
    </w:p>
    <w:p>
      <w:pPr>
        <w:ind w:right="140" w:firstLine="656"/>
        <w:spacing w:after="0" w:line="284" w:lineRule="auto"/>
        <w:tabs>
          <w:tab w:leader="none" w:pos="1058" w:val="left"/>
        </w:tabs>
        <w:numPr>
          <w:ilvl w:val="0"/>
          <w:numId w:val="148"/>
        </w:numPr>
        <w:rPr>
          <w:rFonts w:ascii="Arial" w:cs="Arial" w:eastAsia="Arial" w:hAnsi="Arial"/>
          <w:sz w:val="19"/>
          <w:szCs w:val="19"/>
          <w:color w:val="auto"/>
        </w:rPr>
      </w:pPr>
      <w:r>
        <w:rPr>
          <w:rFonts w:ascii="Arial" w:cs="Arial" w:eastAsia="Arial" w:hAnsi="Arial"/>
          <w:sz w:val="17"/>
          <w:szCs w:val="17"/>
          <w:u w:val="single" w:color="auto"/>
          <w:color w:val="auto"/>
        </w:rPr>
        <w:t>Flood Insurance</w:t>
      </w:r>
      <w:r>
        <w:rPr>
          <w:rFonts w:ascii="Arial" w:cs="Arial" w:eastAsia="Arial" w:hAnsi="Arial"/>
          <w:sz w:val="17"/>
          <w:szCs w:val="17"/>
          <w:color w:val="auto"/>
        </w:rPr>
        <w:t>. With respect to each Mortgaged Property, obtain flood insurance in such total amount as the Administrative Agent or the Required Lenders may from time to time reasonably require (and, in any event, in at least the minimum amount required by applicable flood insurance laws), if at any time the area in which any improvements located on any Mortgaged Property is designated a “flood hazard area” in any Flood Insurance Rate Map published by the Federal Emergency Management Agency, and otherwise comply with the National Flood Insurance Program as set forth in the Flood Disaster Protection Act of 1973, as amended from time to time, and any other applicable flood insurance laws.</w:t>
      </w:r>
    </w:p>
    <w:p>
      <w:pPr>
        <w:spacing w:after="0" w:line="158" w:lineRule="exact"/>
        <w:rPr>
          <w:sz w:val="20"/>
          <w:szCs w:val="20"/>
          <w:color w:val="auto"/>
        </w:rPr>
      </w:pPr>
    </w:p>
    <w:p>
      <w:pPr>
        <w:ind w:right="100" w:firstLine="648"/>
        <w:spacing w:after="0" w:line="276" w:lineRule="auto"/>
        <w:rPr>
          <w:sz w:val="20"/>
          <w:szCs w:val="20"/>
          <w:color w:val="auto"/>
        </w:rPr>
      </w:pPr>
      <w:r>
        <w:rPr>
          <w:rFonts w:ascii="Arial" w:cs="Arial" w:eastAsia="Arial" w:hAnsi="Arial"/>
          <w:sz w:val="20"/>
          <w:szCs w:val="20"/>
          <w:b w:val="1"/>
          <w:bCs w:val="1"/>
          <w:color w:val="auto"/>
        </w:rPr>
        <w:t xml:space="preserve">6.08 </w:t>
      </w:r>
      <w:r>
        <w:rPr>
          <w:rFonts w:ascii="Arial" w:cs="Arial" w:eastAsia="Arial" w:hAnsi="Arial"/>
          <w:sz w:val="17"/>
          <w:szCs w:val="17"/>
          <w:b w:val="1"/>
          <w:bCs w:val="1"/>
          <w:u w:val="single" w:color="auto"/>
          <w:color w:val="auto"/>
        </w:rPr>
        <w:t>Compliance with Laws</w:t>
      </w:r>
      <w:r>
        <w:rPr>
          <w:rFonts w:ascii="Arial" w:cs="Arial" w:eastAsia="Arial" w:hAnsi="Arial"/>
          <w:sz w:val="17"/>
          <w:szCs w:val="17"/>
          <w:color w:val="auto"/>
        </w:rPr>
        <w:t>. Comply with the requirements of all Laws and all orders, writs, injunctions and decrees applicable to it or to its</w:t>
      </w:r>
      <w:r>
        <w:rPr>
          <w:rFonts w:ascii="Arial" w:cs="Arial" w:eastAsia="Arial" w:hAnsi="Arial"/>
          <w:sz w:val="20"/>
          <w:szCs w:val="20"/>
          <w:b w:val="1"/>
          <w:bCs w:val="1"/>
          <w:color w:val="auto"/>
        </w:rPr>
        <w:t xml:space="preserve"> </w:t>
      </w:r>
      <w:r>
        <w:rPr>
          <w:rFonts w:ascii="Arial" w:cs="Arial" w:eastAsia="Arial" w:hAnsi="Arial"/>
          <w:sz w:val="17"/>
          <w:szCs w:val="17"/>
          <w:color w:val="auto"/>
        </w:rPr>
        <w:t>business or property, except in such instances in which (a) such applicable law or order, writ, injunction or decree is being contested in good faith by appropriate actions diligently conducted; or (b) the failure to comply therewith could not reasonably be expected to have a Material Adverse Effect. Without limiting the foregoing, the Borrowers will maintain in effect and enforce policies and procedures designed to promote and achieve compliance by Holdings, its Subsidiaries and their respective directors, officers, employees and agents, in all material respects, with Anti-Corruption Laws and applicable Sanctions.</w:t>
      </w:r>
    </w:p>
    <w:p>
      <w:pPr>
        <w:spacing w:after="0" w:line="17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Except as would not reasonably be expected to have a Material Adverse Effect, for each existing Canadian Pension Plan, the Canadian Borrower shall ensure that such plan retains its registered status under and is administered in a timely manner in all respects in accordance with the applicable pension plan text, funding agreement, the ITA and all other applicable laws. Except as would not reasonably be expected to have a Material Adverse Effect, for each Canadian Pension Plan hereafter adopted or contributed to by U.S. Borrower and/or its Restricted Subsidiaries, as applicable, which is required to be registered under the ITA or any other applicable laws, Canadian Borrower shall use, and shall cause its Restricted Subsidiaries to use, their commercially reasonable efforts to seek and receive confirmation in writing from the applicable regulatory authorities to the effect that such plan is unconditionally registered under the ITA and such other applicable laws. Except as would not reasonably be expected to have a Material Adverse Effect, for each Canadian Pension Plan and Canadian Benefit Plan hereafter adopted or contributed to by Canadian Borrower and/or its Restricted Subsidiaries, the Canadian Borrower shall perform, or cause its Restricted Subsidiaries to perform, in a timely fashion and in all material respects, all obligations (including fiduciary, funding, investment and administration obligations) required to be performed in connection with such plan and the funding therefor.</w:t>
      </w:r>
    </w:p>
    <w:p>
      <w:pPr>
        <w:spacing w:after="0" w:line="160"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b w:val="1"/>
          <w:bCs w:val="1"/>
          <w:color w:val="auto"/>
        </w:rPr>
        <w:t xml:space="preserve">6.09 </w:t>
      </w:r>
      <w:r>
        <w:rPr>
          <w:rFonts w:ascii="Arial" w:cs="Arial" w:eastAsia="Arial" w:hAnsi="Arial"/>
          <w:sz w:val="16"/>
          <w:szCs w:val="16"/>
          <w:b w:val="1"/>
          <w:bCs w:val="1"/>
          <w:u w:val="single" w:color="auto"/>
          <w:color w:val="auto"/>
        </w:rPr>
        <w:t>Books and Records</w:t>
      </w:r>
      <w:r>
        <w:rPr>
          <w:rFonts w:ascii="Arial" w:cs="Arial" w:eastAsia="Arial" w:hAnsi="Arial"/>
          <w:sz w:val="16"/>
          <w:szCs w:val="16"/>
          <w:color w:val="auto"/>
        </w:rPr>
        <w:t>. Maintain books of record and account, in which entries in conformity with GAAP consistently applied shall be made</w:t>
      </w:r>
      <w:r>
        <w:rPr>
          <w:rFonts w:ascii="Arial" w:cs="Arial" w:eastAsia="Arial" w:hAnsi="Arial"/>
          <w:sz w:val="19"/>
          <w:szCs w:val="19"/>
          <w:b w:val="1"/>
          <w:bCs w:val="1"/>
          <w:color w:val="auto"/>
        </w:rPr>
        <w:t xml:space="preserve"> </w:t>
      </w:r>
      <w:r>
        <w:rPr>
          <w:rFonts w:ascii="Arial" w:cs="Arial" w:eastAsia="Arial" w:hAnsi="Arial"/>
          <w:sz w:val="16"/>
          <w:szCs w:val="16"/>
          <w:color w:val="auto"/>
        </w:rPr>
        <w:t>of all financial transactions and matters involving the assets and business of the U.S. Borrower or such Restricted Subsidiary, as the case may be.</w:t>
      </w:r>
    </w:p>
    <w:p>
      <w:pPr>
        <w:spacing w:after="0" w:line="100" w:lineRule="exact"/>
        <w:rPr>
          <w:sz w:val="20"/>
          <w:szCs w:val="20"/>
          <w:color w:val="auto"/>
        </w:rPr>
      </w:pPr>
    </w:p>
    <w:p>
      <w:pPr>
        <w:ind w:right="160" w:firstLine="648"/>
        <w:spacing w:after="0" w:line="274" w:lineRule="auto"/>
        <w:rPr>
          <w:sz w:val="20"/>
          <w:szCs w:val="20"/>
          <w:color w:val="auto"/>
        </w:rPr>
      </w:pPr>
      <w:r>
        <w:rPr>
          <w:rFonts w:ascii="Arial" w:cs="Arial" w:eastAsia="Arial" w:hAnsi="Arial"/>
          <w:sz w:val="20"/>
          <w:szCs w:val="20"/>
          <w:b w:val="1"/>
          <w:bCs w:val="1"/>
          <w:color w:val="auto"/>
        </w:rPr>
        <w:t xml:space="preserve">6.10 </w:t>
      </w:r>
      <w:r>
        <w:rPr>
          <w:rFonts w:ascii="Arial" w:cs="Arial" w:eastAsia="Arial" w:hAnsi="Arial"/>
          <w:sz w:val="17"/>
          <w:szCs w:val="17"/>
          <w:b w:val="1"/>
          <w:bCs w:val="1"/>
          <w:u w:val="single" w:color="auto"/>
          <w:color w:val="auto"/>
        </w:rPr>
        <w:t>Inspection Rights</w:t>
      </w:r>
      <w:r>
        <w:rPr>
          <w:rFonts w:ascii="Arial" w:cs="Arial" w:eastAsia="Arial" w:hAnsi="Arial"/>
          <w:sz w:val="17"/>
          <w:szCs w:val="17"/>
          <w:color w:val="auto"/>
        </w:rPr>
        <w:t>. Permit representatives and independent contractors of the Administrative Agent and each Lender to visit and inspect</w:t>
      </w:r>
      <w:r>
        <w:rPr>
          <w:rFonts w:ascii="Arial" w:cs="Arial" w:eastAsia="Arial" w:hAnsi="Arial"/>
          <w:sz w:val="20"/>
          <w:szCs w:val="20"/>
          <w:b w:val="1"/>
          <w:bCs w:val="1"/>
          <w:color w:val="auto"/>
        </w:rPr>
        <w:t xml:space="preserve"> </w:t>
      </w:r>
      <w:r>
        <w:rPr>
          <w:rFonts w:ascii="Arial" w:cs="Arial" w:eastAsia="Arial" w:hAnsi="Arial"/>
          <w:sz w:val="17"/>
          <w:szCs w:val="17"/>
          <w:color w:val="auto"/>
        </w:rPr>
        <w:t>any of its properties, to examine its corporate, financial and operating records, and make copies thereof or abstracts therefrom, and to discuss its affairs, finances and accounts with its directors, officers, and independent public accountants (subject to such independent accountants’ customary procedure), all at the reasonable expense of the U.S. Borrower and in each case at such reasonable times during normal business hours as often as may be reasonably desired, upon reasonable advance notice to the U.S. Borrower;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557" w:right="339" w:bottom="1440" w:gutter="0" w:footer="0" w:header="0"/>
        </w:sectPr>
      </w:pPr>
    </w:p>
    <w:bookmarkStart w:id="172" w:name="page173"/>
    <w:bookmarkEnd w:id="172"/>
    <w:p>
      <w:pPr>
        <w:ind w:right="100"/>
        <w:spacing w:after="0" w:line="25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excluding any such visits and inspections during the continuation of an Event of Default, only the Administrative Agent on behalf of the Lenders may exercise rights of the Administrative Agent and Lenders under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and the Administrative Agent shall not exercise such rights more often than two (2) times during any calendar year absent the existence of an Event of Default and only one (1) such time shall be at the U.S. Borrower’s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when an Event of Default exists the Administrative Agent or any Lender (or any of their respective representatives or independent contractors) may do any of the foregoing at the expense of the U.S. Borrower at any time during normal business hours and upon reasonable advance notice. The Administrative Agent and the Lenders shall give the U.S. Borrower the opportunity to participate in any discussions with the U.S. Borrower’s independent public accountants.</w:t>
      </w:r>
    </w:p>
    <w:p>
      <w:pPr>
        <w:spacing w:after="0" w:line="186" w:lineRule="exact"/>
        <w:rPr>
          <w:sz w:val="20"/>
          <w:szCs w:val="20"/>
          <w:color w:val="auto"/>
        </w:rPr>
      </w:pPr>
    </w:p>
    <w:p>
      <w:pPr>
        <w:ind w:right="320" w:firstLine="648"/>
        <w:spacing w:after="0" w:line="272" w:lineRule="auto"/>
        <w:rPr>
          <w:sz w:val="20"/>
          <w:szCs w:val="20"/>
          <w:color w:val="auto"/>
        </w:rPr>
      </w:pPr>
      <w:r>
        <w:rPr>
          <w:rFonts w:ascii="Arial" w:cs="Arial" w:eastAsia="Arial" w:hAnsi="Arial"/>
          <w:sz w:val="20"/>
          <w:szCs w:val="20"/>
          <w:b w:val="1"/>
          <w:bCs w:val="1"/>
          <w:color w:val="auto"/>
        </w:rPr>
        <w:t xml:space="preserve">6.11 </w:t>
      </w:r>
      <w:r>
        <w:rPr>
          <w:rFonts w:ascii="Arial" w:cs="Arial" w:eastAsia="Arial" w:hAnsi="Arial"/>
          <w:sz w:val="17"/>
          <w:szCs w:val="17"/>
          <w:b w:val="1"/>
          <w:bCs w:val="1"/>
          <w:u w:val="single" w:color="auto"/>
          <w:color w:val="auto"/>
        </w:rPr>
        <w:t>Use of Proceeds</w:t>
      </w:r>
      <w:r>
        <w:rPr>
          <w:rFonts w:ascii="Arial" w:cs="Arial" w:eastAsia="Arial" w:hAnsi="Arial"/>
          <w:sz w:val="17"/>
          <w:szCs w:val="17"/>
          <w:color w:val="auto"/>
        </w:rPr>
        <w:t>. Use the proceeds of the Credit Extensions (i) on the Fourth Restatement Date to pay fees and expenses incurred in</w:t>
      </w:r>
      <w:r>
        <w:rPr>
          <w:rFonts w:ascii="Arial" w:cs="Arial" w:eastAsia="Arial" w:hAnsi="Arial"/>
          <w:sz w:val="20"/>
          <w:szCs w:val="20"/>
          <w:b w:val="1"/>
          <w:bCs w:val="1"/>
          <w:color w:val="auto"/>
        </w:rPr>
        <w:t xml:space="preserve"> </w:t>
      </w:r>
      <w:r>
        <w:rPr>
          <w:rFonts w:ascii="Arial" w:cs="Arial" w:eastAsia="Arial" w:hAnsi="Arial"/>
          <w:sz w:val="17"/>
          <w:szCs w:val="17"/>
          <w:color w:val="auto"/>
        </w:rPr>
        <w:t>connection with the Fourth Restatement Date Transaction and (ii) after the Fourth Restatement Date to provide ongoing working capital and for general corporate purposes of the U.S. Borrower and the Restricted Subsidiaries and to pay any fees and expenses incurred in connection with the Fourth Restatement Date Transaction.</w:t>
      </w:r>
    </w:p>
    <w:p>
      <w:pPr>
        <w:spacing w:after="0" w:line="17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16"/>
          <w:szCs w:val="16"/>
          <w:b w:val="1"/>
          <w:bCs w:val="1"/>
          <w:u w:val="single" w:color="auto"/>
          <w:color w:val="auto"/>
        </w:rPr>
        <w:t>Compliance with Environmental Laws</w:t>
      </w:r>
      <w:r>
        <w:rPr>
          <w:rFonts w:ascii="Arial" w:cs="Arial" w:eastAsia="Arial" w:hAnsi="Arial"/>
          <w:sz w:val="16"/>
          <w:szCs w:val="16"/>
          <w:color w:val="auto"/>
        </w:rPr>
        <w:t>.</w:t>
      </w:r>
    </w:p>
    <w:p>
      <w:pPr>
        <w:spacing w:after="0" w:line="238" w:lineRule="exact"/>
        <w:rPr>
          <w:sz w:val="20"/>
          <w:szCs w:val="20"/>
          <w:color w:val="auto"/>
        </w:rPr>
      </w:pPr>
    </w:p>
    <w:p>
      <w:pPr>
        <w:ind w:right="80" w:firstLine="656"/>
        <w:spacing w:after="0" w:line="265" w:lineRule="auto"/>
        <w:tabs>
          <w:tab w:leader="none" w:pos="1048" w:val="left"/>
        </w:tabs>
        <w:numPr>
          <w:ilvl w:val="0"/>
          <w:numId w:val="149"/>
        </w:numPr>
        <w:rPr>
          <w:rFonts w:ascii="Arial" w:cs="Arial" w:eastAsia="Arial" w:hAnsi="Arial"/>
          <w:sz w:val="20"/>
          <w:szCs w:val="20"/>
          <w:color w:val="auto"/>
        </w:rPr>
      </w:pPr>
      <w:r>
        <w:rPr>
          <w:rFonts w:ascii="Arial" w:cs="Arial" w:eastAsia="Arial" w:hAnsi="Arial"/>
          <w:sz w:val="18"/>
          <w:szCs w:val="18"/>
          <w:color w:val="auto"/>
        </w:rPr>
        <w:t xml:space="preserve">Except to the extent that failure to do so, individually or in the aggregate, would not reasonably be expected to result in a Material Adverse Effect, (i) comply, and use commercially reasonable efforts to cause all lessees and other Persons occupying Real Property of any Loan Party to comply, in all material respects with all Environmental Laws and Environmental Permits applicable to its operations and Real Property; (ii) obtain and renew all material Environmental Permits applicable to its operations and Real Property; and (iii) conduct all Responses required by, and in accordance with, Environmental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Party shall be required to undertake any Response or perform any compliance activity to the extent that its obligation to do so is being contested in good faith and by proper actions and appropriate reserves are being maintained with respect to such circumstances in accordance with GAAP.</w:t>
      </w:r>
    </w:p>
    <w:p>
      <w:pPr>
        <w:spacing w:after="0" w:line="197" w:lineRule="exact"/>
        <w:rPr>
          <w:rFonts w:ascii="Arial" w:cs="Arial" w:eastAsia="Arial" w:hAnsi="Arial"/>
          <w:sz w:val="20"/>
          <w:szCs w:val="20"/>
          <w:color w:val="auto"/>
        </w:rPr>
      </w:pPr>
    </w:p>
    <w:p>
      <w:pPr>
        <w:ind w:firstLine="656"/>
        <w:spacing w:after="0" w:line="265" w:lineRule="auto"/>
        <w:tabs>
          <w:tab w:leader="none" w:pos="1058" w:val="left"/>
        </w:tabs>
        <w:numPr>
          <w:ilvl w:val="0"/>
          <w:numId w:val="149"/>
        </w:numPr>
        <w:rPr>
          <w:rFonts w:ascii="Arial" w:cs="Arial" w:eastAsia="Arial" w:hAnsi="Arial"/>
          <w:sz w:val="20"/>
          <w:szCs w:val="20"/>
          <w:color w:val="auto"/>
        </w:rPr>
      </w:pPr>
      <w:r>
        <w:rPr>
          <w:rFonts w:ascii="Arial" w:cs="Arial" w:eastAsia="Arial" w:hAnsi="Arial"/>
          <w:sz w:val="18"/>
          <w:szCs w:val="18"/>
          <w:color w:val="auto"/>
        </w:rPr>
        <w:t xml:space="preserve">If a Default caused by reason of a breach of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6.12(a)</w:t>
      </w:r>
      <w:r>
        <w:rPr>
          <w:rFonts w:ascii="Arial" w:cs="Arial" w:eastAsia="Arial" w:hAnsi="Arial"/>
          <w:sz w:val="18"/>
          <w:szCs w:val="18"/>
          <w:color w:val="auto"/>
        </w:rPr>
        <w:t xml:space="preserve"> shall have occurred and be continuing for more than 20 days without the Loan Parties commencing activities reasonably likely to cure such Default in accordance with Environmental Laws, at the written request of the Administrative Agent or the Required Lenders through the Administrative Agent, provide to the Lenders within 45 days after such request, at the expense of the U.S. Borrower, an environmental assessment report regarding the matters which are the subject of such Default, including, where and to the extent appropriate, soil and/or groundwater sampling in relation to the subject of such Default, prepared by an environmental consulting firm and, in form reasonably acceptable to the Administrative Agent and indicating the presence or absence of Hazardous Materials and the estimated cost of any compliance or Response to address them.</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6.13</w:t>
      </w:r>
      <w:r>
        <w:rPr>
          <w:sz w:val="20"/>
          <w:szCs w:val="20"/>
          <w:color w:val="auto"/>
        </w:rPr>
        <w:tab/>
      </w:r>
      <w:r>
        <w:rPr>
          <w:rFonts w:ascii="Arial" w:cs="Arial" w:eastAsia="Arial" w:hAnsi="Arial"/>
          <w:sz w:val="16"/>
          <w:szCs w:val="16"/>
          <w:b w:val="1"/>
          <w:bCs w:val="1"/>
          <w:u w:val="single" w:color="auto"/>
          <w:color w:val="auto"/>
        </w:rPr>
        <w:t>Additional Collateral; Additional Subsidiary Guarantors; Collateral and Covenant Release</w:t>
      </w:r>
      <w:r>
        <w:rPr>
          <w:rFonts w:ascii="Arial" w:cs="Arial" w:eastAsia="Arial" w:hAnsi="Arial"/>
          <w:sz w:val="16"/>
          <w:szCs w:val="16"/>
          <w:color w:val="auto"/>
        </w:rPr>
        <w:t>.</w:t>
      </w:r>
    </w:p>
    <w:p>
      <w:pPr>
        <w:spacing w:after="0" w:line="238" w:lineRule="exact"/>
        <w:rPr>
          <w:sz w:val="20"/>
          <w:szCs w:val="20"/>
          <w:color w:val="auto"/>
        </w:rPr>
      </w:pPr>
    </w:p>
    <w:p>
      <w:pPr>
        <w:ind w:right="100" w:firstLine="656"/>
        <w:spacing w:after="0" w:line="282" w:lineRule="auto"/>
        <w:tabs>
          <w:tab w:leader="none" w:pos="1048" w:val="left"/>
        </w:tabs>
        <w:numPr>
          <w:ilvl w:val="0"/>
          <w:numId w:val="150"/>
        </w:numPr>
        <w:rPr>
          <w:rFonts w:ascii="Arial" w:cs="Arial" w:eastAsia="Arial" w:hAnsi="Arial"/>
          <w:sz w:val="19"/>
          <w:szCs w:val="19"/>
          <w:color w:val="auto"/>
        </w:rPr>
      </w:pPr>
      <w:r>
        <w:rPr>
          <w:rFonts w:ascii="Arial" w:cs="Arial" w:eastAsia="Arial" w:hAnsi="Arial"/>
          <w:sz w:val="17"/>
          <w:szCs w:val="17"/>
          <w:color w:val="auto"/>
        </w:rPr>
        <w:t xml:space="preserve">Subject to the terms of this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and the Security Documents, with respect to any property of any Loan Party (other than the Canadian Borrower or the Dutch Borrower) that is intended to be subject to the Lien created by any of the Security Documents but is not so subject, promptly (and in any event within 30 days after the acquisition thereof or the occurrence of a Collateral and Covenant Trigger Date, as applicable, or such longer period as the Administrative Agent may agree in its discretion) (i) execute and deliver to the Administrative Agent and the Collateral Agent such amendments or supplements to the relevant Security Documents or such other documents as the Administrative Agent or the Collateral Agent shall reasonably deem necessary to grant to the Collateral Agent, for its benefit and for the benefit of the other Secured Parties, a First Priority Lien on such property subject to no Liens other than Permitted Liens, and (ii) take all actions necessary to cause such Lien to be duly perfected to the extent required by such Security Documents in accordance with all applicable law, including the filing of financing statements in such jurisdictions as may be reasonably requested by the Administrative Agent. The U.S. Borrower shall otherwise take such actions and execute and/or deliver to the Collateral Agent such documents as the Administrative Agent or the Collateral Agent shall reasonably require to confirm the validity, perfection and priority of the Lien of the Security Documents on such after-acquired properties.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557" w:right="339" w:bottom="1440" w:gutter="0" w:footer="0" w:header="0"/>
        </w:sectPr>
      </w:pPr>
    </w:p>
    <w:bookmarkStart w:id="173" w:name="page174"/>
    <w:bookmarkEnd w:id="173"/>
    <w:p>
      <w:pPr>
        <w:ind w:right="60" w:firstLine="648"/>
        <w:spacing w:after="0" w:line="284" w:lineRule="auto"/>
        <w:rPr>
          <w:sz w:val="20"/>
          <w:szCs w:val="20"/>
          <w:color w:val="auto"/>
        </w:rPr>
      </w:pPr>
      <w:r>
        <w:rPr>
          <w:rFonts w:ascii="Arial" w:cs="Arial" w:eastAsia="Arial" w:hAnsi="Arial"/>
          <w:sz w:val="16"/>
          <w:szCs w:val="16"/>
          <w:color w:val="auto"/>
        </w:rPr>
        <w:t xml:space="preserve">With respect to any Person that becomes a Wholly-Owned Domestic Restricted Subsidiary after the Closing Date (other than any Excluded Subsidiary) or the designation in accordance with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of any Wholly-Owned Subsidiary as a Wholly-Owned Domestic Restricted Subsidiary, promptly (i) deliver to the Collateral Agent the certificates, if any, representing the Equity Interests of each first-tier Wholly-Owned Restricted Subsidiary held by such Wholly-Owned Domestic Restricted Subsidiary, together with undated stock powers or other appropriate instruments of transfer executed and delivered in blank by a duly authorized officer of the holder(s) of such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that, only 65% of the outstanding Equity Interests of any first-tier Foreign Restricted Subsidiary of such Wholly-Owned Domestic Restricted Subsidiary shall be required to be delivered pursuant to this clause (i),</w:t>
      </w:r>
    </w:p>
    <w:p>
      <w:pPr>
        <w:spacing w:after="0" w:line="4" w:lineRule="exact"/>
        <w:rPr>
          <w:sz w:val="20"/>
          <w:szCs w:val="20"/>
          <w:color w:val="auto"/>
        </w:rPr>
      </w:pPr>
    </w:p>
    <w:p>
      <w:pPr>
        <w:ind w:right="60" w:firstLine="8"/>
        <w:spacing w:after="0" w:line="295" w:lineRule="auto"/>
        <w:tabs>
          <w:tab w:leader="none" w:pos="26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cause such new Wholly-Owned Domestic Restricted Subsidiary to execute joinder agreements to the Guarantee and the Security Agreement, substantially in the forms annexed thereto, and (iii) take all actions necessary in the reasonable opinion of the Administrative Agent or the Collateral Agent to cause the Liens created by the Security Agreement to be duly perfected to the extent required by such agreement in accordance with all applicable law, including the filing of financing statements in such jurisdictions as may be reasonably requested by the Administrative Agent or the Collateral Agent.</w:t>
      </w:r>
    </w:p>
    <w:p>
      <w:pPr>
        <w:spacing w:after="0" w:line="16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Promptly grant to the Collateral Agent, within 90 Business Days of the acquisition thereof or such longer period as the Administrative Agent may agree in its discretion, a security interest in and Mortgage on each Real Property owned in fee by any Loan Party (other than the Canadian Borrower and the Dutch Borrower) that is acquired by such Loan Party after the Closing Date and that, together with any improvements thereon, individually has a fair market value of at least $7,500,000, as additional security for the Secured Obligations (unless the subject property is already mortgaged to a third party to the extent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 no Mortgage shall be executed and delivered with respect to any Real Property unless and until each Lender has (x) received written notice thereof at least 45 days in advance of such execution and deliver, (y) received, at least 20 Business Days in advance of such execution and delivery, a life of loan flood zone determination and such other documents as it may reasonably request to complete its flood insurance due diligence and (z) confirmed to the Administrative Agent that flood insurance due diligence and flood insurance compliance has been completed to its satisfaction and (ii) to the extent the requirements in clause (i) are not satisfied prior to the end of the 90 Business Day period required above, such period shall be automatically extended to the date that is 10 Business Days after the date on which all requirements under clause (i) have been satisfied. Such Mortgages shall be granted pursuant to documentation reasonably satisfactory in form and substance to the Administrative Agent and the Collateral Agent and shall constitute valid and enforceable perfected Liens subject only to Permitted Liens or other Liens reasonably acceptable to the Collateral Agent. The Mortgages or instruments related thereto shall be duly recorded or filed in such manner and in such places as are required by law to establish, perfect, preserve and protect the Liens in favor of the Collateral Agent required to be granted pursuant to the Mortgages and all taxes, fees and other charges payable in connection therewith shall be paid in full. Such Loan Party (other than the Canadian Borrower and the Dutch Borrower) shall otherwise take such actions and execute and/or deliver to the Collateral Agent such documents as the Collateral Agent shall reasonably require to confirm the validity, perfection and priority of the Lien of any existing Mortgage or new Mortgage against such after-acquired Real Property (including a Title Policy, a Survey and local counsel opinion (in form and substance reasonably satisfactory to the Administrative Agent and the Collateral Agent) in respect of such Mortgage). Such Loan Party (other than the Canadian Borrower and the Dutch Borrower) shall deliver to the Collateral Agent a completed “Life-of-Loan” Federal Emergency Management Agency Standard Flood Hazard Determination with respect to each such Real Property (together with a notice about special flood hazard area status and flood disaster assistance duly executed by the U.S. Borrower and each Loan Party (other than the Canadian Borrower and the Dutch Borrower) relating thereto).</w:t>
      </w:r>
    </w:p>
    <w:p>
      <w:pPr>
        <w:spacing w:after="0" w:line="17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Notwithstanding anything to the contrary contained herein, (a) no actions in any non-U.S. jurisdiction shall be required under the Loan Documents in order to create any security interests in assets located or titled outside of the U.S. or to perfect any security interests (it being understood that there shall be no security agreements or pledge agreements governed under the laws of any non-U.S. jurisdiction, so long as all applicable equity interests that are certificated are in the possession of the Collateral Agent to the extent constituting Collateral), (b) deposit account and security account control agreements shall not be required under the Loan Documents, and (c) third party landlord and bailee waivers shall not be required under the Loan Documents.</w:t>
      </w:r>
    </w:p>
    <w:p>
      <w:pPr>
        <w:spacing w:after="0" w:line="175" w:lineRule="exact"/>
        <w:rPr>
          <w:sz w:val="20"/>
          <w:szCs w:val="20"/>
          <w:color w:val="auto"/>
        </w:rPr>
      </w:pPr>
    </w:p>
    <w:p>
      <w:pPr>
        <w:ind w:right="140" w:firstLine="656"/>
        <w:spacing w:after="0" w:line="264" w:lineRule="auto"/>
        <w:tabs>
          <w:tab w:leader="none" w:pos="1058" w:val="left"/>
        </w:tabs>
        <w:numPr>
          <w:ilvl w:val="0"/>
          <w:numId w:val="152"/>
        </w:numPr>
        <w:rPr>
          <w:rFonts w:ascii="Arial" w:cs="Arial" w:eastAsia="Arial" w:hAnsi="Arial"/>
          <w:sz w:val="20"/>
          <w:szCs w:val="20"/>
          <w:color w:val="auto"/>
        </w:rPr>
      </w:pPr>
      <w:r>
        <w:rPr>
          <w:rFonts w:ascii="Arial" w:cs="Arial" w:eastAsia="Arial" w:hAnsi="Arial"/>
          <w:sz w:val="18"/>
          <w:szCs w:val="18"/>
          <w:color w:val="auto"/>
        </w:rPr>
        <w:t>Notwithstanding the foregoing, (x) the Administrative Agent shall not take a security interest in those assets as to which the Administrative Agent shall determine, in its reasonable discretion, that the cost of obtaining such Lien (including any mortgage, stamp, intangibles or other tax) are excessive in relation to the benefit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773" w:right="339" w:bottom="1440" w:gutter="0" w:footer="0" w:header="0"/>
        </w:sectPr>
      </w:pPr>
    </w:p>
    <w:bookmarkStart w:id="174" w:name="page175"/>
    <w:bookmarkEnd w:id="174"/>
    <w:p>
      <w:pPr>
        <w:ind w:right="40"/>
        <w:spacing w:after="0" w:line="263" w:lineRule="auto"/>
        <w:rPr>
          <w:sz w:val="20"/>
          <w:szCs w:val="20"/>
          <w:color w:val="auto"/>
        </w:rPr>
      </w:pPr>
      <w:r>
        <w:rPr>
          <w:rFonts w:ascii="Arial" w:cs="Arial" w:eastAsia="Arial" w:hAnsi="Arial"/>
          <w:sz w:val="18"/>
          <w:szCs w:val="18"/>
          <w:color w:val="auto"/>
        </w:rPr>
        <w:t xml:space="preserve">to the Lenders of the security afforded thereby and (y) Liens required to be granted pursuant to this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shall be subject to exceptions and limitations consistent with those set forth in the Security Documents as in effect on the Fourth Restatement Date (to the extent appropriate in the applicable jurisdiction).</w:t>
      </w:r>
    </w:p>
    <w:p>
      <w:pPr>
        <w:spacing w:after="0" w:line="197" w:lineRule="exact"/>
        <w:rPr>
          <w:sz w:val="20"/>
          <w:szCs w:val="20"/>
          <w:color w:val="auto"/>
        </w:rPr>
      </w:pPr>
    </w:p>
    <w:p>
      <w:pPr>
        <w:ind w:firstLine="656"/>
        <w:spacing w:after="0" w:line="299" w:lineRule="auto"/>
        <w:tabs>
          <w:tab w:leader="none" w:pos="1048" w:val="left"/>
        </w:tabs>
        <w:numPr>
          <w:ilvl w:val="0"/>
          <w:numId w:val="153"/>
        </w:numPr>
        <w:rPr>
          <w:rFonts w:ascii="Arial" w:cs="Arial" w:eastAsia="Arial" w:hAnsi="Arial"/>
          <w:sz w:val="18"/>
          <w:szCs w:val="18"/>
          <w:color w:val="auto"/>
        </w:rPr>
      </w:pPr>
      <w:r>
        <w:rPr>
          <w:rFonts w:ascii="Arial" w:cs="Arial" w:eastAsia="Arial" w:hAnsi="Arial"/>
          <w:sz w:val="16"/>
          <w:szCs w:val="16"/>
          <w:color w:val="auto"/>
        </w:rPr>
        <w:t xml:space="preserve">Upon the occurrence of a Collateral and Covenant Release Date, (i)(A) any Liens granted to the Administrative Agent or the Collateral Agent, as the case may be, on any Collateral which remain in effect at such time (other than any such Liens in respect of Cash Collateral) shall be automatically released, (B) upon receipt by the Administrative Agent of written notice from the U.S. Borrower of the occurrence of a Collateral and Covenant Release Date, the Administrative Agent or the Collateral Agent, as the case may be, shall promptly execute and deliver any documents or instruments and authorize the recordation/filing, if applicable, of any termination statements, reasonably requested by the U.S. Borrower and in form and substance reasonably satisfactory to the Administrative Agent or the Collateral Agent, as the case may be, to evidence the release of such Liens, and the Administrative Agent or the Collateral Agent, as the case may be, shall promptly deliver all possessory Collateral to the Company (and to the extent any Lender has a Lien on Collateral as security for the Obligations (other than Cash Collateral), it shall comply with the foregoing requirements applicable to the Administrative Agent and the Collateral Agent), all at the expense of the U.S. Borrower, and (C) the Administrative Agent or the Collateral Agent, as the case may be, shall promptly advise all of Holdings’ and its Subsidiaries’ insurance carriers to terminate all lenders’ loss payee endorsements, (ii) the requirements of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to the extent they relate to the granting of Liens, shall be suspended and of no effect, and (iii) the requirements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6.02(e)</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6.02(i)</w:t>
      </w:r>
      <w:r>
        <w:rPr>
          <w:rFonts w:ascii="Arial" w:cs="Arial" w:eastAsia="Arial" w:hAnsi="Arial"/>
          <w:sz w:val="16"/>
          <w:szCs w:val="16"/>
          <w:color w:val="auto"/>
        </w:rPr>
        <w:t xml:space="preserve">, </w:t>
      </w:r>
      <w:r>
        <w:rPr>
          <w:rFonts w:ascii="Arial" w:cs="Arial" w:eastAsia="Arial" w:hAnsi="Arial"/>
          <w:sz w:val="16"/>
          <w:szCs w:val="16"/>
          <w:u w:val="single" w:color="auto"/>
          <w:color w:val="auto"/>
        </w:rPr>
        <w:t>6.15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7.14</w:t>
      </w:r>
      <w:r>
        <w:rPr>
          <w:rFonts w:ascii="Arial" w:cs="Arial" w:eastAsia="Arial" w:hAnsi="Arial"/>
          <w:sz w:val="16"/>
          <w:szCs w:val="16"/>
          <w:color w:val="auto"/>
        </w:rPr>
        <w:t xml:space="preserve"> shall be suspended and of no effect, unless and until, if ever, a subsequent Collateral and Covenant Trigger Date occurs following the occurrence of such Collateral and Covenant Release Date, at which time the requirements of </w:t>
      </w:r>
      <w:r>
        <w:rPr>
          <w:rFonts w:ascii="Arial" w:cs="Arial" w:eastAsia="Arial" w:hAnsi="Arial"/>
          <w:sz w:val="16"/>
          <w:szCs w:val="16"/>
          <w:u w:val="single" w:color="auto"/>
          <w:color w:val="auto"/>
        </w:rPr>
        <w:t>Sections 6.13(a)</w:t>
      </w:r>
      <w:r>
        <w:rPr>
          <w:rFonts w:ascii="Arial" w:cs="Arial" w:eastAsia="Arial" w:hAnsi="Arial"/>
          <w:sz w:val="16"/>
          <w:szCs w:val="16"/>
          <w:color w:val="auto"/>
        </w:rPr>
        <w:t xml:space="preserve"> (as it relates to the granting of Liens), </w:t>
      </w:r>
      <w:r>
        <w:rPr>
          <w:rFonts w:ascii="Arial" w:cs="Arial" w:eastAsia="Arial" w:hAnsi="Arial"/>
          <w:sz w:val="16"/>
          <w:szCs w:val="16"/>
          <w:u w:val="single" w:color="auto"/>
          <w:color w:val="auto"/>
        </w:rPr>
        <w:t>6.02(e)</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6.02(i)</w:t>
      </w:r>
      <w:r>
        <w:rPr>
          <w:rFonts w:ascii="Arial" w:cs="Arial" w:eastAsia="Arial" w:hAnsi="Arial"/>
          <w:sz w:val="16"/>
          <w:szCs w:val="16"/>
          <w:color w:val="auto"/>
        </w:rPr>
        <w:t xml:space="preserve">, </w:t>
      </w:r>
      <w:r>
        <w:rPr>
          <w:rFonts w:ascii="Arial" w:cs="Arial" w:eastAsia="Arial" w:hAnsi="Arial"/>
          <w:sz w:val="16"/>
          <w:szCs w:val="16"/>
          <w:u w:val="single" w:color="auto"/>
          <w:color w:val="auto"/>
        </w:rPr>
        <w:t>6.15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7.14</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Suspended Covenants</w:t>
      </w:r>
      <w:r>
        <w:rPr>
          <w:rFonts w:ascii="Arial" w:cs="Arial" w:eastAsia="Arial" w:hAnsi="Arial"/>
          <w:sz w:val="16"/>
          <w:szCs w:val="16"/>
          <w:color w:val="auto"/>
        </w:rPr>
        <w:t xml:space="preserve">”) shall again become fully effective and binding upon the U.S. Borrower and the other Loan Parties, as applicable, in all respects with respect to future events, and, in such case, the U.S. Borrower hereby acknowledges and agrees that it will, and will cause each other Loan Party (other than the Canadian Borrower and the Dutch Borrower) to, re-grant the security interests in the Collateral pursuant to documents substantially identical to the Security Documents within 30 days of such Collateral and Covenant Trigger Date (or such later date, not to exceed an additional 30 days, as may be agreed upon by the Administrative Agent) and take such other actions and execute and/or deliver to the Collateral Agent such filings, board resolutions, legal opinions, certificates and other documents as the Administrative Agent or the Collateral Agent shall reasonably require to confirm the validity and perfection of such security interests. Notwithstanding that the Suspended Covenants may be reinstated on a Collateral and Covenant Trigger Date, (i) in the event of any such reinstatement, no action taken or omitted to be taken by the U.S. Borrower or any of its Restricted Subsidiaries prior to such reinstatement will give rise to a Default or Event of Default under this Agreement solely as a result any failure be in compliance with any such Suspended Covenant, (ii) no Default or Event of Default shall be deemed to exist or have occurred as a result of any failure by the U.S. Borrower or any of its Restricted Subsidiaries to comply with the Suspended Covenants during any Collateral and Covenant Release Period, or, upon termination of the Collateral and Covenant Release Period, as a result of any action taken or event that occurred during the Collateral and Covenant Release Period, in each case, solely as a result any failure be in compliance with any such Suspended Covenant, and (iii) following a Collateral and Covenant Trigger Date, the U.S. Borrower and each of its Restricted Subsidiaries will be permitted, without causing a Default or Event of Default solely as a result of the reinstatement of any such Suspended Covenant, to honor, comply with or otherwise to perform any contractual commitments or obligations arising on or prior to such Collateral and Covenant Trigger Date and to consummate the transactions contemplated thereby, so long as such contractual commitments and obligations were not incurred in contemplation of the occurrence of such Collateral and Covenant Trigger Date. Notwithstanding anything to the contrary in this Agreement, all baskets, thresholds, caps and similar exceptions contained in any reinstated Suspended Covenant and/or </w:t>
      </w:r>
      <w:r>
        <w:rPr>
          <w:rFonts w:ascii="Arial" w:cs="Arial" w:eastAsia="Arial" w:hAnsi="Arial"/>
          <w:sz w:val="16"/>
          <w:szCs w:val="16"/>
          <w:u w:val="single" w:color="auto"/>
          <w:color w:val="auto"/>
        </w:rPr>
        <w:t>Sections 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7.09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7.15</w:t>
      </w:r>
      <w:r>
        <w:rPr>
          <w:rFonts w:ascii="Arial" w:cs="Arial" w:eastAsia="Arial" w:hAnsi="Arial"/>
          <w:sz w:val="16"/>
          <w:szCs w:val="16"/>
          <w:color w:val="auto"/>
        </w:rPr>
        <w:t xml:space="preserve"> shall be calculated and/or determined, for purposes of the U.S. Borrower’s and its Restricted Subsidiaries’ ability to utilize any such basket, threshold, cap or similar exception following the termination of any Collateral and Covenant Release Period, giving full effect to all Investments, Restricted Payments, Sale-Leaseback Transactions, prepayments of Subordinated Indebtedness and other applicable transactions made, consummated and/or outstanding, as applicable, prior to the termination of such Collateral and Covenant Release Period (or, so long as such contractual commitments and obligations were not incurred in contemplation of the occurrence of such Collateral and Covenant Trigger Date, contractual commitments or obligations arising on or prior to such Collateral and Covenant Trigger Date with respect to thereto which are consummated after a Collateral and Covenant Trigger Date) (with such Investments, Restricted Payments, Sale-Leaseback Transactions, prepayments of Subordinated Indebtedness and other applicable transactions being allocated by the U.S. Borrower in good faith to minimize any potential overages);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341" w:right="359" w:bottom="1440" w:gutter="0" w:footer="0" w:header="0"/>
        </w:sectPr>
      </w:pPr>
    </w:p>
    <w:bookmarkStart w:id="175" w:name="page176"/>
    <w:bookmarkEnd w:id="175"/>
    <w:p>
      <w:pPr>
        <w:ind w:right="140"/>
        <w:spacing w:after="0" w:line="290" w:lineRule="auto"/>
        <w:rPr>
          <w:sz w:val="20"/>
          <w:szCs w:val="20"/>
          <w:color w:val="auto"/>
        </w:rPr>
      </w:pPr>
      <w:r>
        <w:rPr>
          <w:rFonts w:ascii="Arial" w:cs="Arial" w:eastAsia="Arial" w:hAnsi="Arial"/>
          <w:sz w:val="16"/>
          <w:szCs w:val="16"/>
          <w:color w:val="auto"/>
        </w:rPr>
        <w:t xml:space="preserve">for the avoidance of doubt, any Investments, Restricted Payments, Sale-Leaseback Transactions, prepayments of Subordinated Indebtedness and other applicable transactions (or, so long as such contractual commitments and obligations were not incurred in contemplation of the occurrence of such Collateral and Covenant Trigger Date, contractual commitments or obligations arising on or prior to such Collateral and Covenant Trigger Date with respect to thereto which are consummated after a Collateral and Covenant Trigger Date) that exceed in the aggregate such applicable baskets, thresholds, caps or similar exceptions in any reinstated Suspended Covenant and/or Sections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7.09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7.15</w:t>
      </w:r>
      <w:r>
        <w:rPr>
          <w:rFonts w:ascii="Arial" w:cs="Arial" w:eastAsia="Arial" w:hAnsi="Arial"/>
          <w:sz w:val="16"/>
          <w:szCs w:val="16"/>
          <w:color w:val="auto"/>
        </w:rPr>
        <w:t xml:space="preserve"> shall not result in a Default or Event of Default under such reinstated Suspended Covenant or such Section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7.09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7.15</w:t>
      </w:r>
      <w:r>
        <w:rPr>
          <w:rFonts w:ascii="Arial" w:cs="Arial" w:eastAsia="Arial" w:hAnsi="Arial"/>
          <w:sz w:val="16"/>
          <w:szCs w:val="16"/>
          <w:color w:val="auto"/>
        </w:rPr>
        <w:t xml:space="preserve"> solely as a result of such excess on such Collateral and Covenant Trigger Date. It is understood that, if a Collateral and Covenant Release Period terminates as provided in this paragraph (c) above, a Collateral and Covenant Release Period may commence again if the requirements of this paragraph (c) above are subsequently satisfied.</w:t>
      </w:r>
    </w:p>
    <w:p>
      <w:pPr>
        <w:spacing w:after="0" w:line="157"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b w:val="1"/>
          <w:bCs w:val="1"/>
          <w:color w:val="auto"/>
        </w:rPr>
        <w:t xml:space="preserve">6.14 </w:t>
      </w:r>
      <w:r>
        <w:rPr>
          <w:rFonts w:ascii="Arial" w:cs="Arial" w:eastAsia="Arial" w:hAnsi="Arial"/>
          <w:sz w:val="16"/>
          <w:szCs w:val="16"/>
          <w:b w:val="1"/>
          <w:bCs w:val="1"/>
          <w:u w:val="single" w:color="auto"/>
          <w:color w:val="auto"/>
        </w:rPr>
        <w:t>Further Assurances</w:t>
      </w:r>
      <w:r>
        <w:rPr>
          <w:rFonts w:ascii="Arial" w:cs="Arial" w:eastAsia="Arial" w:hAnsi="Arial"/>
          <w:sz w:val="16"/>
          <w:szCs w:val="16"/>
          <w:b w:val="1"/>
          <w:bCs w:val="1"/>
          <w:color w:val="auto"/>
        </w:rPr>
        <w:t>.</w:t>
      </w:r>
      <w:r>
        <w:rPr>
          <w:rFonts w:ascii="Arial" w:cs="Arial" w:eastAsia="Arial" w:hAnsi="Arial"/>
          <w:sz w:val="19"/>
          <w:szCs w:val="19"/>
          <w:b w:val="1"/>
          <w:bCs w:val="1"/>
          <w:color w:val="auto"/>
        </w:rPr>
        <w:t xml:space="preserve"> </w:t>
      </w:r>
      <w:r>
        <w:rPr>
          <w:rFonts w:ascii="Arial" w:cs="Arial" w:eastAsia="Arial" w:hAnsi="Arial"/>
          <w:sz w:val="16"/>
          <w:szCs w:val="16"/>
          <w:color w:val="auto"/>
        </w:rPr>
        <w:t>Promptly upon the reasonable request by the Administrative Agent, or any Lender through the Administrative Agent,</w:t>
      </w:r>
      <w:r>
        <w:rPr>
          <w:rFonts w:ascii="Arial" w:cs="Arial" w:eastAsia="Arial" w:hAnsi="Arial"/>
          <w:sz w:val="19"/>
          <w:szCs w:val="19"/>
          <w:b w:val="1"/>
          <w:bCs w:val="1"/>
          <w:color w:val="auto"/>
        </w:rPr>
        <w:t xml:space="preserve"> </w:t>
      </w:r>
      <w:r>
        <w:rPr>
          <w:rFonts w:ascii="Arial" w:cs="Arial" w:eastAsia="Arial" w:hAnsi="Arial"/>
          <w:sz w:val="16"/>
          <w:szCs w:val="16"/>
          <w:color w:val="auto"/>
        </w:rPr>
        <w:t>correct any material defect or error that may be discovered in any Loan Document or in the execution, acknowledgment, filing or recordation thereof.</w:t>
      </w:r>
    </w:p>
    <w:p>
      <w:pPr>
        <w:spacing w:after="0" w:line="149" w:lineRule="exact"/>
        <w:rPr>
          <w:sz w:val="20"/>
          <w:szCs w:val="20"/>
          <w:color w:val="auto"/>
        </w:rPr>
      </w:pPr>
    </w:p>
    <w:p>
      <w:pPr>
        <w:ind w:right="20" w:firstLine="648"/>
        <w:spacing w:after="0" w:line="279" w:lineRule="auto"/>
        <w:rPr>
          <w:sz w:val="20"/>
          <w:szCs w:val="20"/>
          <w:color w:val="auto"/>
        </w:rPr>
      </w:pPr>
      <w:r>
        <w:rPr>
          <w:rFonts w:ascii="Arial" w:cs="Arial" w:eastAsia="Arial" w:hAnsi="Arial"/>
          <w:sz w:val="20"/>
          <w:szCs w:val="20"/>
          <w:b w:val="1"/>
          <w:bCs w:val="1"/>
          <w:color w:val="auto"/>
        </w:rPr>
        <w:t xml:space="preserve">6.15 </w:t>
      </w:r>
      <w:r>
        <w:rPr>
          <w:rFonts w:ascii="Arial" w:cs="Arial" w:eastAsia="Arial" w:hAnsi="Arial"/>
          <w:sz w:val="17"/>
          <w:szCs w:val="17"/>
          <w:b w:val="1"/>
          <w:bCs w:val="1"/>
          <w:u w:val="single" w:color="auto"/>
          <w:color w:val="auto"/>
        </w:rPr>
        <w:t>Information Regarding Collateral</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Except during a Collateral and Covenant Release Period, not effect any change (i) in any Loan Party’s</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(other than the Canadian Borrower’s and the Dutch Borrower’s) legal name, (ii) in the location of any Loan Party’s (other than the Canadian Borrower’s and the Dutch Borrower’s) chief executive office, (iii) in any Loan Party’s (other than the Canadian Borrower’s and the Dutch Borrower’s) organizational structure or organizational identification number, if any, or (iv) in any Loan Party’s (other than the Canadian Borrower’s and the Dutch Borrower’s) jurisdiction of organization (in each case, including by merging with or into any other entity, reorganizing, dissolving, liquidating, reorganizing or organizing in any other jurisdiction), until (A) it shall have given the Collateral Agent and the Administrative Agent not less than 10 days’ prior written notice, or such lesser notice period agreed to by the Collateral Agent, of its intention so to do, clearly describing such change and providing such other information in connection therewith as the Collateral Agent or the Administrative Agent may reasonably request and (B) subject to </w:t>
      </w:r>
      <w:r>
        <w:rPr>
          <w:rFonts w:ascii="Arial" w:cs="Arial" w:eastAsia="Arial" w:hAnsi="Arial"/>
          <w:sz w:val="17"/>
          <w:szCs w:val="17"/>
          <w:u w:val="single" w:color="auto"/>
          <w:color w:val="auto"/>
        </w:rPr>
        <w:t>Section 6.13(c)</w:t>
      </w:r>
      <w:r>
        <w:rPr>
          <w:rFonts w:ascii="Arial" w:cs="Arial" w:eastAsia="Arial" w:hAnsi="Arial"/>
          <w:sz w:val="17"/>
          <w:szCs w:val="17"/>
          <w:color w:val="auto"/>
        </w:rPr>
        <w:t>, it shall have taken all action reasonably requested by the Collateral Agent to maintain (to the extent provided in the applicable Security Document) the perfection and priority of the security interest of the Collateral Agent for the benefit of the Secured Parties in the Collateral. Each Loan Party (other than the Canadian Borrower and the Dutch Borrower) agrees to promptly provide the Collateral Agent with certified Organization Documents reflecting any of the changes described in the preceding sentence.</w:t>
      </w:r>
    </w:p>
    <w:p>
      <w:pPr>
        <w:spacing w:after="0" w:line="163"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b w:val="1"/>
          <w:bCs w:val="1"/>
          <w:color w:val="auto"/>
        </w:rPr>
        <w:t xml:space="preserve">6.16 </w:t>
      </w:r>
      <w:r>
        <w:rPr>
          <w:rFonts w:ascii="Arial" w:cs="Arial" w:eastAsia="Arial" w:hAnsi="Arial"/>
          <w:sz w:val="16"/>
          <w:szCs w:val="16"/>
          <w:b w:val="1"/>
          <w:bCs w:val="1"/>
          <w:u w:val="single" w:color="auto"/>
          <w:color w:val="auto"/>
        </w:rPr>
        <w:t>Designation of Subsidiaries</w:t>
      </w:r>
      <w:r>
        <w:rPr>
          <w:rFonts w:ascii="Arial" w:cs="Arial" w:eastAsia="Arial" w:hAnsi="Arial"/>
          <w:sz w:val="16"/>
          <w:szCs w:val="16"/>
          <w:b w:val="1"/>
          <w:bCs w:val="1"/>
          <w:color w:val="auto"/>
        </w:rPr>
        <w:t>.</w:t>
      </w:r>
      <w:r>
        <w:rPr>
          <w:rFonts w:ascii="Arial" w:cs="Arial" w:eastAsia="Arial" w:hAnsi="Arial"/>
          <w:sz w:val="19"/>
          <w:szCs w:val="19"/>
          <w:b w:val="1"/>
          <w:bCs w:val="1"/>
          <w:color w:val="auto"/>
        </w:rPr>
        <w:t xml:space="preserve"> </w:t>
      </w:r>
      <w:r>
        <w:rPr>
          <w:rFonts w:ascii="Arial" w:cs="Arial" w:eastAsia="Arial" w:hAnsi="Arial"/>
          <w:sz w:val="16"/>
          <w:szCs w:val="16"/>
          <w:color w:val="auto"/>
        </w:rPr>
        <w:t>The Board of Directors of the U.S. Borrower may at any time after the Fourth Restatement Date designate</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any Restricted Subsidiary as an Unrestricted Subsidiary (including any newly acquired or newly formed Restricted Subsidiary at or prior to the time it is so acquired or formed)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else in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to the contrary, any Unrestricted Subsidiary that has been redesignated a Restricted Subsidiary may not be subsequently redesignated as an Unrestricted Subsidiary. The designation of any Subsidiary as an Unrestricted Subsidiary after the Fourth Restatement Date shall constitute an Investment by the U.S. Borrower and its Restricted Subsidiaries, as applicable, therein at the date of designation in an amount equal to the fair market value, as determined by the U.S. Borrower in good faith, of the applicable parties’ investment therein. The designation of any Unrestricted Subsidiary as a Restricted Subsidiary shall constitute (i) the incurrence at the time of designation of any Indebtedness or Liens of such Subsidiary existing at such time and (ii) a return on any Investment by the U.S. Borrower or any Restricted Subsidiary in Unrestricted Subsidiaries pursuant to the preceding sentence in an amount equal to the fair market value, as determined by the U.S. Borrower in good faith, at the date of such designation of Borrower’s and its Restricted Subsidiaries’ (as applicable) Investment in such Subsidiary. As of the Fourth Restatement Date, there are no Unrestricted Subsidiaries of the U.S. Borrower.</w:t>
      </w:r>
    </w:p>
    <w:p>
      <w:pPr>
        <w:spacing w:after="0" w:line="15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VII</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(other than (A) contingent indemnification obligations and (B) obligations and liabilities under Swap Contracts and Treasury Management Agreements not then due and payable), or any Letter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341" w:right="339" w:bottom="1440" w:gutter="0" w:footer="0" w:header="0"/>
        </w:sectPr>
      </w:pPr>
    </w:p>
    <w:bookmarkStart w:id="176" w:name="page177"/>
    <w:bookmarkEnd w:id="176"/>
    <w:p>
      <w:pPr>
        <w:ind w:right="160"/>
        <w:spacing w:after="0" w:line="277" w:lineRule="auto"/>
        <w:rPr>
          <w:sz w:val="20"/>
          <w:szCs w:val="20"/>
          <w:color w:val="auto"/>
        </w:rPr>
      </w:pPr>
      <w:r>
        <w:rPr>
          <w:rFonts w:ascii="Arial" w:cs="Arial" w:eastAsia="Arial" w:hAnsi="Arial"/>
          <w:sz w:val="18"/>
          <w:szCs w:val="18"/>
          <w:color w:val="auto"/>
        </w:rPr>
        <w:t>of Credit shall remain outstanding (other than Letters of Credit as to which arrangements reasonably satisfactory to the Administrative Agent and the L/C Issuers shall have been made), the U.S. Borrower shall not, and shall not permit any Restricted Subsidiary to:</w:t>
      </w:r>
    </w:p>
    <w:p>
      <w:pPr>
        <w:spacing w:after="0" w:line="162" w:lineRule="exact"/>
        <w:rPr>
          <w:sz w:val="20"/>
          <w:szCs w:val="20"/>
          <w:color w:val="auto"/>
        </w:rPr>
      </w:pPr>
    </w:p>
    <w:p>
      <w:pPr>
        <w:ind w:right="160" w:firstLine="648"/>
        <w:spacing w:after="0" w:line="262" w:lineRule="auto"/>
        <w:rPr>
          <w:sz w:val="20"/>
          <w:szCs w:val="20"/>
          <w:color w:val="auto"/>
        </w:rPr>
      </w:pPr>
      <w:r>
        <w:rPr>
          <w:rFonts w:ascii="Arial" w:cs="Arial" w:eastAsia="Arial" w:hAnsi="Arial"/>
          <w:sz w:val="20"/>
          <w:szCs w:val="20"/>
          <w:b w:val="1"/>
          <w:bCs w:val="1"/>
          <w:color w:val="auto"/>
        </w:rPr>
        <w:t xml:space="preserve">7.01 </w:t>
      </w:r>
      <w:r>
        <w:rPr>
          <w:rFonts w:ascii="Arial" w:cs="Arial" w:eastAsia="Arial" w:hAnsi="Arial"/>
          <w:sz w:val="17"/>
          <w:szCs w:val="17"/>
          <w:b w:val="1"/>
          <w:bCs w:val="1"/>
          <w:u w:val="single" w:color="auto"/>
          <w:color w:val="auto"/>
        </w:rPr>
        <w:t>Liens</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Create, incur, assume or suffer to exist any Lien upon any of their assets, whether now owned or hereafter acquired, other than the</w:t>
      </w:r>
      <w:r>
        <w:rPr>
          <w:rFonts w:ascii="Arial" w:cs="Arial" w:eastAsia="Arial" w:hAnsi="Arial"/>
          <w:sz w:val="20"/>
          <w:szCs w:val="20"/>
          <w:b w:val="1"/>
          <w:bCs w:val="1"/>
          <w:color w:val="auto"/>
        </w:rPr>
        <w:t xml:space="preserve"> </w:t>
      </w:r>
      <w:r>
        <w:rPr>
          <w:rFonts w:ascii="Arial" w:cs="Arial" w:eastAsia="Arial" w:hAnsi="Arial"/>
          <w:sz w:val="17"/>
          <w:szCs w:val="17"/>
          <w:color w:val="auto"/>
        </w:rPr>
        <w:t>following (“</w:t>
      </w:r>
      <w:r>
        <w:rPr>
          <w:rFonts w:ascii="Arial" w:cs="Arial" w:eastAsia="Arial" w:hAnsi="Arial"/>
          <w:sz w:val="17"/>
          <w:szCs w:val="17"/>
          <w:u w:val="single" w:color="auto"/>
          <w:color w:val="auto"/>
        </w:rPr>
        <w:t>Permitted Liens</w:t>
      </w:r>
      <w:r>
        <w:rPr>
          <w:rFonts w:ascii="Arial" w:cs="Arial" w:eastAsia="Arial" w:hAnsi="Arial"/>
          <w:sz w:val="17"/>
          <w:szCs w:val="17"/>
          <w:color w:val="auto"/>
        </w:rPr>
        <w:t>”):</w:t>
      </w:r>
    </w:p>
    <w:p>
      <w:pPr>
        <w:spacing w:after="0" w:line="195" w:lineRule="exact"/>
        <w:rPr>
          <w:sz w:val="20"/>
          <w:szCs w:val="20"/>
          <w:color w:val="auto"/>
        </w:rPr>
      </w:pPr>
    </w:p>
    <w:p>
      <w:pPr>
        <w:ind w:left="1700" w:hanging="396"/>
        <w:spacing w:after="0"/>
        <w:tabs>
          <w:tab w:leader="none" w:pos="1700" w:val="left"/>
        </w:tabs>
        <w:numPr>
          <w:ilvl w:val="1"/>
          <w:numId w:val="154"/>
        </w:numPr>
        <w:rPr>
          <w:rFonts w:ascii="Arial" w:cs="Arial" w:eastAsia="Arial" w:hAnsi="Arial"/>
          <w:sz w:val="20"/>
          <w:szCs w:val="20"/>
          <w:color w:val="auto"/>
        </w:rPr>
      </w:pPr>
      <w:r>
        <w:rPr>
          <w:rFonts w:ascii="Arial" w:cs="Arial" w:eastAsia="Arial" w:hAnsi="Arial"/>
          <w:sz w:val="18"/>
          <w:szCs w:val="18"/>
          <w:color w:val="auto"/>
        </w:rPr>
        <w:t>Liens in favor of the Collateral Agent for the benefit of the Secured Parties granted pursuant to any Loan Document;</w:t>
      </w:r>
    </w:p>
    <w:p>
      <w:pPr>
        <w:spacing w:after="0" w:line="215" w:lineRule="exact"/>
        <w:rPr>
          <w:rFonts w:ascii="Arial" w:cs="Arial" w:eastAsia="Arial" w:hAnsi="Arial"/>
          <w:sz w:val="20"/>
          <w:szCs w:val="20"/>
          <w:color w:val="auto"/>
        </w:rPr>
      </w:pPr>
    </w:p>
    <w:p>
      <w:pPr>
        <w:ind w:left="660" w:right="100" w:firstLine="644"/>
        <w:spacing w:after="0" w:line="310" w:lineRule="auto"/>
        <w:tabs>
          <w:tab w:leader="none" w:pos="1718" w:val="left"/>
        </w:tabs>
        <w:numPr>
          <w:ilvl w:val="1"/>
          <w:numId w:val="154"/>
        </w:numPr>
        <w:rPr>
          <w:rFonts w:ascii="Arial" w:cs="Arial" w:eastAsia="Arial" w:hAnsi="Arial"/>
          <w:sz w:val="18"/>
          <w:szCs w:val="18"/>
          <w:color w:val="auto"/>
        </w:rPr>
      </w:pPr>
      <w:r>
        <w:rPr>
          <w:rFonts w:ascii="Arial" w:cs="Arial" w:eastAsia="Arial" w:hAnsi="Arial"/>
          <w:sz w:val="16"/>
          <w:szCs w:val="16"/>
          <w:color w:val="auto"/>
        </w:rPr>
        <w:t xml:space="preserve">Liens for taxes (i) not overdue for thirty days, (ii) less than $1,500,000 in the aggregate </w:t>
      </w:r>
      <w:r>
        <w:rPr>
          <w:rFonts w:ascii="Arial" w:cs="Arial" w:eastAsia="Arial" w:hAnsi="Arial"/>
          <w:sz w:val="16"/>
          <w:szCs w:val="16"/>
          <w:color w:val="auto"/>
          <w:strike w:val="1"/>
        </w:rPr>
        <w:t>or</w:t>
      </w:r>
      <w:r>
        <w:rPr>
          <w:rFonts w:ascii="Arial" w:cs="Arial" w:eastAsia="Arial" w:hAnsi="Arial"/>
          <w:sz w:val="16"/>
          <w:szCs w:val="16"/>
          <w:u w:val="single" w:color="auto"/>
          <w:color w:val="auto"/>
        </w:rPr>
        <w:t>,</w:t>
      </w:r>
      <w:r>
        <w:rPr>
          <w:rFonts w:ascii="Arial" w:cs="Arial" w:eastAsia="Arial" w:hAnsi="Arial"/>
          <w:sz w:val="16"/>
          <w:szCs w:val="16"/>
          <w:color w:val="auto"/>
        </w:rPr>
        <w:t xml:space="preserve"> (iii) which are being contested in good faith by appropriate actions promptly instituted and diligently conducted </w:t>
      </w:r>
      <w:r>
        <w:rPr>
          <w:rFonts w:ascii="Arial" w:cs="Arial" w:eastAsia="Arial" w:hAnsi="Arial"/>
          <w:sz w:val="16"/>
          <w:szCs w:val="16"/>
          <w:u w:val="single" w:color="auto"/>
          <w:color w:val="auto"/>
        </w:rPr>
        <w:t>*or (iv) during the Restricted Period, that are the subject of any deferral,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forbearance or similar action by any Governmental Authority to the extent such deferral, forbearance or similar action is ongoing;*</w:t>
      </w:r>
    </w:p>
    <w:p>
      <w:pPr>
        <w:spacing w:after="0" w:line="161" w:lineRule="exact"/>
        <w:rPr>
          <w:rFonts w:ascii="Arial" w:cs="Arial" w:eastAsia="Arial" w:hAnsi="Arial"/>
          <w:sz w:val="18"/>
          <w:szCs w:val="18"/>
          <w:color w:val="auto"/>
        </w:rPr>
      </w:pPr>
    </w:p>
    <w:p>
      <w:pPr>
        <w:ind w:left="660" w:right="20" w:firstLine="644"/>
        <w:spacing w:after="0" w:line="290" w:lineRule="auto"/>
        <w:tabs>
          <w:tab w:leader="none" w:pos="1708" w:val="left"/>
        </w:tabs>
        <w:numPr>
          <w:ilvl w:val="1"/>
          <w:numId w:val="154"/>
        </w:numPr>
        <w:rPr>
          <w:rFonts w:ascii="Arial" w:cs="Arial" w:eastAsia="Arial" w:hAnsi="Arial"/>
          <w:sz w:val="18"/>
          <w:szCs w:val="18"/>
          <w:color w:val="auto"/>
        </w:rPr>
      </w:pPr>
      <w:r>
        <w:rPr>
          <w:rFonts w:ascii="Arial" w:cs="Arial" w:eastAsia="Arial" w:hAnsi="Arial"/>
          <w:sz w:val="16"/>
          <w:szCs w:val="16"/>
          <w:color w:val="auto"/>
        </w:rPr>
        <w:t xml:space="preserve">inchoate statutory Liens of landlords, carriers, warehousemen, mechanics, repairmen, workmen and materialmen, and other Liens imposed by law (other than any such Lien imposed pursuant to Section 436(f) or 430(k) of the Code or by ERISA), in each case incurred in the ordinary course of business for amounts not yet overdue for thirty days, or for amounts that are overdue and that (i) are less than $1,500,000 in the aggregate </w:t>
      </w:r>
      <w:r>
        <w:rPr>
          <w:rFonts w:ascii="Arial" w:cs="Arial" w:eastAsia="Arial" w:hAnsi="Arial"/>
          <w:sz w:val="16"/>
          <w:szCs w:val="16"/>
          <w:u w:val="single" w:color="auto"/>
          <w:color w:val="auto"/>
        </w:rPr>
        <w:t>*or, during the Restricted Period, $65,000,000 in the aggregate, taken together with amounts incurred pursuant to Section 7.01(w))*</w:t>
      </w:r>
      <w:r>
        <w:rPr>
          <w:rFonts w:ascii="Arial" w:cs="Arial" w:eastAsia="Arial" w:hAnsi="Arial"/>
          <w:sz w:val="16"/>
          <w:szCs w:val="16"/>
          <w:color w:val="auto"/>
        </w:rPr>
        <w:t xml:space="preserve"> or</w:t>
      </w:r>
    </w:p>
    <w:p>
      <w:pPr>
        <w:spacing w:after="0" w:line="1" w:lineRule="exact"/>
        <w:rPr>
          <w:rFonts w:ascii="Arial" w:cs="Arial" w:eastAsia="Arial" w:hAnsi="Arial"/>
          <w:sz w:val="18"/>
          <w:szCs w:val="18"/>
          <w:color w:val="auto"/>
        </w:rPr>
      </w:pPr>
    </w:p>
    <w:p>
      <w:pPr>
        <w:ind w:left="660" w:right="20" w:hanging="4"/>
        <w:spacing w:after="0" w:line="358" w:lineRule="auto"/>
        <w:tabs>
          <w:tab w:leader="none" w:pos="92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the case of any such amounts overdue for a period in excess of thirty days) are being contested in good faith by appropriate actions, so long as such reserves or other appropriate provisions, if any, as shall be required by GAAP shall have been made for any such contested amounts;</w:t>
      </w:r>
    </w:p>
    <w:p>
      <w:pPr>
        <w:spacing w:after="0" w:line="125" w:lineRule="exact"/>
        <w:rPr>
          <w:rFonts w:ascii="Arial" w:cs="Arial" w:eastAsia="Arial" w:hAnsi="Arial"/>
          <w:sz w:val="16"/>
          <w:szCs w:val="16"/>
          <w:color w:val="auto"/>
        </w:rPr>
      </w:pPr>
    </w:p>
    <w:p>
      <w:pPr>
        <w:ind w:left="660" w:firstLine="644"/>
        <w:spacing w:after="0" w:line="283" w:lineRule="auto"/>
        <w:tabs>
          <w:tab w:leader="none" w:pos="1718" w:val="left"/>
        </w:tabs>
        <w:numPr>
          <w:ilvl w:val="1"/>
          <w:numId w:val="155"/>
        </w:numPr>
        <w:rPr>
          <w:rFonts w:ascii="Arial" w:cs="Arial" w:eastAsia="Arial" w:hAnsi="Arial"/>
          <w:sz w:val="19"/>
          <w:szCs w:val="19"/>
          <w:color w:val="auto"/>
        </w:rPr>
      </w:pPr>
      <w:r>
        <w:rPr>
          <w:rFonts w:ascii="Arial" w:cs="Arial" w:eastAsia="Arial" w:hAnsi="Arial"/>
          <w:sz w:val="17"/>
          <w:szCs w:val="17"/>
          <w:color w:val="auto"/>
        </w:rPr>
        <w:t>Liens incurred in the ordinary course of business in connection with workers’ compensation, unemployment insurance and other types of social security, or to secure the performance of tenders, statutory obligations, surety bonds (other than bonds related to judgments or litigation) and appeal bonds, bids, leases, government contracts, trade contracts, performance and return-of-money bonds and other similar obligations of a like nature incurred in the ordinary course of business (exclusive of obligations for the payment of borrowed money or other Indebtedness), so long as no foreclosure, sale or similar proceedings have been commenced with respect to any portion of the Collateral on account thereof and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U.S. Borrower or any of its Restricted Subsidiaries;</w:t>
      </w:r>
    </w:p>
    <w:p>
      <w:pPr>
        <w:spacing w:after="0" w:line="180" w:lineRule="exact"/>
        <w:rPr>
          <w:rFonts w:ascii="Arial" w:cs="Arial" w:eastAsia="Arial" w:hAnsi="Arial"/>
          <w:sz w:val="19"/>
          <w:szCs w:val="19"/>
          <w:color w:val="auto"/>
        </w:rPr>
      </w:pPr>
    </w:p>
    <w:p>
      <w:pPr>
        <w:ind w:left="660" w:right="160" w:firstLine="644"/>
        <w:spacing w:after="0" w:line="264" w:lineRule="auto"/>
        <w:tabs>
          <w:tab w:leader="none" w:pos="1708" w:val="left"/>
        </w:tabs>
        <w:numPr>
          <w:ilvl w:val="1"/>
          <w:numId w:val="155"/>
        </w:numPr>
        <w:rPr>
          <w:rFonts w:ascii="Arial" w:cs="Arial" w:eastAsia="Arial" w:hAnsi="Arial"/>
          <w:sz w:val="20"/>
          <w:szCs w:val="20"/>
          <w:color w:val="auto"/>
        </w:rPr>
      </w:pPr>
      <w:r>
        <w:rPr>
          <w:rFonts w:ascii="Arial" w:cs="Arial" w:eastAsia="Arial" w:hAnsi="Arial"/>
          <w:sz w:val="18"/>
          <w:szCs w:val="18"/>
          <w:color w:val="auto"/>
        </w:rPr>
        <w:t>easements, rights-of-way, restrictions, encroachments, other minor defects or irregularities in title, and leases or subleases, in each case which do not and will not interfere in any material respect with the ordinary conduct of the business of the U.S. Borrower or any of its Restricted Subsidiaries;</w:t>
      </w:r>
    </w:p>
    <w:p>
      <w:pPr>
        <w:spacing w:after="0" w:line="196" w:lineRule="exact"/>
        <w:rPr>
          <w:rFonts w:ascii="Arial" w:cs="Arial" w:eastAsia="Arial" w:hAnsi="Arial"/>
          <w:sz w:val="20"/>
          <w:szCs w:val="20"/>
          <w:color w:val="auto"/>
        </w:rPr>
      </w:pPr>
    </w:p>
    <w:p>
      <w:pPr>
        <w:ind w:left="660" w:right="180" w:firstLine="644"/>
        <w:spacing w:after="0" w:line="329" w:lineRule="auto"/>
        <w:tabs>
          <w:tab w:leader="none" w:pos="1686" w:val="left"/>
        </w:tabs>
        <w:numPr>
          <w:ilvl w:val="1"/>
          <w:numId w:val="155"/>
        </w:numPr>
        <w:rPr>
          <w:rFonts w:ascii="Arial" w:cs="Arial" w:eastAsia="Arial" w:hAnsi="Arial"/>
          <w:sz w:val="18"/>
          <w:szCs w:val="18"/>
          <w:color w:val="auto"/>
        </w:rPr>
      </w:pPr>
      <w:r>
        <w:rPr>
          <w:rFonts w:ascii="Arial" w:cs="Arial" w:eastAsia="Arial" w:hAnsi="Arial"/>
          <w:sz w:val="16"/>
          <w:szCs w:val="16"/>
          <w:color w:val="auto"/>
        </w:rPr>
        <w:t>any interest or title of a lessor or sublessor under any lease of real estate permitted hereunder entered into by the U.S. Borrower or any Restricted Subsidiary in the ordinary course of its business covering only the assets so leased of real estate permitted hereunder;</w:t>
      </w:r>
    </w:p>
    <w:p>
      <w:pPr>
        <w:spacing w:after="0" w:line="139" w:lineRule="exact"/>
        <w:rPr>
          <w:rFonts w:ascii="Arial" w:cs="Arial" w:eastAsia="Arial" w:hAnsi="Arial"/>
          <w:sz w:val="18"/>
          <w:szCs w:val="18"/>
          <w:color w:val="auto"/>
        </w:rPr>
      </w:pPr>
    </w:p>
    <w:p>
      <w:pPr>
        <w:ind w:left="1720" w:hanging="416"/>
        <w:spacing w:after="0"/>
        <w:tabs>
          <w:tab w:leader="none" w:pos="1720" w:val="left"/>
        </w:tabs>
        <w:numPr>
          <w:ilvl w:val="1"/>
          <w:numId w:val="155"/>
        </w:numPr>
        <w:rPr>
          <w:rFonts w:ascii="Arial" w:cs="Arial" w:eastAsia="Arial" w:hAnsi="Arial"/>
          <w:sz w:val="20"/>
          <w:szCs w:val="20"/>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right="480" w:firstLine="644"/>
        <w:spacing w:after="0" w:line="329" w:lineRule="auto"/>
        <w:tabs>
          <w:tab w:leader="none" w:pos="1718" w:val="left"/>
        </w:tabs>
        <w:numPr>
          <w:ilvl w:val="1"/>
          <w:numId w:val="155"/>
        </w:numPr>
        <w:rPr>
          <w:rFonts w:ascii="Arial" w:cs="Arial" w:eastAsia="Arial" w:hAnsi="Arial"/>
          <w:sz w:val="18"/>
          <w:szCs w:val="18"/>
          <w:color w:val="auto"/>
        </w:rPr>
      </w:pPr>
      <w:r>
        <w:rPr>
          <w:rFonts w:ascii="Arial" w:cs="Arial" w:eastAsia="Arial" w:hAnsi="Arial"/>
          <w:sz w:val="16"/>
          <w:szCs w:val="16"/>
          <w:color w:val="auto"/>
        </w:rPr>
        <w:t>leases, licenses, subleases or sublicenses granted to others in the ordinary course of business which do not (x) interfere in any material respect with the business of the U.S. Borrower or any of its Restricted Subsidiaries or (y) secure any Indebtedness;</w:t>
      </w:r>
    </w:p>
    <w:p>
      <w:pPr>
        <w:spacing w:after="0" w:line="139" w:lineRule="exact"/>
        <w:rPr>
          <w:rFonts w:ascii="Arial" w:cs="Arial" w:eastAsia="Arial" w:hAnsi="Arial"/>
          <w:sz w:val="18"/>
          <w:szCs w:val="18"/>
          <w:color w:val="auto"/>
        </w:rPr>
      </w:pPr>
    </w:p>
    <w:p>
      <w:pPr>
        <w:ind w:left="660" w:right="200" w:firstLine="644"/>
        <w:spacing w:after="0" w:line="264" w:lineRule="auto"/>
        <w:tabs>
          <w:tab w:leader="none" w:pos="1675" w:val="left"/>
        </w:tabs>
        <w:numPr>
          <w:ilvl w:val="1"/>
          <w:numId w:val="155"/>
        </w:numPr>
        <w:rPr>
          <w:rFonts w:ascii="Arial" w:cs="Arial" w:eastAsia="Arial" w:hAnsi="Arial"/>
          <w:sz w:val="20"/>
          <w:szCs w:val="20"/>
          <w:color w:val="auto"/>
        </w:rPr>
      </w:pPr>
      <w:r>
        <w:rPr>
          <w:rFonts w:ascii="Arial" w:cs="Arial" w:eastAsia="Arial" w:hAnsi="Arial"/>
          <w:sz w:val="18"/>
          <w:szCs w:val="18"/>
          <w:color w:val="auto"/>
        </w:rPr>
        <w:t>Liens (i) of a collection bank arising under Section 4-210 of the UCC on items in the course of collection, (ii) attaching to commodity trading accounts or other commodities brokerage accounts incurred in the ordinary course of business and (iii) in favor of a banking institution arising as a matter of</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341" w:right="3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law encumbering deposits (including the right of set-off) and which are within the general parameters customary in the banking industry;</w:t>
      </w:r>
    </w:p>
    <w:p>
      <w:pPr>
        <w:spacing w:after="0" w:line="239" w:lineRule="exact"/>
        <w:rPr>
          <w:sz w:val="20"/>
          <w:szCs w:val="20"/>
          <w:color w:val="auto"/>
        </w:rPr>
      </w:pPr>
    </w:p>
    <w:p>
      <w:pPr>
        <w:ind w:left="1680" w:hanging="376"/>
        <w:spacing w:after="0"/>
        <w:tabs>
          <w:tab w:leader="none" w:pos="1680" w:val="left"/>
        </w:tabs>
        <w:numPr>
          <w:ilvl w:val="0"/>
          <w:numId w:val="156"/>
        </w:numPr>
        <w:rPr>
          <w:rFonts w:ascii="Arial" w:cs="Arial" w:eastAsia="Arial" w:hAnsi="Arial"/>
          <w:sz w:val="19"/>
          <w:szCs w:val="19"/>
          <w:color w:val="auto"/>
        </w:rPr>
      </w:pPr>
      <w:r>
        <w:rPr>
          <w:rFonts w:ascii="Arial" w:cs="Arial" w:eastAsia="Arial" w:hAnsi="Arial"/>
          <w:sz w:val="17"/>
          <w:szCs w:val="17"/>
          <w:color w:val="auto"/>
        </w:rPr>
        <w:t xml:space="preserve">Liens (i) on cash advances in favor of the seller of any property to be acquired in an Investment permitted pursuant to </w:t>
      </w:r>
      <w:r>
        <w:rPr>
          <w:rFonts w:ascii="Arial" w:cs="Arial" w:eastAsia="Arial" w:hAnsi="Arial"/>
          <w:sz w:val="17"/>
          <w:szCs w:val="17"/>
          <w:u w:val="single" w:color="auto"/>
          <w:color w:val="auto"/>
        </w:rPr>
        <w:t>Sections</w:t>
      </w:r>
    </w:p>
    <w:p>
      <w:pPr>
        <w:spacing w:after="0" w:line="16" w:lineRule="exact"/>
        <w:rPr>
          <w:sz w:val="20"/>
          <w:szCs w:val="20"/>
          <w:color w:val="auto"/>
        </w:rPr>
      </w:pPr>
    </w:p>
    <w:p>
      <w:pPr>
        <w:jc w:val="both"/>
        <w:ind w:left="660" w:right="80"/>
        <w:spacing w:after="0" w:line="276" w:lineRule="auto"/>
        <w:rPr>
          <w:sz w:val="20"/>
          <w:szCs w:val="20"/>
          <w:color w:val="auto"/>
        </w:rPr>
      </w:pPr>
      <w:r>
        <w:rPr>
          <w:rFonts w:ascii="Arial" w:cs="Arial" w:eastAsia="Arial" w:hAnsi="Arial"/>
          <w:sz w:val="18"/>
          <w:szCs w:val="18"/>
          <w:u w:val="single" w:color="auto"/>
          <w:color w:val="auto"/>
        </w:rPr>
        <w:t>7.02(f)</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(r)</w:t>
      </w:r>
      <w:r>
        <w:rPr>
          <w:rFonts w:ascii="Arial" w:cs="Arial" w:eastAsia="Arial" w:hAnsi="Arial"/>
          <w:sz w:val="18"/>
          <w:szCs w:val="18"/>
          <w:color w:val="auto"/>
        </w:rPr>
        <w:t xml:space="preserve"> to be applied against the purchase price for such Investment and (ii) consisting of an agreement to dispose of any property in an Asset Sale permitted under </w:t>
      </w:r>
      <w:r>
        <w:rPr>
          <w:rFonts w:ascii="Arial" w:cs="Arial" w:eastAsia="Arial" w:hAnsi="Arial"/>
          <w:sz w:val="18"/>
          <w:szCs w:val="18"/>
          <w:u w:val="single" w:color="auto"/>
          <w:color w:val="auto"/>
        </w:rPr>
        <w:t>Section 7.05</w:t>
      </w:r>
      <w:r>
        <w:rPr>
          <w:rFonts w:ascii="Arial" w:cs="Arial" w:eastAsia="Arial" w:hAnsi="Arial"/>
          <w:sz w:val="18"/>
          <w:szCs w:val="18"/>
          <w:color w:val="auto"/>
        </w:rPr>
        <w:t>, in each case, solely to the extent such Investment or Asset Sale, as the case may be, would have been permitted on the date of the creation of such Lien;</w:t>
      </w:r>
    </w:p>
    <w:p>
      <w:pPr>
        <w:spacing w:after="0" w:line="186" w:lineRule="exact"/>
        <w:rPr>
          <w:sz w:val="20"/>
          <w:szCs w:val="20"/>
          <w:color w:val="auto"/>
        </w:rPr>
      </w:pPr>
    </w:p>
    <w:p>
      <w:pPr>
        <w:ind w:left="660" w:right="40" w:firstLine="644"/>
        <w:spacing w:after="0" w:line="266" w:lineRule="auto"/>
        <w:tabs>
          <w:tab w:leader="none" w:pos="1718" w:val="left"/>
        </w:tabs>
        <w:numPr>
          <w:ilvl w:val="0"/>
          <w:numId w:val="157"/>
        </w:numPr>
        <w:rPr>
          <w:rFonts w:ascii="Arial" w:cs="Arial" w:eastAsia="Arial" w:hAnsi="Arial"/>
          <w:sz w:val="20"/>
          <w:szCs w:val="20"/>
          <w:color w:val="auto"/>
        </w:rPr>
      </w:pPr>
      <w:r>
        <w:rPr>
          <w:rFonts w:ascii="Arial" w:cs="Arial" w:eastAsia="Arial" w:hAnsi="Arial"/>
          <w:sz w:val="18"/>
          <w:szCs w:val="18"/>
          <w:color w:val="auto"/>
        </w:rPr>
        <w:t xml:space="preserve">Liens on property of any Foreign Restricted Subsidiary that does not constitute Collateral, which Liens secure Indebtedness of such Foreign Restricted Subsidiary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90" w:lineRule="exact"/>
        <w:rPr>
          <w:rFonts w:ascii="Arial" w:cs="Arial" w:eastAsia="Arial" w:hAnsi="Arial"/>
          <w:sz w:val="20"/>
          <w:szCs w:val="20"/>
          <w:color w:val="auto"/>
        </w:rPr>
      </w:pPr>
    </w:p>
    <w:p>
      <w:pPr>
        <w:ind w:left="660" w:right="20" w:firstLine="644"/>
        <w:spacing w:after="0" w:line="283" w:lineRule="auto"/>
        <w:tabs>
          <w:tab w:leader="none" w:pos="1675" w:val="left"/>
        </w:tabs>
        <w:numPr>
          <w:ilvl w:val="0"/>
          <w:numId w:val="157"/>
        </w:numPr>
        <w:rPr>
          <w:rFonts w:ascii="Arial" w:cs="Arial" w:eastAsia="Arial" w:hAnsi="Arial"/>
          <w:sz w:val="19"/>
          <w:szCs w:val="19"/>
          <w:color w:val="auto"/>
        </w:rPr>
      </w:pPr>
      <w:r>
        <w:rPr>
          <w:rFonts w:ascii="Arial" w:cs="Arial" w:eastAsia="Arial" w:hAnsi="Arial"/>
          <w:sz w:val="17"/>
          <w:szCs w:val="17"/>
          <w:color w:val="auto"/>
        </w:rPr>
        <w:t xml:space="preserve">Liens existing on property at the time of its acquisition or existing on the property of any Person at the time such Person becomes a Restricted Subsidiary, in each case after the Closing Date (other than Liens on the Equity Interests of any Person that becomes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requirements shall not be permitted to apply to any property to which such requirement would not have applied but for such acquisition and (iii) the Indebtedness secured thereby is permitted under </w:t>
      </w:r>
      <w:r>
        <w:rPr>
          <w:rFonts w:ascii="Arial" w:cs="Arial" w:eastAsia="Arial" w:hAnsi="Arial"/>
          <w:sz w:val="17"/>
          <w:szCs w:val="17"/>
          <w:u w:val="single" w:color="auto"/>
          <w:color w:val="auto"/>
        </w:rPr>
        <w:t>Sections 7.03(c)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w:t>
      </w:r>
    </w:p>
    <w:p>
      <w:pPr>
        <w:spacing w:after="0" w:line="180" w:lineRule="exact"/>
        <w:rPr>
          <w:rFonts w:ascii="Arial" w:cs="Arial" w:eastAsia="Arial" w:hAnsi="Arial"/>
          <w:sz w:val="19"/>
          <w:szCs w:val="19"/>
          <w:color w:val="auto"/>
        </w:rPr>
      </w:pPr>
    </w:p>
    <w:p>
      <w:pPr>
        <w:ind w:left="660" w:right="300" w:firstLine="644"/>
        <w:spacing w:after="0" w:line="266" w:lineRule="auto"/>
        <w:tabs>
          <w:tab w:leader="none" w:pos="1774" w:val="left"/>
        </w:tabs>
        <w:numPr>
          <w:ilvl w:val="0"/>
          <w:numId w:val="157"/>
        </w:numPr>
        <w:rPr>
          <w:rFonts w:ascii="Arial" w:cs="Arial" w:eastAsia="Arial" w:hAnsi="Arial"/>
          <w:sz w:val="20"/>
          <w:szCs w:val="20"/>
          <w:color w:val="auto"/>
        </w:rPr>
      </w:pPr>
      <w:r>
        <w:rPr>
          <w:rFonts w:ascii="Arial" w:cs="Arial" w:eastAsia="Arial" w:hAnsi="Arial"/>
          <w:sz w:val="18"/>
          <w:szCs w:val="18"/>
          <w:color w:val="auto"/>
        </w:rPr>
        <w:t>Liens solely on any cash earnest money deposits made by the U.S. Borrower or any of its Restricted Subsidiaries in connection with any letter of intent or purchase agreement permitted hereunder;</w:t>
      </w:r>
    </w:p>
    <w:p>
      <w:pPr>
        <w:spacing w:after="0" w:line="190" w:lineRule="exact"/>
        <w:rPr>
          <w:rFonts w:ascii="Arial" w:cs="Arial" w:eastAsia="Arial" w:hAnsi="Arial"/>
          <w:sz w:val="20"/>
          <w:szCs w:val="20"/>
          <w:color w:val="auto"/>
        </w:rPr>
      </w:pPr>
    </w:p>
    <w:p>
      <w:pPr>
        <w:ind w:left="660" w:right="200" w:firstLine="644"/>
        <w:spacing w:after="0" w:line="266" w:lineRule="auto"/>
        <w:tabs>
          <w:tab w:leader="none" w:pos="1718" w:val="left"/>
        </w:tabs>
        <w:numPr>
          <w:ilvl w:val="0"/>
          <w:numId w:val="157"/>
        </w:numPr>
        <w:rPr>
          <w:rFonts w:ascii="Arial" w:cs="Arial" w:eastAsia="Arial" w:hAnsi="Arial"/>
          <w:sz w:val="20"/>
          <w:szCs w:val="20"/>
          <w:color w:val="auto"/>
        </w:rPr>
      </w:pPr>
      <w:r>
        <w:rPr>
          <w:rFonts w:ascii="Arial" w:cs="Arial" w:eastAsia="Arial" w:hAnsi="Arial"/>
          <w:sz w:val="18"/>
          <w:szCs w:val="18"/>
          <w:color w:val="auto"/>
        </w:rPr>
        <w:t>Liens evidenced by the filing of precautionary UCC or similar financing statements relating solely to operating leases of personal property entered into in the ordinary course of business;</w:t>
      </w:r>
    </w:p>
    <w:p>
      <w:pPr>
        <w:spacing w:after="0" w:line="190" w:lineRule="exact"/>
        <w:rPr>
          <w:rFonts w:ascii="Arial" w:cs="Arial" w:eastAsia="Arial" w:hAnsi="Arial"/>
          <w:sz w:val="20"/>
          <w:szCs w:val="20"/>
          <w:color w:val="auto"/>
        </w:rPr>
      </w:pPr>
    </w:p>
    <w:p>
      <w:pPr>
        <w:ind w:left="660" w:right="40" w:firstLine="644"/>
        <w:spacing w:after="0" w:line="266" w:lineRule="auto"/>
        <w:tabs>
          <w:tab w:leader="none" w:pos="1718" w:val="left"/>
        </w:tabs>
        <w:numPr>
          <w:ilvl w:val="0"/>
          <w:numId w:val="157"/>
        </w:numPr>
        <w:rPr>
          <w:rFonts w:ascii="Arial" w:cs="Arial" w:eastAsia="Arial" w:hAnsi="Arial"/>
          <w:sz w:val="20"/>
          <w:szCs w:val="20"/>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90" w:lineRule="exact"/>
        <w:rPr>
          <w:rFonts w:ascii="Arial" w:cs="Arial" w:eastAsia="Arial" w:hAnsi="Arial"/>
          <w:sz w:val="20"/>
          <w:szCs w:val="20"/>
          <w:color w:val="auto"/>
        </w:rPr>
      </w:pPr>
    </w:p>
    <w:p>
      <w:pPr>
        <w:ind w:left="1720" w:hanging="416"/>
        <w:spacing w:after="0"/>
        <w:tabs>
          <w:tab w:leader="none" w:pos="1720" w:val="left"/>
        </w:tabs>
        <w:numPr>
          <w:ilvl w:val="0"/>
          <w:numId w:val="157"/>
        </w:numPr>
        <w:rPr>
          <w:rFonts w:ascii="Arial" w:cs="Arial" w:eastAsia="Arial" w:hAnsi="Arial"/>
          <w:sz w:val="18"/>
          <w:szCs w:val="18"/>
          <w:color w:val="auto"/>
        </w:rPr>
      </w:pPr>
      <w:r>
        <w:rPr>
          <w:rFonts w:ascii="Arial" w:cs="Arial" w:eastAsia="Arial" w:hAnsi="Arial"/>
          <w:sz w:val="16"/>
          <w:szCs w:val="16"/>
          <w:color w:val="auto"/>
        </w:rPr>
        <w:t>any zoning or similar law or right reserved to or vested in any governmental office or agency to control or regulate the use of any</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real property;</w:t>
      </w:r>
    </w:p>
    <w:p>
      <w:pPr>
        <w:spacing w:after="0" w:line="233" w:lineRule="exact"/>
        <w:rPr>
          <w:rFonts w:ascii="Arial" w:cs="Arial" w:eastAsia="Arial" w:hAnsi="Arial"/>
          <w:sz w:val="18"/>
          <w:szCs w:val="18"/>
          <w:color w:val="auto"/>
        </w:rPr>
      </w:pPr>
    </w:p>
    <w:p>
      <w:pPr>
        <w:ind w:left="660" w:right="20" w:firstLine="644"/>
        <w:spacing w:after="0" w:line="264" w:lineRule="auto"/>
        <w:tabs>
          <w:tab w:leader="none" w:pos="1718" w:val="left"/>
        </w:tabs>
        <w:numPr>
          <w:ilvl w:val="0"/>
          <w:numId w:val="157"/>
        </w:numPr>
        <w:rPr>
          <w:rFonts w:ascii="Arial" w:cs="Arial" w:eastAsia="Arial" w:hAnsi="Arial"/>
          <w:sz w:val="20"/>
          <w:szCs w:val="20"/>
          <w:color w:val="auto"/>
        </w:rPr>
      </w:pPr>
      <w:r>
        <w:rPr>
          <w:rFonts w:ascii="Arial" w:cs="Arial" w:eastAsia="Arial" w:hAnsi="Arial"/>
          <w:sz w:val="18"/>
          <w:szCs w:val="18"/>
          <w:color w:val="auto"/>
        </w:rPr>
        <w:t>licenses of patents, trademarks and other intellectual property rights granted by the U.S. Borrower or any of its Restricted Subsidiaries in the ordinary course of business and not interfering in any respect with the ordinary conduct of the business of the U.S. Borrower or such Restricted Subsidiary;</w:t>
      </w:r>
    </w:p>
    <w:p>
      <w:pPr>
        <w:spacing w:after="0" w:line="196" w:lineRule="exact"/>
        <w:rPr>
          <w:rFonts w:ascii="Arial" w:cs="Arial" w:eastAsia="Arial" w:hAnsi="Arial"/>
          <w:sz w:val="20"/>
          <w:szCs w:val="20"/>
          <w:color w:val="auto"/>
        </w:rPr>
      </w:pPr>
    </w:p>
    <w:p>
      <w:pPr>
        <w:ind w:left="1680" w:hanging="376"/>
        <w:spacing w:after="0"/>
        <w:tabs>
          <w:tab w:leader="none" w:pos="1680" w:val="left"/>
        </w:tabs>
        <w:numPr>
          <w:ilvl w:val="0"/>
          <w:numId w:val="157"/>
        </w:numPr>
        <w:rPr>
          <w:rFonts w:ascii="Arial" w:cs="Arial" w:eastAsia="Arial" w:hAnsi="Arial"/>
          <w:sz w:val="20"/>
          <w:szCs w:val="20"/>
          <w:color w:val="auto"/>
        </w:rPr>
      </w:pPr>
      <w:r>
        <w:rPr>
          <w:rFonts w:ascii="Arial" w:cs="Arial" w:eastAsia="Arial" w:hAnsi="Arial"/>
          <w:sz w:val="18"/>
          <w:szCs w:val="18"/>
          <w:color w:val="auto"/>
        </w:rPr>
        <w:t xml:space="preserve">Liens existing on the Closing Date and set forth on </w:t>
      </w:r>
      <w:r>
        <w:rPr>
          <w:rFonts w:ascii="Arial" w:cs="Arial" w:eastAsia="Arial" w:hAnsi="Arial"/>
          <w:sz w:val="18"/>
          <w:szCs w:val="18"/>
          <w:u w:val="single" w:color="auto"/>
          <w:color w:val="auto"/>
        </w:rPr>
        <w:t>Schedule 7.02</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firstLine="644"/>
        <w:spacing w:after="0" w:line="303" w:lineRule="auto"/>
        <w:tabs>
          <w:tab w:leader="none" w:pos="1697" w:val="left"/>
        </w:tabs>
        <w:numPr>
          <w:ilvl w:val="0"/>
          <w:numId w:val="157"/>
        </w:numPr>
        <w:rPr>
          <w:rFonts w:ascii="Arial" w:cs="Arial" w:eastAsia="Arial" w:hAnsi="Arial"/>
          <w:sz w:val="18"/>
          <w:szCs w:val="18"/>
          <w:color w:val="auto"/>
        </w:rPr>
      </w:pPr>
      <w:r>
        <w:rPr>
          <w:rFonts w:ascii="Arial" w:cs="Arial" w:eastAsia="Arial" w:hAnsi="Arial"/>
          <w:sz w:val="16"/>
          <w:szCs w:val="16"/>
          <w:color w:val="auto"/>
        </w:rPr>
        <w:t xml:space="preserve">Liens securing Indebtedness permitted pursuant to </w:t>
      </w:r>
      <w:r>
        <w:rPr>
          <w:rFonts w:ascii="Arial" w:cs="Arial" w:eastAsia="Arial" w:hAnsi="Arial"/>
          <w:sz w:val="16"/>
          <w:szCs w:val="16"/>
          <w:u w:val="single" w:color="auto"/>
          <w:color w:val="auto"/>
        </w:rPr>
        <w:t>Section 7.03(m)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attach concurrently with or within three hundred sixty (360) days after the acquisition, repair, replacement, construction or improvement (as applicable) of the property subject to such Liens, (ii) such Liens shall not at any time encumber more than the asset acquired (other than accessions thereto) with the proceeds of such Indebtedness and the proceeds and the products thereof and (iii) with respect to capitalized leases, such Liens do not at any time extend to or cover any assets (except for accessions to such asset) other than the assets subject to such capitalized leases; provided that individual financings of equipment provided by one lender may be cross-collateralized to other financings of equipment provided by such lender;</w:t>
      </w:r>
    </w:p>
    <w:p>
      <w:pPr>
        <w:spacing w:after="0" w:line="170" w:lineRule="exact"/>
        <w:rPr>
          <w:rFonts w:ascii="Arial" w:cs="Arial" w:eastAsia="Arial" w:hAnsi="Arial"/>
          <w:sz w:val="18"/>
          <w:szCs w:val="18"/>
          <w:color w:val="auto"/>
        </w:rPr>
      </w:pPr>
    </w:p>
    <w:p>
      <w:pPr>
        <w:ind w:left="660" w:right="140" w:firstLine="644"/>
        <w:spacing w:after="0" w:line="266" w:lineRule="auto"/>
        <w:tabs>
          <w:tab w:leader="none" w:pos="1675" w:val="left"/>
        </w:tabs>
        <w:numPr>
          <w:ilvl w:val="0"/>
          <w:numId w:val="157"/>
        </w:numPr>
        <w:rPr>
          <w:rFonts w:ascii="Arial" w:cs="Arial" w:eastAsia="Arial" w:hAnsi="Arial"/>
          <w:sz w:val="20"/>
          <w:szCs w:val="20"/>
          <w:color w:val="auto"/>
        </w:rPr>
      </w:pPr>
      <w:r>
        <w:rPr>
          <w:rFonts w:ascii="Arial" w:cs="Arial" w:eastAsia="Arial" w:hAnsi="Arial"/>
          <w:sz w:val="18"/>
          <w:szCs w:val="18"/>
          <w:color w:val="auto"/>
        </w:rPr>
        <w:t>Liens arising out of conditional sale, title retention, consignment or similar arrangements for sale of goods entered into by the U.S. Borrower or any of its Restricted Subsidiaries in the ordinary course of business permitted by this Agreement;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341" w:right="359" w:bottom="1440" w:gutter="0" w:footer="0" w:header="0"/>
        </w:sectPr>
      </w:pPr>
    </w:p>
    <w:bookmarkStart w:id="178" w:name="page179"/>
    <w:bookmarkEnd w:id="178"/>
    <w:p>
      <w:pPr>
        <w:ind w:left="1720" w:hanging="416"/>
        <w:spacing w:after="0"/>
        <w:tabs>
          <w:tab w:leader="none" w:pos="1720" w:val="left"/>
        </w:tabs>
        <w:numPr>
          <w:ilvl w:val="0"/>
          <w:numId w:val="158"/>
        </w:numPr>
        <w:rPr>
          <w:rFonts w:ascii="Arial" w:cs="Arial" w:eastAsia="Arial" w:hAnsi="Arial"/>
          <w:sz w:val="20"/>
          <w:szCs w:val="20"/>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right="300" w:firstLine="644"/>
        <w:spacing w:after="0" w:line="296" w:lineRule="auto"/>
        <w:tabs>
          <w:tab w:leader="none" w:pos="1718" w:val="left"/>
        </w:tabs>
        <w:numPr>
          <w:ilvl w:val="0"/>
          <w:numId w:val="158"/>
        </w:numPr>
        <w:rPr>
          <w:rFonts w:ascii="Arial" w:cs="Arial" w:eastAsia="Arial" w:hAnsi="Arial"/>
          <w:sz w:val="19"/>
          <w:szCs w:val="19"/>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64" w:lineRule="exact"/>
        <w:rPr>
          <w:rFonts w:ascii="Arial" w:cs="Arial" w:eastAsia="Arial" w:hAnsi="Arial"/>
          <w:sz w:val="19"/>
          <w:szCs w:val="19"/>
          <w:color w:val="auto"/>
        </w:rPr>
      </w:pPr>
    </w:p>
    <w:p>
      <w:pPr>
        <w:ind w:left="660" w:firstLine="644"/>
        <w:spacing w:after="0" w:line="283" w:lineRule="auto"/>
        <w:tabs>
          <w:tab w:leader="none" w:pos="1763" w:val="left"/>
        </w:tabs>
        <w:numPr>
          <w:ilvl w:val="0"/>
          <w:numId w:val="158"/>
        </w:numPr>
        <w:rPr>
          <w:rFonts w:ascii="Arial" w:cs="Arial" w:eastAsia="Arial" w:hAnsi="Arial"/>
          <w:sz w:val="19"/>
          <w:szCs w:val="19"/>
          <w:color w:val="auto"/>
        </w:rPr>
      </w:pPr>
      <w:r>
        <w:rPr>
          <w:rFonts w:ascii="Arial" w:cs="Arial" w:eastAsia="Arial" w:hAnsi="Arial"/>
          <w:sz w:val="17"/>
          <w:szCs w:val="17"/>
          <w:color w:val="auto"/>
        </w:rPr>
        <w:t xml:space="preserve">other Liens on assets securing obligations in an aggregate amount not to exceed </w:t>
      </w:r>
      <w:r>
        <w:rPr>
          <w:rFonts w:ascii="Arial" w:cs="Arial" w:eastAsia="Arial" w:hAnsi="Arial"/>
          <w:sz w:val="17"/>
          <w:szCs w:val="17"/>
          <w:u w:val="single" w:color="auto"/>
          <w:color w:val="auto"/>
        </w:rPr>
        <w:t>*(during the Restricted Period, taken together with</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amounts incurred pursuant to Section 7.01(c)(i))*</w:t>
      </w:r>
      <w:r>
        <w:rPr>
          <w:rFonts w:ascii="Arial" w:cs="Arial" w:eastAsia="Arial" w:hAnsi="Arial"/>
          <w:sz w:val="17"/>
          <w:szCs w:val="17"/>
          <w:color w:val="auto"/>
        </w:rPr>
        <w:t xml:space="preserve"> $65,000,000 at any time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set forth in </w:t>
      </w:r>
      <w:r>
        <w:rPr>
          <w:rFonts w:ascii="Arial" w:cs="Arial" w:eastAsia="Arial" w:hAnsi="Arial"/>
          <w:sz w:val="17"/>
          <w:szCs w:val="17"/>
          <w:u w:val="single" w:color="auto"/>
          <w:color w:val="auto"/>
        </w:rPr>
        <w:t>Section 3.4(b)</w:t>
      </w:r>
      <w:r>
        <w:rPr>
          <w:rFonts w:ascii="Arial" w:cs="Arial" w:eastAsia="Arial" w:hAnsi="Arial"/>
          <w:sz w:val="17"/>
          <w:szCs w:val="17"/>
          <w:color w:val="auto"/>
        </w:rPr>
        <w:t xml:space="preserve"> of the Security Agreement, any Deposit Account (as defined in the Security Agreement) on which a Lien is granted pursuant to this </w:t>
      </w:r>
      <w:r>
        <w:rPr>
          <w:rFonts w:ascii="Arial" w:cs="Arial" w:eastAsia="Arial" w:hAnsi="Arial"/>
          <w:sz w:val="17"/>
          <w:szCs w:val="17"/>
          <w:u w:val="single" w:color="auto"/>
          <w:color w:val="auto"/>
        </w:rPr>
        <w:t>Section 7.01(w)</w:t>
      </w:r>
      <w:r>
        <w:rPr>
          <w:rFonts w:ascii="Arial" w:cs="Arial" w:eastAsia="Arial" w:hAnsi="Arial"/>
          <w:sz w:val="17"/>
          <w:szCs w:val="17"/>
          <w:color w:val="auto"/>
        </w:rPr>
        <w:t xml:space="preserve"> shall not be subject to the prohibition on granting a Control Agreement (as defined in the Security Agreement) to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balance of all such Deposit Accounts (when together with any other assets on which a Lien is granted pursuant to this </w:t>
      </w:r>
      <w:r>
        <w:rPr>
          <w:rFonts w:ascii="Arial" w:cs="Arial" w:eastAsia="Arial" w:hAnsi="Arial"/>
          <w:sz w:val="17"/>
          <w:szCs w:val="17"/>
          <w:u w:val="single" w:color="auto"/>
          <w:color w:val="auto"/>
        </w:rPr>
        <w:t>Section 7.01(w)</w:t>
      </w:r>
      <w:r>
        <w:rPr>
          <w:rFonts w:ascii="Arial" w:cs="Arial" w:eastAsia="Arial" w:hAnsi="Arial"/>
          <w:sz w:val="17"/>
          <w:szCs w:val="17"/>
          <w:color w:val="auto"/>
        </w:rPr>
        <w:t>) shall not exceed $65,000,000 at any time;</w:t>
      </w:r>
    </w:p>
    <w:p>
      <w:pPr>
        <w:spacing w:after="0" w:line="182" w:lineRule="exact"/>
        <w:rPr>
          <w:rFonts w:ascii="Arial" w:cs="Arial" w:eastAsia="Arial" w:hAnsi="Arial"/>
          <w:sz w:val="19"/>
          <w:szCs w:val="19"/>
          <w:color w:val="auto"/>
        </w:rPr>
      </w:pPr>
    </w:p>
    <w:p>
      <w:pPr>
        <w:ind w:left="660" w:right="40" w:firstLine="644"/>
        <w:spacing w:after="0" w:line="266" w:lineRule="auto"/>
        <w:tabs>
          <w:tab w:leader="none" w:pos="1718" w:val="left"/>
        </w:tabs>
        <w:numPr>
          <w:ilvl w:val="0"/>
          <w:numId w:val="158"/>
        </w:numPr>
        <w:rPr>
          <w:rFonts w:ascii="Arial" w:cs="Arial" w:eastAsia="Arial" w:hAnsi="Arial"/>
          <w:sz w:val="20"/>
          <w:szCs w:val="20"/>
          <w:color w:val="auto"/>
        </w:rPr>
      </w:pPr>
      <w:r>
        <w:rPr>
          <w:rFonts w:ascii="Arial" w:cs="Arial" w:eastAsia="Arial" w:hAnsi="Arial"/>
          <w:sz w:val="18"/>
          <w:szCs w:val="18"/>
          <w:color w:val="auto"/>
        </w:rPr>
        <w:t>Liens created under the 2016 Reorganization Documents solely to the extent resulting from the transactions consummated pursuant to and in accordance with the definition thereof;</w:t>
      </w:r>
    </w:p>
    <w:p>
      <w:pPr>
        <w:spacing w:after="0" w:line="190" w:lineRule="exact"/>
        <w:rPr>
          <w:rFonts w:ascii="Arial" w:cs="Arial" w:eastAsia="Arial" w:hAnsi="Arial"/>
          <w:sz w:val="20"/>
          <w:szCs w:val="20"/>
          <w:color w:val="auto"/>
        </w:rPr>
      </w:pPr>
    </w:p>
    <w:p>
      <w:pPr>
        <w:ind w:left="1720" w:hanging="416"/>
        <w:spacing w:after="0"/>
        <w:tabs>
          <w:tab w:leader="none" w:pos="1720" w:val="left"/>
        </w:tabs>
        <w:numPr>
          <w:ilvl w:val="0"/>
          <w:numId w:val="158"/>
        </w:numPr>
        <w:rPr>
          <w:rFonts w:ascii="Arial" w:cs="Arial" w:eastAsia="Arial" w:hAnsi="Arial"/>
          <w:sz w:val="20"/>
          <w:szCs w:val="20"/>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7.03(g)</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1700" w:hanging="396"/>
        <w:spacing w:after="0"/>
        <w:tabs>
          <w:tab w:leader="none" w:pos="1700" w:val="left"/>
        </w:tabs>
        <w:numPr>
          <w:ilvl w:val="0"/>
          <w:numId w:val="158"/>
        </w:numPr>
        <w:rPr>
          <w:rFonts w:ascii="Arial" w:cs="Arial" w:eastAsia="Arial" w:hAnsi="Arial"/>
          <w:sz w:val="19"/>
          <w:szCs w:val="19"/>
          <w:color w:val="auto"/>
        </w:rPr>
      </w:pPr>
      <w:r>
        <w:rPr>
          <w:rFonts w:ascii="Arial" w:cs="Arial" w:eastAsia="Arial" w:hAnsi="Arial"/>
          <w:sz w:val="17"/>
          <w:szCs w:val="17"/>
          <w:color w:val="auto"/>
        </w:rPr>
        <w:t>Liens on the Equity Interests of Unrestricted Subsidiaries that secure Indebtedness or other obligations of such Unrestricted</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8"/>
          <w:szCs w:val="18"/>
          <w:color w:val="auto"/>
        </w:rPr>
        <w:t>Subsidiaries;</w:t>
      </w:r>
    </w:p>
    <w:p>
      <w:pPr>
        <w:spacing w:after="0" w:line="234" w:lineRule="exact"/>
        <w:rPr>
          <w:sz w:val="20"/>
          <w:szCs w:val="20"/>
          <w:color w:val="auto"/>
        </w:rPr>
      </w:pPr>
    </w:p>
    <w:p>
      <w:pPr>
        <w:ind w:left="1800" w:hanging="496"/>
        <w:spacing w:after="0"/>
        <w:tabs>
          <w:tab w:leader="none" w:pos="1800" w:val="left"/>
        </w:tabs>
        <w:numPr>
          <w:ilvl w:val="0"/>
          <w:numId w:val="159"/>
        </w:numPr>
        <w:rPr>
          <w:rFonts w:ascii="Arial" w:cs="Arial" w:eastAsia="Arial" w:hAnsi="Arial"/>
          <w:sz w:val="20"/>
          <w:szCs w:val="20"/>
          <w:color w:val="auto"/>
        </w:rPr>
      </w:pPr>
      <w:r>
        <w:rPr>
          <w:rFonts w:ascii="Arial" w:cs="Arial" w:eastAsia="Arial" w:hAnsi="Arial"/>
          <w:sz w:val="18"/>
          <w:szCs w:val="18"/>
          <w:color w:val="auto"/>
        </w:rPr>
        <w:t xml:space="preserve">Liens on cash of Foreign Subsidiaries securing Indebtedness permitted under </w:t>
      </w:r>
      <w:r>
        <w:rPr>
          <w:rFonts w:ascii="Arial" w:cs="Arial" w:eastAsia="Arial" w:hAnsi="Arial"/>
          <w:sz w:val="18"/>
          <w:szCs w:val="18"/>
          <w:u w:val="single" w:color="auto"/>
          <w:color w:val="auto"/>
        </w:rPr>
        <w:t>Section 7.03(t)(B)</w:t>
      </w:r>
      <w:r>
        <w:rPr>
          <w:rFonts w:ascii="Arial" w:cs="Arial" w:eastAsia="Arial" w:hAnsi="Arial"/>
          <w:sz w:val="18"/>
          <w:szCs w:val="18"/>
          <w:color w:val="auto"/>
        </w:rPr>
        <w:t>; and</w:t>
      </w:r>
    </w:p>
    <w:p>
      <w:pPr>
        <w:spacing w:after="0" w:line="215" w:lineRule="exact"/>
        <w:rPr>
          <w:rFonts w:ascii="Arial" w:cs="Arial" w:eastAsia="Arial" w:hAnsi="Arial"/>
          <w:sz w:val="20"/>
          <w:szCs w:val="20"/>
          <w:color w:val="auto"/>
        </w:rPr>
      </w:pPr>
    </w:p>
    <w:p>
      <w:pPr>
        <w:ind w:left="1820" w:hanging="516"/>
        <w:spacing w:after="0"/>
        <w:tabs>
          <w:tab w:leader="none" w:pos="1820" w:val="left"/>
        </w:tabs>
        <w:numPr>
          <w:ilvl w:val="0"/>
          <w:numId w:val="159"/>
        </w:numPr>
        <w:rPr>
          <w:rFonts w:ascii="Arial" w:cs="Arial" w:eastAsia="Arial" w:hAnsi="Arial"/>
          <w:sz w:val="20"/>
          <w:szCs w:val="20"/>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7.03(v)</w:t>
      </w:r>
      <w:r>
        <w:rPr>
          <w:rFonts w:ascii="Arial" w:cs="Arial" w:eastAsia="Arial" w:hAnsi="Arial"/>
          <w:sz w:val="18"/>
          <w:szCs w:val="18"/>
          <w:color w:val="auto"/>
        </w:rPr>
        <w:t>;</w:t>
      </w: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consensual Liens shall be permitted to exist, directly or indirectly, on any Securities Collateral which constitutes Collateral, other than Liens granted pursuant to the Security Documents.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7.02</w:t>
      </w:r>
      <w:r>
        <w:rPr>
          <w:sz w:val="20"/>
          <w:szCs w:val="20"/>
          <w:color w:val="auto"/>
        </w:rPr>
        <w:tab/>
      </w:r>
      <w:r>
        <w:rPr>
          <w:rFonts w:ascii="Arial" w:cs="Arial" w:eastAsia="Arial" w:hAnsi="Arial"/>
          <w:sz w:val="16"/>
          <w:szCs w:val="16"/>
          <w:b w:val="1"/>
          <w:bCs w:val="1"/>
          <w:u w:val="single" w:color="auto"/>
          <w:color w:val="auto"/>
        </w:rPr>
        <w:t>Investments</w:t>
      </w:r>
      <w:r>
        <w:rPr>
          <w:rFonts w:ascii="Arial" w:cs="Arial" w:eastAsia="Arial" w:hAnsi="Arial"/>
          <w:sz w:val="16"/>
          <w:szCs w:val="16"/>
          <w:color w:val="auto"/>
        </w:rPr>
        <w:t>. Make any Investments, except:</w:t>
      </w:r>
    </w:p>
    <w:p>
      <w:pPr>
        <w:spacing w:after="0" w:line="238" w:lineRule="exact"/>
        <w:rPr>
          <w:sz w:val="20"/>
          <w:szCs w:val="20"/>
          <w:color w:val="auto"/>
        </w:rPr>
      </w:pPr>
    </w:p>
    <w:p>
      <w:pPr>
        <w:ind w:left="1700" w:hanging="396"/>
        <w:spacing w:after="0"/>
        <w:tabs>
          <w:tab w:leader="none" w:pos="1700" w:val="left"/>
        </w:tabs>
        <w:numPr>
          <w:ilvl w:val="0"/>
          <w:numId w:val="160"/>
        </w:numPr>
        <w:rPr>
          <w:rFonts w:ascii="Arial" w:cs="Arial" w:eastAsia="Arial" w:hAnsi="Arial"/>
          <w:sz w:val="20"/>
          <w:szCs w:val="20"/>
          <w:color w:val="auto"/>
        </w:rPr>
      </w:pPr>
      <w:r>
        <w:rPr>
          <w:rFonts w:ascii="Arial" w:cs="Arial" w:eastAsia="Arial" w:hAnsi="Arial"/>
          <w:sz w:val="18"/>
          <w:szCs w:val="18"/>
          <w:color w:val="auto"/>
        </w:rPr>
        <w:t>Investments held by the U.S. Borrower or such Restricted Subsidiary in the form of Cash Equivalents;</w:t>
      </w:r>
    </w:p>
    <w:p>
      <w:pPr>
        <w:spacing w:after="0" w:line="215" w:lineRule="exact"/>
        <w:rPr>
          <w:rFonts w:ascii="Arial" w:cs="Arial" w:eastAsia="Arial" w:hAnsi="Arial"/>
          <w:sz w:val="20"/>
          <w:szCs w:val="20"/>
          <w:color w:val="auto"/>
        </w:rPr>
      </w:pPr>
    </w:p>
    <w:p>
      <w:pPr>
        <w:jc w:val="both"/>
        <w:ind w:left="660" w:right="560" w:firstLine="644"/>
        <w:spacing w:after="0" w:line="264" w:lineRule="auto"/>
        <w:tabs>
          <w:tab w:leader="none" w:pos="1718" w:val="left"/>
        </w:tabs>
        <w:numPr>
          <w:ilvl w:val="0"/>
          <w:numId w:val="160"/>
        </w:numPr>
        <w:rPr>
          <w:rFonts w:ascii="Arial" w:cs="Arial" w:eastAsia="Arial" w:hAnsi="Arial"/>
          <w:sz w:val="20"/>
          <w:szCs w:val="20"/>
          <w:color w:val="auto"/>
        </w:rPr>
      </w:pPr>
      <w:r>
        <w:rPr>
          <w:rFonts w:ascii="Arial" w:cs="Arial" w:eastAsia="Arial" w:hAnsi="Arial"/>
          <w:sz w:val="18"/>
          <w:szCs w:val="18"/>
          <w:color w:val="auto"/>
        </w:rPr>
        <w:t>equity Investments owned as of the Closing Date in any Restricted Subsidiary and, to the extent not constituting a Permitted Acquisition, Investments made after the Closing Date in Persons that are at the time made, immediately prior to such Investment, the U.S. Borrower, Canadian Borrower, Dutch Borrower, or any Subsidiary Guarantor;</w:t>
      </w:r>
    </w:p>
    <w:p>
      <w:pPr>
        <w:spacing w:after="0" w:line="196" w:lineRule="exact"/>
        <w:rPr>
          <w:rFonts w:ascii="Arial" w:cs="Arial" w:eastAsia="Arial" w:hAnsi="Arial"/>
          <w:sz w:val="20"/>
          <w:szCs w:val="20"/>
          <w:color w:val="auto"/>
        </w:rPr>
      </w:pPr>
    </w:p>
    <w:p>
      <w:pPr>
        <w:ind w:left="660" w:right="360" w:firstLine="644"/>
        <w:spacing w:after="0" w:line="264" w:lineRule="auto"/>
        <w:tabs>
          <w:tab w:leader="none" w:pos="1708" w:val="left"/>
        </w:tabs>
        <w:numPr>
          <w:ilvl w:val="0"/>
          <w:numId w:val="160"/>
        </w:numPr>
        <w:rPr>
          <w:rFonts w:ascii="Arial" w:cs="Arial" w:eastAsia="Arial" w:hAnsi="Arial"/>
          <w:sz w:val="20"/>
          <w:szCs w:val="20"/>
          <w:color w:val="auto"/>
        </w:rPr>
      </w:pPr>
      <w:r>
        <w:rPr>
          <w:rFonts w:ascii="Arial" w:cs="Arial" w:eastAsia="Arial" w:hAnsi="Arial"/>
          <w:sz w:val="18"/>
          <w:szCs w:val="18"/>
          <w:color w:val="auto"/>
        </w:rPr>
        <w:t>Investments consisting of extensions of trade credit and Investments received in satisfaction or partial satisfaction thereof from financially troubled account debtors and deposits, prepayments and other credits to suppliers, in each case, made in the ordinary course of business;</w:t>
      </w:r>
    </w:p>
    <w:p>
      <w:pPr>
        <w:spacing w:after="0" w:line="196" w:lineRule="exact"/>
        <w:rPr>
          <w:rFonts w:ascii="Arial" w:cs="Arial" w:eastAsia="Arial" w:hAnsi="Arial"/>
          <w:sz w:val="20"/>
          <w:szCs w:val="20"/>
          <w:color w:val="auto"/>
        </w:rPr>
      </w:pPr>
    </w:p>
    <w:p>
      <w:pPr>
        <w:ind w:left="1720" w:hanging="416"/>
        <w:spacing w:after="0"/>
        <w:tabs>
          <w:tab w:leader="none" w:pos="1720" w:val="left"/>
        </w:tabs>
        <w:numPr>
          <w:ilvl w:val="0"/>
          <w:numId w:val="160"/>
        </w:numPr>
        <w:rPr>
          <w:rFonts w:ascii="Arial" w:cs="Arial" w:eastAsia="Arial" w:hAnsi="Arial"/>
          <w:sz w:val="20"/>
          <w:szCs w:val="20"/>
          <w:color w:val="auto"/>
        </w:rPr>
      </w:pPr>
      <w:r>
        <w:rPr>
          <w:rFonts w:ascii="Arial" w:cs="Arial" w:eastAsia="Arial" w:hAnsi="Arial"/>
          <w:sz w:val="18"/>
          <w:szCs w:val="18"/>
          <w:color w:val="auto"/>
        </w:rPr>
        <w:t xml:space="preserve">intercompany loans to the extent permitted under </w:t>
      </w:r>
      <w:r>
        <w:rPr>
          <w:rFonts w:ascii="Arial" w:cs="Arial" w:eastAsia="Arial" w:hAnsi="Arial"/>
          <w:sz w:val="18"/>
          <w:szCs w:val="18"/>
          <w:u w:val="single" w:color="auto"/>
          <w:color w:val="auto"/>
        </w:rPr>
        <w:t>Section 7.03(b)</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right="120" w:firstLine="644"/>
        <w:spacing w:after="0" w:line="306" w:lineRule="auto"/>
        <w:tabs>
          <w:tab w:leader="none" w:pos="1708" w:val="left"/>
        </w:tabs>
        <w:numPr>
          <w:ilvl w:val="0"/>
          <w:numId w:val="160"/>
        </w:numPr>
        <w:rPr>
          <w:rFonts w:ascii="Arial" w:cs="Arial" w:eastAsia="Arial" w:hAnsi="Arial"/>
          <w:sz w:val="18"/>
          <w:szCs w:val="18"/>
          <w:color w:val="auto"/>
        </w:rPr>
      </w:pPr>
      <w:r>
        <w:rPr>
          <w:rFonts w:ascii="Arial" w:cs="Arial" w:eastAsia="Arial" w:hAnsi="Arial"/>
          <w:sz w:val="16"/>
          <w:szCs w:val="16"/>
          <w:color w:val="auto"/>
        </w:rPr>
        <w:t>loans and advances to employees of Holdings, the U.S. Borrower and its Restricted Subsidiaries (i) made in the ordinary course of business for business-related travel, entertainment, relocation and analogous ordinary business purposes or (ii) made in connection with such Person’s purchase of Equity Interests (other than Disqualified Capital Stock) of Holdings in an aggregate principal amount not to exceed $30,000,000 at any time outstanding, so long as, in the case of clause (ii), such purchase price is immediately contributed to the U.S. Borrower;</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787" w:right="379" w:bottom="1440" w:gutter="0" w:footer="0" w:header="0"/>
        </w:sectPr>
      </w:pPr>
    </w:p>
    <w:bookmarkStart w:id="179" w:name="page180"/>
    <w:bookmarkEnd w:id="179"/>
    <w:p>
      <w:pPr>
        <w:ind w:left="4" w:right="200" w:firstLine="644"/>
        <w:spacing w:after="0" w:line="264" w:lineRule="auto"/>
        <w:tabs>
          <w:tab w:leader="none" w:pos="1030" w:val="left"/>
        </w:tabs>
        <w:numPr>
          <w:ilvl w:val="1"/>
          <w:numId w:val="161"/>
        </w:numPr>
        <w:rPr>
          <w:rFonts w:ascii="Arial" w:cs="Arial" w:eastAsia="Arial" w:hAnsi="Arial"/>
          <w:sz w:val="20"/>
          <w:szCs w:val="20"/>
          <w:color w:val="auto"/>
        </w:rPr>
      </w:pPr>
      <w:r>
        <w:rPr>
          <w:rFonts w:ascii="Arial" w:cs="Arial" w:eastAsia="Arial" w:hAnsi="Arial"/>
          <w:sz w:val="18"/>
          <w:szCs w:val="18"/>
          <w:color w:val="auto"/>
          <w:strike w:val="1"/>
        </w:rPr>
        <w:t xml:space="preserve">Permitted Acquisitions </w:t>
      </w:r>
      <w:r>
        <w:rPr>
          <w:rFonts w:ascii="Arial" w:cs="Arial" w:eastAsia="Arial" w:hAnsi="Arial"/>
          <w:sz w:val="18"/>
          <w:szCs w:val="18"/>
          <w:u w:val="single" w:color="auto"/>
          <w:color w:val="auto"/>
          <w:strike w:val="1"/>
        </w:rPr>
        <w:t>*other than during the Restricted Period, Permitted Acquisitions; provided that for the avoidance of doubt,</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this clause (f) shall not operate to prohibit Permitted Acquisitions that were consummated in reliance on and in accordance with this clause (f) prior to the Amendment No. 2 Effective Date;*</w:t>
      </w:r>
    </w:p>
    <w:p>
      <w:pPr>
        <w:spacing w:after="0" w:line="196" w:lineRule="exact"/>
        <w:rPr>
          <w:rFonts w:ascii="Arial" w:cs="Arial" w:eastAsia="Arial" w:hAnsi="Arial"/>
          <w:sz w:val="20"/>
          <w:szCs w:val="20"/>
          <w:color w:val="auto"/>
        </w:rPr>
      </w:pPr>
    </w:p>
    <w:p>
      <w:pPr>
        <w:ind w:left="4" w:right="120" w:firstLine="644"/>
        <w:spacing w:after="0" w:line="266" w:lineRule="auto"/>
        <w:tabs>
          <w:tab w:leader="none" w:pos="1062" w:val="left"/>
        </w:tabs>
        <w:numPr>
          <w:ilvl w:val="1"/>
          <w:numId w:val="161"/>
        </w:numPr>
        <w:rPr>
          <w:rFonts w:ascii="Arial" w:cs="Arial" w:eastAsia="Arial" w:hAnsi="Arial"/>
          <w:sz w:val="20"/>
          <w:szCs w:val="20"/>
          <w:color w:val="auto"/>
        </w:rPr>
      </w:pPr>
      <w:r>
        <w:rPr>
          <w:rFonts w:ascii="Arial" w:cs="Arial" w:eastAsia="Arial" w:hAnsi="Arial"/>
          <w:sz w:val="18"/>
          <w:szCs w:val="18"/>
          <w:color w:val="auto"/>
        </w:rPr>
        <w:t xml:space="preserve">Investments consisting of Liens, Indebtedness, fundamental changes, Asset Sales, Restricted Payments and prepayments permitted under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7.15</w:t>
      </w:r>
      <w:r>
        <w:rPr>
          <w:rFonts w:ascii="Arial" w:cs="Arial" w:eastAsia="Arial" w:hAnsi="Arial"/>
          <w:sz w:val="18"/>
          <w:szCs w:val="18"/>
          <w:color w:val="auto"/>
        </w:rPr>
        <w:t>, respectively;</w:t>
      </w:r>
    </w:p>
    <w:p>
      <w:pPr>
        <w:spacing w:after="0" w:line="190" w:lineRule="exact"/>
        <w:rPr>
          <w:rFonts w:ascii="Arial" w:cs="Arial" w:eastAsia="Arial" w:hAnsi="Arial"/>
          <w:sz w:val="20"/>
          <w:szCs w:val="20"/>
          <w:color w:val="auto"/>
        </w:rPr>
      </w:pPr>
    </w:p>
    <w:p>
      <w:pPr>
        <w:ind w:left="4" w:right="20" w:firstLine="644"/>
        <w:spacing w:after="0" w:line="266" w:lineRule="auto"/>
        <w:tabs>
          <w:tab w:leader="none" w:pos="1062" w:val="left"/>
        </w:tabs>
        <w:numPr>
          <w:ilvl w:val="1"/>
          <w:numId w:val="161"/>
        </w:numPr>
        <w:rPr>
          <w:rFonts w:ascii="Arial" w:cs="Arial" w:eastAsia="Arial" w:hAnsi="Arial"/>
          <w:sz w:val="20"/>
          <w:szCs w:val="20"/>
          <w:color w:val="auto"/>
        </w:rPr>
      </w:pPr>
      <w:r>
        <w:rPr>
          <w:rFonts w:ascii="Arial" w:cs="Arial" w:eastAsia="Arial" w:hAnsi="Arial"/>
          <w:sz w:val="18"/>
          <w:szCs w:val="18"/>
          <w:color w:val="auto"/>
        </w:rPr>
        <w:t xml:space="preserve">Investments outstanding on the Fourth Restatement Date and listed on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and any modification, replacement, renewal or extension thereof so long as the extent of such Investment is not increased thereby;</w:t>
      </w:r>
    </w:p>
    <w:p>
      <w:pPr>
        <w:spacing w:after="0" w:line="190" w:lineRule="exact"/>
        <w:rPr>
          <w:rFonts w:ascii="Arial" w:cs="Arial" w:eastAsia="Arial" w:hAnsi="Arial"/>
          <w:sz w:val="20"/>
          <w:szCs w:val="20"/>
          <w:color w:val="auto"/>
        </w:rPr>
      </w:pPr>
    </w:p>
    <w:p>
      <w:pPr>
        <w:ind w:left="1024" w:hanging="376"/>
        <w:spacing w:after="0"/>
        <w:tabs>
          <w:tab w:leader="none" w:pos="1024" w:val="left"/>
        </w:tabs>
        <w:numPr>
          <w:ilvl w:val="1"/>
          <w:numId w:val="161"/>
        </w:numPr>
        <w:rPr>
          <w:rFonts w:ascii="Arial" w:cs="Arial" w:eastAsia="Arial" w:hAnsi="Arial"/>
          <w:sz w:val="20"/>
          <w:szCs w:val="20"/>
          <w:color w:val="auto"/>
        </w:rPr>
      </w:pPr>
      <w:r>
        <w:rPr>
          <w:rFonts w:ascii="Arial" w:cs="Arial" w:eastAsia="Arial" w:hAnsi="Arial"/>
          <w:sz w:val="18"/>
          <w:szCs w:val="18"/>
          <w:color w:val="auto"/>
        </w:rPr>
        <w:t xml:space="preserve">Investments in Swap Contracts permitted under </w:t>
      </w:r>
      <w:r>
        <w:rPr>
          <w:rFonts w:ascii="Arial" w:cs="Arial" w:eastAsia="Arial" w:hAnsi="Arial"/>
          <w:sz w:val="18"/>
          <w:szCs w:val="18"/>
          <w:u w:val="single" w:color="auto"/>
          <w:color w:val="auto"/>
        </w:rPr>
        <w:t>Section 7.03(n)</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1024" w:hanging="376"/>
        <w:spacing w:after="0"/>
        <w:tabs>
          <w:tab w:leader="none" w:pos="1024" w:val="left"/>
        </w:tabs>
        <w:numPr>
          <w:ilvl w:val="1"/>
          <w:numId w:val="161"/>
        </w:numPr>
        <w:rPr>
          <w:rFonts w:ascii="Arial" w:cs="Arial" w:eastAsia="Arial" w:hAnsi="Arial"/>
          <w:sz w:val="20"/>
          <w:szCs w:val="20"/>
          <w:color w:val="auto"/>
        </w:rPr>
      </w:pPr>
      <w:r>
        <w:rPr>
          <w:rFonts w:ascii="Arial" w:cs="Arial" w:eastAsia="Arial" w:hAnsi="Arial"/>
          <w:sz w:val="18"/>
          <w:szCs w:val="18"/>
          <w:color w:val="auto"/>
        </w:rPr>
        <w:t>Investments made with the proceeds of an Excluded Issuance that are not used for any other purpose;</w:t>
      </w:r>
    </w:p>
    <w:p>
      <w:pPr>
        <w:spacing w:after="0" w:line="215" w:lineRule="exact"/>
        <w:rPr>
          <w:rFonts w:ascii="Arial" w:cs="Arial" w:eastAsia="Arial" w:hAnsi="Arial"/>
          <w:sz w:val="20"/>
          <w:szCs w:val="20"/>
          <w:color w:val="auto"/>
        </w:rPr>
      </w:pPr>
    </w:p>
    <w:p>
      <w:pPr>
        <w:ind w:left="4" w:right="440" w:firstLine="644"/>
        <w:spacing w:after="0" w:line="266" w:lineRule="auto"/>
        <w:tabs>
          <w:tab w:leader="none" w:pos="1062" w:val="left"/>
        </w:tabs>
        <w:numPr>
          <w:ilvl w:val="1"/>
          <w:numId w:val="161"/>
        </w:numPr>
        <w:rPr>
          <w:rFonts w:ascii="Arial" w:cs="Arial" w:eastAsia="Arial" w:hAnsi="Arial"/>
          <w:sz w:val="20"/>
          <w:szCs w:val="20"/>
          <w:color w:val="auto"/>
        </w:rPr>
      </w:pPr>
      <w:r>
        <w:rPr>
          <w:rFonts w:ascii="Arial" w:cs="Arial" w:eastAsia="Arial" w:hAnsi="Arial"/>
          <w:sz w:val="18"/>
          <w:szCs w:val="18"/>
          <w:color w:val="auto"/>
        </w:rPr>
        <w:t>Investments in the ordinary course of business consisting of (i) endorsements for collection or deposit and (ii) customary trade arrangements with customers consistent with past practices;</w:t>
      </w:r>
    </w:p>
    <w:p>
      <w:pPr>
        <w:spacing w:after="0" w:line="190" w:lineRule="exact"/>
        <w:rPr>
          <w:rFonts w:ascii="Arial" w:cs="Arial" w:eastAsia="Arial" w:hAnsi="Arial"/>
          <w:sz w:val="20"/>
          <w:szCs w:val="20"/>
          <w:color w:val="auto"/>
        </w:rPr>
      </w:pPr>
    </w:p>
    <w:p>
      <w:pPr>
        <w:ind w:left="4" w:right="320" w:firstLine="644"/>
        <w:spacing w:after="0" w:line="265" w:lineRule="auto"/>
        <w:tabs>
          <w:tab w:leader="none" w:pos="1019" w:val="left"/>
        </w:tabs>
        <w:numPr>
          <w:ilvl w:val="1"/>
          <w:numId w:val="161"/>
        </w:numPr>
        <w:rPr>
          <w:rFonts w:ascii="Arial" w:cs="Arial" w:eastAsia="Arial" w:hAnsi="Arial"/>
          <w:sz w:val="20"/>
          <w:szCs w:val="20"/>
          <w:color w:val="auto"/>
        </w:rPr>
      </w:pPr>
      <w:r>
        <w:rPr>
          <w:rFonts w:ascii="Arial" w:cs="Arial" w:eastAsia="Arial" w:hAnsi="Arial"/>
          <w:sz w:val="18"/>
          <w:szCs w:val="18"/>
          <w:color w:val="auto"/>
        </w:rPr>
        <w:t>Investments (including debt obligations and Equity Interests) received in connection with the bankruptcy or reorganization of suppliers and customers and in settlement of delinquent obligations of, and other disputes with, customers and suppliers arising in the ordinary course of business and upon the foreclosure with respect to any secured Investment or other transfer of title with respect to any secured Investment;</w:t>
      </w:r>
    </w:p>
    <w:p>
      <w:pPr>
        <w:spacing w:after="0" w:line="194" w:lineRule="exact"/>
        <w:rPr>
          <w:rFonts w:ascii="Arial" w:cs="Arial" w:eastAsia="Arial" w:hAnsi="Arial"/>
          <w:sz w:val="20"/>
          <w:szCs w:val="20"/>
          <w:color w:val="auto"/>
        </w:rPr>
      </w:pPr>
    </w:p>
    <w:p>
      <w:pPr>
        <w:ind w:left="4" w:right="260" w:firstLine="644"/>
        <w:spacing w:after="0" w:line="329" w:lineRule="auto"/>
        <w:tabs>
          <w:tab w:leader="none" w:pos="1118" w:val="left"/>
        </w:tabs>
        <w:numPr>
          <w:ilvl w:val="1"/>
          <w:numId w:val="161"/>
        </w:numPr>
        <w:rPr>
          <w:rFonts w:ascii="Arial" w:cs="Arial" w:eastAsia="Arial" w:hAnsi="Arial"/>
          <w:sz w:val="18"/>
          <w:szCs w:val="18"/>
          <w:color w:val="auto"/>
        </w:rPr>
      </w:pPr>
      <w:r>
        <w:rPr>
          <w:rFonts w:ascii="Arial" w:cs="Arial" w:eastAsia="Arial" w:hAnsi="Arial"/>
          <w:sz w:val="16"/>
          <w:szCs w:val="16"/>
          <w:color w:val="auto"/>
        </w:rPr>
        <w:t xml:space="preserve">loans and advances to Holdings in lieu of, and not in excess of the amount of (after giving effect to any other loans, advances or Restricted Payments in respect thereof), Restricted Payments to the extent permitted to be made to Holdings in accordance with </w:t>
      </w:r>
      <w:r>
        <w:rPr>
          <w:rFonts w:ascii="Arial" w:cs="Arial" w:eastAsia="Arial" w:hAnsi="Arial"/>
          <w:sz w:val="16"/>
          <w:szCs w:val="16"/>
          <w:u w:val="single" w:color="auto"/>
          <w:color w:val="auto"/>
        </w:rPr>
        <w:t>Section 7.06</w:t>
      </w:r>
      <w:r>
        <w:rPr>
          <w:rFonts w:ascii="Arial" w:cs="Arial" w:eastAsia="Arial" w:hAnsi="Arial"/>
          <w:sz w:val="16"/>
          <w:szCs w:val="16"/>
          <w:color w:val="auto"/>
        </w:rPr>
        <w:t>;</w:t>
      </w:r>
    </w:p>
    <w:p>
      <w:pPr>
        <w:spacing w:after="0" w:line="139" w:lineRule="exact"/>
        <w:rPr>
          <w:rFonts w:ascii="Arial" w:cs="Arial" w:eastAsia="Arial" w:hAnsi="Arial"/>
          <w:sz w:val="18"/>
          <w:szCs w:val="18"/>
          <w:color w:val="auto"/>
        </w:rPr>
      </w:pPr>
    </w:p>
    <w:p>
      <w:pPr>
        <w:ind w:left="4" w:right="60" w:firstLine="644"/>
        <w:spacing w:after="0" w:line="265" w:lineRule="auto"/>
        <w:tabs>
          <w:tab w:leader="none" w:pos="1062" w:val="left"/>
        </w:tabs>
        <w:numPr>
          <w:ilvl w:val="1"/>
          <w:numId w:val="161"/>
        </w:numPr>
        <w:rPr>
          <w:rFonts w:ascii="Arial" w:cs="Arial" w:eastAsia="Arial" w:hAnsi="Arial"/>
          <w:sz w:val="20"/>
          <w:szCs w:val="20"/>
          <w:color w:val="auto"/>
        </w:rPr>
      </w:pPr>
      <w:r>
        <w:rPr>
          <w:rFonts w:ascii="Arial" w:cs="Arial" w:eastAsia="Arial" w:hAnsi="Arial"/>
          <w:sz w:val="18"/>
          <w:szCs w:val="18"/>
          <w:color w:val="auto"/>
        </w:rPr>
        <w:t>Investments made by (i) the U.S. Borrower, Canadian Borrower, Dutch Borrower or a Subsidiary Guarantor in a Foreign Restricted Subsidiary (including guarantees of Indebtedness) in an aggregate amount outstanding at any time which shall not exceed $50,000,000, (ii) Investments by a Foreign Restricted Subsidiary in another Foreign Restricted Subsidiary, (iii) a Foreign Subsidiary that is not a Loan Party in a Foreign Subsidiary, and (iv) Foreign Subsidiary that is a Loan Party in any other Loan Party;</w:t>
      </w:r>
    </w:p>
    <w:p>
      <w:pPr>
        <w:spacing w:after="0" w:line="194" w:lineRule="exact"/>
        <w:rPr>
          <w:rFonts w:ascii="Arial" w:cs="Arial" w:eastAsia="Arial" w:hAnsi="Arial"/>
          <w:sz w:val="20"/>
          <w:szCs w:val="20"/>
          <w:color w:val="auto"/>
        </w:rPr>
      </w:pPr>
    </w:p>
    <w:p>
      <w:pPr>
        <w:ind w:left="4" w:firstLine="644"/>
        <w:spacing w:after="0" w:line="265" w:lineRule="auto"/>
        <w:tabs>
          <w:tab w:leader="none" w:pos="1062" w:val="left"/>
        </w:tabs>
        <w:numPr>
          <w:ilvl w:val="1"/>
          <w:numId w:val="161"/>
        </w:numPr>
        <w:rPr>
          <w:rFonts w:ascii="Arial" w:cs="Arial" w:eastAsia="Arial" w:hAnsi="Arial"/>
          <w:sz w:val="20"/>
          <w:szCs w:val="20"/>
          <w:color w:val="auto"/>
        </w:rPr>
      </w:pPr>
      <w:r>
        <w:rPr>
          <w:rFonts w:ascii="Arial" w:cs="Arial" w:eastAsia="Arial" w:hAnsi="Arial"/>
          <w:sz w:val="18"/>
          <w:szCs w:val="18"/>
          <w:u w:val="single" w:color="auto"/>
          <w:color w:val="auto"/>
        </w:rPr>
        <w:t>*other than during the Restricted Period,*</w:t>
      </w:r>
      <w:r>
        <w:rPr>
          <w:rFonts w:ascii="Arial" w:cs="Arial" w:eastAsia="Arial" w:hAnsi="Arial"/>
          <w:sz w:val="18"/>
          <w:szCs w:val="18"/>
          <w:color w:val="auto"/>
        </w:rPr>
        <w:t xml:space="preserve"> any other Investment, so long as immediately after giving effect to such Investment, (A) no Default or Event of Default has occurred and is continuing and (B) the Lease Adjusted Leverage Ratio (calculated on a Pro forma Basis after giving effect to any such Investment) at the time of making such Investment is less than or equal to 3.75:1.00; </w:t>
      </w:r>
      <w:r>
        <w:rPr>
          <w:rFonts w:ascii="Arial" w:cs="Arial" w:eastAsia="Arial" w:hAnsi="Arial"/>
          <w:sz w:val="18"/>
          <w:szCs w:val="18"/>
          <w:u w:val="single" w:color="auto"/>
          <w:color w:val="auto"/>
        </w:rPr>
        <w:t>*provided that for the avoidance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doubt, this clause (o) shall not operate to prohibit Investments that were consummated in reliance on and in accordance with this clause (o) prior to the Amendment No. 2 Effective Date;*</w:t>
      </w:r>
    </w:p>
    <w:p>
      <w:pPr>
        <w:spacing w:after="0" w:line="195" w:lineRule="exact"/>
        <w:rPr>
          <w:rFonts w:ascii="Arial" w:cs="Arial" w:eastAsia="Arial" w:hAnsi="Arial"/>
          <w:sz w:val="20"/>
          <w:szCs w:val="20"/>
          <w:color w:val="auto"/>
        </w:rPr>
      </w:pPr>
    </w:p>
    <w:p>
      <w:pPr>
        <w:ind w:left="1064" w:hanging="416"/>
        <w:spacing w:after="0"/>
        <w:tabs>
          <w:tab w:leader="none" w:pos="1064" w:val="left"/>
        </w:tabs>
        <w:numPr>
          <w:ilvl w:val="1"/>
          <w:numId w:val="161"/>
        </w:numPr>
        <w:rPr>
          <w:rFonts w:ascii="Arial" w:cs="Arial" w:eastAsia="Arial" w:hAnsi="Arial"/>
          <w:sz w:val="20"/>
          <w:szCs w:val="20"/>
          <w:color w:val="auto"/>
        </w:rPr>
      </w:pPr>
      <w:r>
        <w:rPr>
          <w:rFonts w:ascii="Arial" w:cs="Arial" w:eastAsia="Arial" w:hAnsi="Arial"/>
          <w:sz w:val="18"/>
          <w:szCs w:val="18"/>
          <w:color w:val="auto"/>
        </w:rPr>
        <w:t>advances of payroll payments to employees or consultants in the ordinary course of business;</w:t>
      </w:r>
    </w:p>
    <w:p>
      <w:pPr>
        <w:spacing w:after="0" w:line="215" w:lineRule="exact"/>
        <w:rPr>
          <w:rFonts w:ascii="Arial" w:cs="Arial" w:eastAsia="Arial" w:hAnsi="Arial"/>
          <w:sz w:val="20"/>
          <w:szCs w:val="20"/>
          <w:color w:val="auto"/>
        </w:rPr>
      </w:pPr>
    </w:p>
    <w:p>
      <w:pPr>
        <w:ind w:left="1064" w:hanging="416"/>
        <w:spacing w:after="0"/>
        <w:tabs>
          <w:tab w:leader="none" w:pos="1064" w:val="left"/>
        </w:tabs>
        <w:numPr>
          <w:ilvl w:val="1"/>
          <w:numId w:val="161"/>
        </w:numPr>
        <w:rPr>
          <w:rFonts w:ascii="Arial" w:cs="Arial" w:eastAsia="Arial" w:hAnsi="Arial"/>
          <w:sz w:val="20"/>
          <w:szCs w:val="20"/>
          <w:color w:val="auto"/>
        </w:rPr>
      </w:pPr>
      <w:r>
        <w:rPr>
          <w:rFonts w:ascii="Arial" w:cs="Arial" w:eastAsia="Arial" w:hAnsi="Arial"/>
          <w:sz w:val="18"/>
          <w:szCs w:val="18"/>
          <w:color w:val="auto"/>
        </w:rPr>
        <w:t xml:space="preserve">non-cash consideration received in any Asset Sale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4" w:right="100" w:firstLine="644"/>
        <w:spacing w:after="0" w:line="287" w:lineRule="auto"/>
        <w:tabs>
          <w:tab w:leader="none" w:pos="1030" w:val="left"/>
        </w:tabs>
        <w:numPr>
          <w:ilvl w:val="1"/>
          <w:numId w:val="161"/>
        </w:numPr>
        <w:rPr>
          <w:rFonts w:ascii="Arial" w:cs="Arial" w:eastAsia="Arial" w:hAnsi="Arial"/>
          <w:sz w:val="18"/>
          <w:szCs w:val="18"/>
          <w:color w:val="auto"/>
        </w:rPr>
      </w:pPr>
      <w:r>
        <w:rPr>
          <w:rFonts w:ascii="Arial" w:cs="Arial" w:eastAsia="Arial" w:hAnsi="Arial"/>
          <w:sz w:val="16"/>
          <w:szCs w:val="16"/>
          <w:color w:val="auto"/>
        </w:rPr>
        <w:t xml:space="preserve">other Investments in an aggregate amount not to exceed at any time $250,000,000; </w:t>
      </w:r>
      <w:r>
        <w:rPr>
          <w:rFonts w:ascii="Arial" w:cs="Arial" w:eastAsia="Arial" w:hAnsi="Arial"/>
          <w:sz w:val="16"/>
          <w:szCs w:val="16"/>
          <w:u w:val="single" w:color="auto"/>
          <w:color w:val="auto"/>
        </w:rPr>
        <w:t>*provided that during the Restricted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notwithstanding the reference to $250,000,000 in this Section 7.02(r), the only Investments that may be made or outstanding pursuant to this Section 7.02(r) shall be (A) Investments that were made in accordance with this Section 7.02(r) prior to the Amendment No. 2 Effective Date and</w:t>
      </w:r>
    </w:p>
    <w:p>
      <w:pPr>
        <w:spacing w:after="0" w:line="1" w:lineRule="exact"/>
        <w:rPr>
          <w:rFonts w:ascii="Arial" w:cs="Arial" w:eastAsia="Arial" w:hAnsi="Arial"/>
          <w:sz w:val="18"/>
          <w:szCs w:val="18"/>
          <w:color w:val="auto"/>
        </w:rPr>
      </w:pPr>
    </w:p>
    <w:p>
      <w:pPr>
        <w:ind w:left="284" w:hanging="284"/>
        <w:spacing w:after="0"/>
        <w:tabs>
          <w:tab w:leader="none" w:pos="284" w:val="left"/>
        </w:tabs>
        <w:numPr>
          <w:ilvl w:val="0"/>
          <w:numId w:val="16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additional Investments in an aggregate amount not to exceed at any time $20,000,000;*</w:t>
      </w:r>
    </w:p>
    <w:p>
      <w:pPr>
        <w:spacing w:after="0" w:line="200" w:lineRule="exact"/>
        <w:rPr>
          <w:sz w:val="20"/>
          <w:szCs w:val="20"/>
          <w:color w:val="auto"/>
        </w:rPr>
      </w:pPr>
    </w:p>
    <w:p>
      <w:pPr>
        <w:spacing w:after="0" w:line="240"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584"/>
          </w:cols>
          <w:pgMar w:left="976" w:top="787" w:right="339" w:bottom="1440" w:gutter="0" w:footer="0" w:header="0"/>
        </w:sectPr>
      </w:pPr>
    </w:p>
    <w:bookmarkStart w:id="180" w:name="page181"/>
    <w:bookmarkEnd w:id="180"/>
    <w:p>
      <w:pPr>
        <w:ind w:left="660" w:right="140" w:firstLine="644"/>
        <w:spacing w:after="0" w:line="265" w:lineRule="auto"/>
        <w:tabs>
          <w:tab w:leader="none" w:pos="1697" w:val="left"/>
        </w:tabs>
        <w:numPr>
          <w:ilvl w:val="0"/>
          <w:numId w:val="163"/>
        </w:numPr>
        <w:rPr>
          <w:rFonts w:ascii="Arial" w:cs="Arial" w:eastAsia="Arial" w:hAnsi="Arial"/>
          <w:sz w:val="20"/>
          <w:szCs w:val="20"/>
          <w:color w:val="auto"/>
        </w:rPr>
      </w:pPr>
      <w:r>
        <w:rPr>
          <w:rFonts w:ascii="Arial" w:cs="Arial" w:eastAsia="Arial" w:hAnsi="Arial"/>
          <w:sz w:val="18"/>
          <w:szCs w:val="18"/>
          <w:color w:val="auto"/>
        </w:rPr>
        <w:t>Investments consisting of the contribution of Equity Interests of any other Foreign Restricted Subsidiary held directly by the U.S. Borrower or a Restricted Subsidiary in exchange for Indebtedness, Equity Interests or a combination thereof of the Foreign Restricted Subsidiary to which such contribution is made or the exchange of Equity Interests in any Foreign Restricted Subsidiary for Indebtedness of such Foreign Restricted Subsidiary, as applicable;</w:t>
      </w:r>
    </w:p>
    <w:p>
      <w:pPr>
        <w:spacing w:after="0" w:line="194" w:lineRule="exact"/>
        <w:rPr>
          <w:rFonts w:ascii="Arial" w:cs="Arial" w:eastAsia="Arial" w:hAnsi="Arial"/>
          <w:sz w:val="20"/>
          <w:szCs w:val="20"/>
          <w:color w:val="auto"/>
        </w:rPr>
      </w:pPr>
    </w:p>
    <w:p>
      <w:pPr>
        <w:ind w:left="660" w:right="20" w:firstLine="644"/>
        <w:spacing w:after="0" w:line="266" w:lineRule="auto"/>
        <w:tabs>
          <w:tab w:leader="none" w:pos="1675" w:val="left"/>
        </w:tabs>
        <w:numPr>
          <w:ilvl w:val="0"/>
          <w:numId w:val="163"/>
        </w:numPr>
        <w:rPr>
          <w:rFonts w:ascii="Arial" w:cs="Arial" w:eastAsia="Arial" w:hAnsi="Arial"/>
          <w:sz w:val="20"/>
          <w:szCs w:val="20"/>
          <w:color w:val="auto"/>
        </w:rPr>
      </w:pPr>
      <w:r>
        <w:rPr>
          <w:rFonts w:ascii="Arial" w:cs="Arial" w:eastAsia="Arial" w:hAnsi="Arial"/>
          <w:sz w:val="18"/>
          <w:szCs w:val="18"/>
          <w:color w:val="auto"/>
        </w:rPr>
        <w:t>Guarantees by the U.S. Borrower or a Restricted Subsidiary of leases (other than Capital Lease Obligations) or other obligations that do not constitute Indebtedness, in each case entered into in the ordinary course of business;</w:t>
      </w:r>
    </w:p>
    <w:p>
      <w:pPr>
        <w:spacing w:after="0" w:line="190" w:lineRule="exact"/>
        <w:rPr>
          <w:rFonts w:ascii="Arial" w:cs="Arial" w:eastAsia="Arial" w:hAnsi="Arial"/>
          <w:sz w:val="20"/>
          <w:szCs w:val="20"/>
          <w:color w:val="auto"/>
        </w:rPr>
      </w:pPr>
    </w:p>
    <w:p>
      <w:pPr>
        <w:ind w:left="660" w:right="40" w:firstLine="644"/>
        <w:spacing w:after="0" w:line="264" w:lineRule="auto"/>
        <w:tabs>
          <w:tab w:leader="none" w:pos="1718" w:val="left"/>
        </w:tabs>
        <w:numPr>
          <w:ilvl w:val="0"/>
          <w:numId w:val="163"/>
        </w:numPr>
        <w:rPr>
          <w:rFonts w:ascii="Arial" w:cs="Arial" w:eastAsia="Arial" w:hAnsi="Arial"/>
          <w:sz w:val="20"/>
          <w:szCs w:val="20"/>
          <w:color w:val="auto"/>
        </w:rPr>
      </w:pPr>
      <w:r>
        <w:rPr>
          <w:rFonts w:ascii="Arial" w:cs="Arial" w:eastAsia="Arial" w:hAnsi="Arial"/>
          <w:sz w:val="18"/>
          <w:szCs w:val="18"/>
          <w:color w:val="auto"/>
        </w:rPr>
        <w:t xml:space="preserve">Investments made by any Restricted Subsidiary that is not a Subsidiary Guarantor to the extent such Investments are financed with the proceeds received by such Restricted Subsidiary from an Investment made pursuant to clauses (n), (o) or (r) of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promptly after such proceeds were received by such Restricted Subsidiary;</w:t>
      </w:r>
    </w:p>
    <w:p>
      <w:pPr>
        <w:spacing w:after="0" w:line="196" w:lineRule="exact"/>
        <w:rPr>
          <w:rFonts w:ascii="Arial" w:cs="Arial" w:eastAsia="Arial" w:hAnsi="Arial"/>
          <w:sz w:val="20"/>
          <w:szCs w:val="20"/>
          <w:color w:val="auto"/>
        </w:rPr>
      </w:pPr>
    </w:p>
    <w:p>
      <w:pPr>
        <w:ind w:left="1720" w:hanging="416"/>
        <w:spacing w:after="0"/>
        <w:tabs>
          <w:tab w:leader="none" w:pos="1720" w:val="left"/>
        </w:tabs>
        <w:numPr>
          <w:ilvl w:val="0"/>
          <w:numId w:val="163"/>
        </w:numPr>
        <w:rPr>
          <w:rFonts w:ascii="Arial" w:cs="Arial" w:eastAsia="Arial" w:hAnsi="Arial"/>
          <w:sz w:val="18"/>
          <w:szCs w:val="18"/>
          <w:color w:val="auto"/>
        </w:rPr>
      </w:pPr>
      <w:r>
        <w:rPr>
          <w:rFonts w:ascii="Arial" w:cs="Arial" w:eastAsia="Arial" w:hAnsi="Arial"/>
          <w:sz w:val="16"/>
          <w:szCs w:val="16"/>
          <w:color w:val="auto"/>
        </w:rPr>
        <w:t>Investments in Affiliated Charitable Organizations not exceeding $30,000,000 in the aggregate during the term of this Agreement;</w:t>
      </w:r>
    </w:p>
    <w:p>
      <w:pPr>
        <w:spacing w:after="0" w:line="238" w:lineRule="exact"/>
        <w:rPr>
          <w:rFonts w:ascii="Arial" w:cs="Arial" w:eastAsia="Arial" w:hAnsi="Arial"/>
          <w:sz w:val="18"/>
          <w:szCs w:val="18"/>
          <w:color w:val="auto"/>
        </w:rPr>
      </w:pPr>
    </w:p>
    <w:p>
      <w:pPr>
        <w:ind w:left="1760" w:hanging="456"/>
        <w:spacing w:after="0"/>
        <w:tabs>
          <w:tab w:leader="none" w:pos="1760" w:val="left"/>
        </w:tabs>
        <w:numPr>
          <w:ilvl w:val="0"/>
          <w:numId w:val="163"/>
        </w:numPr>
        <w:rPr>
          <w:rFonts w:ascii="Arial" w:cs="Arial" w:eastAsia="Arial" w:hAnsi="Arial"/>
          <w:sz w:val="20"/>
          <w:szCs w:val="20"/>
          <w:color w:val="auto"/>
        </w:rPr>
      </w:pPr>
      <w:r>
        <w:rPr>
          <w:rFonts w:ascii="Arial" w:cs="Arial" w:eastAsia="Arial" w:hAnsi="Arial"/>
          <w:sz w:val="18"/>
          <w:szCs w:val="18"/>
          <w:color w:val="auto"/>
        </w:rPr>
        <w:t>Investments in Treasury Management Agreements with Treasury Management Banks;</w:t>
      </w:r>
    </w:p>
    <w:p>
      <w:pPr>
        <w:spacing w:after="0" w:line="215" w:lineRule="exact"/>
        <w:rPr>
          <w:rFonts w:ascii="Arial" w:cs="Arial" w:eastAsia="Arial" w:hAnsi="Arial"/>
          <w:sz w:val="20"/>
          <w:szCs w:val="20"/>
          <w:color w:val="auto"/>
        </w:rPr>
      </w:pPr>
    </w:p>
    <w:p>
      <w:pPr>
        <w:ind w:left="660" w:right="280" w:firstLine="644"/>
        <w:spacing w:after="0" w:line="266" w:lineRule="auto"/>
        <w:tabs>
          <w:tab w:leader="none" w:pos="1718" w:val="left"/>
        </w:tabs>
        <w:numPr>
          <w:ilvl w:val="0"/>
          <w:numId w:val="163"/>
        </w:numPr>
        <w:rPr>
          <w:rFonts w:ascii="Arial" w:cs="Arial" w:eastAsia="Arial" w:hAnsi="Arial"/>
          <w:sz w:val="20"/>
          <w:szCs w:val="20"/>
          <w:color w:val="auto"/>
        </w:rPr>
      </w:pPr>
      <w:r>
        <w:rPr>
          <w:rFonts w:ascii="Arial" w:cs="Arial" w:eastAsia="Arial" w:hAnsi="Arial"/>
          <w:sz w:val="18"/>
          <w:szCs w:val="18"/>
          <w:color w:val="auto"/>
        </w:rPr>
        <w:t>Investments made in connection with the 2016 Reorganization, solely to the extent resulting from the transactions consummated pursuant to and in accordance with the definition thereof; and</w:t>
      </w:r>
    </w:p>
    <w:p>
      <w:pPr>
        <w:spacing w:after="0" w:line="190" w:lineRule="exact"/>
        <w:rPr>
          <w:rFonts w:ascii="Arial" w:cs="Arial" w:eastAsia="Arial" w:hAnsi="Arial"/>
          <w:sz w:val="20"/>
          <w:szCs w:val="20"/>
          <w:color w:val="auto"/>
        </w:rPr>
      </w:pPr>
    </w:p>
    <w:p>
      <w:pPr>
        <w:ind w:left="660" w:firstLine="644"/>
        <w:spacing w:after="0" w:line="265" w:lineRule="auto"/>
        <w:tabs>
          <w:tab w:leader="none" w:pos="1718" w:val="left"/>
        </w:tabs>
        <w:numPr>
          <w:ilvl w:val="0"/>
          <w:numId w:val="163"/>
        </w:numPr>
        <w:rPr>
          <w:rFonts w:ascii="Arial" w:cs="Arial" w:eastAsia="Arial" w:hAnsi="Arial"/>
          <w:sz w:val="20"/>
          <w:szCs w:val="20"/>
          <w:color w:val="auto"/>
        </w:rPr>
      </w:pPr>
      <w:r>
        <w:rPr>
          <w:rFonts w:ascii="Arial" w:cs="Arial" w:eastAsia="Arial" w:hAnsi="Arial"/>
          <w:sz w:val="18"/>
          <w:szCs w:val="18"/>
          <w:color w:val="auto"/>
        </w:rPr>
        <w:t xml:space="preserve">during a Collateral and Covenant Release Period, any Investment so long as the U.S. Borrower and its Restricted Subsidiaries shall be in pro forma compliance (giving effect to such Investment and each other Investment, if any, made in reliance on this exception after the end of the most recently ended Test Period) with the financial covenants set forth in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as of the last day of the most recently ended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termination of such Collateral and Covenant Release Period, all Investments made in reliance on this exception shall be deemed to have been made under one or more other exceptions contained in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for purposes of determining the U.S. Borrowers’ and its Restricted Subsidiaries’ ability to utilize any basket, threshold, cap or similar exception to make additional Investments following the termination of such Collateral and Covenant Release Period (with such Investments being allocated by the U.S. Borrower in good faith to minimize any potential overages).</w:t>
      </w:r>
    </w:p>
    <w:p>
      <w:pPr>
        <w:spacing w:after="0" w:line="18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An Investment shall be deemed to be outstanding to the extent not returned in the same form (or (i) in assets that may be used in those businesses in which the U.S. Borrower and its Restricted Subsidiaries are permitted to be engaged under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and have at least the same fair market value or</w:t>
      </w:r>
    </w:p>
    <w:p>
      <w:pPr>
        <w:ind w:right="160" w:firstLine="8"/>
        <w:spacing w:after="0" w:line="253" w:lineRule="auto"/>
        <w:tabs>
          <w:tab w:leader="none" w:pos="2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in Cash Equivalents with at least the same fair market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Cash Equivalents are otherwise permitted by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such Cash Equivalents are liquidated within 180 days) as the original Investment to (x) if such Investment was made by U.S. Borrower or a Subsidiary Guarantor, to the U.S. Borrower or a Subsidiary Guarantor and (y) if such Investment was made by a Restricted Subsidiary that was not a Guarantor, to U.S. Borrower or any Restricted Subsidiary.</w:t>
      </w:r>
    </w:p>
    <w:p>
      <w:pPr>
        <w:spacing w:after="0" w:line="18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7.03</w:t>
      </w:r>
      <w:r>
        <w:rPr>
          <w:sz w:val="20"/>
          <w:szCs w:val="20"/>
          <w:color w:val="auto"/>
        </w:rPr>
        <w:tab/>
      </w:r>
      <w:r>
        <w:rPr>
          <w:rFonts w:ascii="Arial" w:cs="Arial" w:eastAsia="Arial" w:hAnsi="Arial"/>
          <w:sz w:val="16"/>
          <w:szCs w:val="16"/>
          <w:b w:val="1"/>
          <w:bCs w:val="1"/>
          <w:u w:val="single" w:color="auto"/>
          <w:color w:val="auto"/>
        </w:rPr>
        <w:t>Indebtedness and Disqualified Capital Stock</w:t>
      </w:r>
      <w:r>
        <w:rPr>
          <w:rFonts w:ascii="Arial" w:cs="Arial" w:eastAsia="Arial" w:hAnsi="Arial"/>
          <w:sz w:val="16"/>
          <w:szCs w:val="16"/>
          <w:color w:val="auto"/>
        </w:rPr>
        <w:t>. Create, incur, assume or suffer to exist any Indebtedness or Disqualified Capital Stock,</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234" w:lineRule="exact"/>
        <w:rPr>
          <w:sz w:val="20"/>
          <w:szCs w:val="20"/>
          <w:color w:val="auto"/>
        </w:rPr>
      </w:pPr>
    </w:p>
    <w:p>
      <w:pPr>
        <w:ind w:left="1700" w:hanging="396"/>
        <w:spacing w:after="0"/>
        <w:tabs>
          <w:tab w:leader="none" w:pos="1700" w:val="left"/>
        </w:tabs>
        <w:numPr>
          <w:ilvl w:val="0"/>
          <w:numId w:val="165"/>
        </w:numPr>
        <w:rPr>
          <w:rFonts w:ascii="Arial" w:cs="Arial" w:eastAsia="Arial" w:hAnsi="Arial"/>
          <w:sz w:val="20"/>
          <w:szCs w:val="20"/>
          <w:color w:val="auto"/>
        </w:rPr>
      </w:pPr>
      <w:r>
        <w:rPr>
          <w:rFonts w:ascii="Arial" w:cs="Arial" w:eastAsia="Arial" w:hAnsi="Arial"/>
          <w:sz w:val="18"/>
          <w:szCs w:val="18"/>
          <w:color w:val="auto"/>
        </w:rPr>
        <w:t>Indebtedness under the Loan Documents;</w:t>
      </w:r>
    </w:p>
    <w:p>
      <w:pPr>
        <w:spacing w:after="0" w:line="215" w:lineRule="exact"/>
        <w:rPr>
          <w:rFonts w:ascii="Arial" w:cs="Arial" w:eastAsia="Arial" w:hAnsi="Arial"/>
          <w:sz w:val="20"/>
          <w:szCs w:val="20"/>
          <w:color w:val="auto"/>
        </w:rPr>
      </w:pPr>
    </w:p>
    <w:p>
      <w:pPr>
        <w:ind w:left="660" w:firstLine="644"/>
        <w:spacing w:after="0" w:line="303" w:lineRule="auto"/>
        <w:tabs>
          <w:tab w:leader="none" w:pos="1718" w:val="left"/>
        </w:tabs>
        <w:numPr>
          <w:ilvl w:val="0"/>
          <w:numId w:val="165"/>
        </w:numPr>
        <w:rPr>
          <w:rFonts w:ascii="Arial" w:cs="Arial" w:eastAsia="Arial" w:hAnsi="Arial"/>
          <w:sz w:val="18"/>
          <w:szCs w:val="18"/>
          <w:color w:val="auto"/>
        </w:rPr>
      </w:pPr>
      <w:r>
        <w:rPr>
          <w:rFonts w:ascii="Arial" w:cs="Arial" w:eastAsia="Arial" w:hAnsi="Arial"/>
          <w:sz w:val="16"/>
          <w:szCs w:val="16"/>
          <w:color w:val="auto"/>
        </w:rPr>
        <w:t xml:space="preserve">Indebtedness of (w) any Subsidiary Guarantor, Canadian Borrower, or Dutch Borrower to the U.S. Borrower, any other Subsidiary Guarantor, Canadian Borrower or Dutch Borrower, (x) the U.S. Borrower to any Subsidiary Guarantor, Canadian Borrower or Dutch Borrower, (y) the U.S. Borrower, Canadian Borrower, Dutch Borrower, or any Subsidiary Guarantor owed to Foreign Subsidiaries, and (z) Foreign Subsidiaries not constituting Loan Parties to other Foreign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all such Indebtedness described in clauses (w) and (x) above, to the extent representing Indebtedness owed to a U.S. Loan Party, except during a Collateral and Covenant Release Period, shall be evidenced by promissory notes and all such notes shall be subject to a First Priority Lien pursuant to the Security Agreement, (ii) all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787" w:right="339" w:bottom="1440" w:gutter="0" w:footer="0" w:header="0"/>
        </w:sectPr>
      </w:pPr>
    </w:p>
    <w:bookmarkStart w:id="181" w:name="page182"/>
    <w:bookmarkEnd w:id="181"/>
    <w:p>
      <w:pPr>
        <w:ind w:right="80"/>
        <w:spacing w:after="0" w:line="279" w:lineRule="auto"/>
        <w:rPr>
          <w:sz w:val="20"/>
          <w:szCs w:val="20"/>
          <w:color w:val="auto"/>
        </w:rPr>
      </w:pPr>
      <w:r>
        <w:rPr>
          <w:rFonts w:ascii="Arial" w:cs="Arial" w:eastAsia="Arial" w:hAnsi="Arial"/>
          <w:sz w:val="17"/>
          <w:szCs w:val="17"/>
          <w:color w:val="auto"/>
        </w:rPr>
        <w:t>such Indebtedness shall be unsecured and subordinated in right of payment to the payment in full of the Obligations pursuant to the terms of the applicable promissory notes or an intercompany subordination agreement that in any such case, is reasonably satisfactory to Administrative Agent, and (iii) any payment by any such Subsidiary Guarantor under any guaranty of the Obligations shall result in a pro tanto reduction of the amount of any Indebtedness owed by such Subsidiary Guarantor to the U.S. Borrower or to any of its Subsidiaries for whose benefit such payment is made;</w:t>
      </w:r>
    </w:p>
    <w:p>
      <w:pPr>
        <w:spacing w:after="0" w:line="185" w:lineRule="exact"/>
        <w:rPr>
          <w:sz w:val="20"/>
          <w:szCs w:val="20"/>
          <w:color w:val="auto"/>
        </w:rPr>
      </w:pPr>
    </w:p>
    <w:p>
      <w:pPr>
        <w:ind w:left="660" w:right="60" w:firstLine="644"/>
        <w:spacing w:after="0" w:line="265" w:lineRule="auto"/>
        <w:tabs>
          <w:tab w:leader="none" w:pos="1708" w:val="left"/>
        </w:tabs>
        <w:numPr>
          <w:ilvl w:val="0"/>
          <w:numId w:val="166"/>
        </w:numPr>
        <w:rPr>
          <w:rFonts w:ascii="Arial" w:cs="Arial" w:eastAsia="Arial" w:hAnsi="Arial"/>
          <w:sz w:val="20"/>
          <w:szCs w:val="20"/>
          <w:color w:val="auto"/>
        </w:rPr>
      </w:pPr>
      <w:r>
        <w:rPr>
          <w:rFonts w:ascii="Arial" w:cs="Arial" w:eastAsia="Arial" w:hAnsi="Arial"/>
          <w:sz w:val="18"/>
          <w:szCs w:val="18"/>
          <w:color w:val="auto"/>
        </w:rPr>
        <w:t xml:space="preserve">Indebtedness incurred by the U.S. Borrower or any of its Restricted Subsidiaries arising from agreements providing for indemnification, adjustment of purchase price, earn-out or similar obligations, or from guarantees or letters of credit, surety bonds or performance bonds securing the performance of the U.S. Borrower or any such Restricted Subsidiary pursuant to such agreements, in connection with Permitted Acquisitions or permitted dispositions of any business, assets or Restricted Subsidiary of the U.S. Borrower or any of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disposition, the maximum aggregate liability in respect of all such obligations outstanding under this clause (c) shall at no time exceed the gross proceeds actually received by the U.S. Borrower and its Restricted Subsidiaries in connection with such disposition;</w:t>
      </w:r>
    </w:p>
    <w:p>
      <w:pPr>
        <w:spacing w:after="0" w:line="197" w:lineRule="exact"/>
        <w:rPr>
          <w:rFonts w:ascii="Arial" w:cs="Arial" w:eastAsia="Arial" w:hAnsi="Arial"/>
          <w:sz w:val="20"/>
          <w:szCs w:val="20"/>
          <w:color w:val="auto"/>
        </w:rPr>
      </w:pPr>
    </w:p>
    <w:p>
      <w:pPr>
        <w:ind w:left="660" w:firstLine="644"/>
        <w:spacing w:after="0" w:line="301" w:lineRule="auto"/>
        <w:tabs>
          <w:tab w:leader="none" w:pos="1718" w:val="left"/>
        </w:tabs>
        <w:numPr>
          <w:ilvl w:val="0"/>
          <w:numId w:val="166"/>
        </w:numPr>
        <w:rPr>
          <w:rFonts w:ascii="Arial" w:cs="Arial" w:eastAsia="Arial" w:hAnsi="Arial"/>
          <w:sz w:val="18"/>
          <w:szCs w:val="18"/>
          <w:color w:val="auto"/>
        </w:rPr>
      </w:pPr>
      <w:r>
        <w:rPr>
          <w:rFonts w:ascii="Arial" w:cs="Arial" w:eastAsia="Arial" w:hAnsi="Arial"/>
          <w:sz w:val="16"/>
          <w:szCs w:val="16"/>
          <w:u w:val="single" w:color="auto"/>
          <w:color w:val="auto"/>
        </w:rPr>
        <w:t>*other than during the Restricted Period*,</w:t>
      </w:r>
      <w:r>
        <w:rPr>
          <w:rFonts w:ascii="Arial" w:cs="Arial" w:eastAsia="Arial" w:hAnsi="Arial"/>
          <w:sz w:val="16"/>
          <w:szCs w:val="16"/>
          <w:color w:val="auto"/>
        </w:rPr>
        <w:t xml:space="preserve"> Indebtedness of the U.S. Borrower and its Restricted Subsidiaries (A) assumed in connection with any Permitted Acquisition; provided that such Indebtedness is not incurred in contemplation of such Permitted Acquisition, or (B) owed to the seller of any property acquired in a Permitted Acquisition on an unsecured subordinated basis, which subordination shall be on terms reasonably satisfactory to the Administrative Agent, in each case, so long as both immediately prior and after giving effect thereto, (x) no Default or Event of Default shall exist or result therefrom, and (y) the U.S. Borrower and its Restricted Subsidiaries will be in pro forma compliance with the covenants set forth in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after giving effect to such Permitted Acquisition and the incurrence or issuance of such Indebtedness and any extensions, renewals or replacements (“refinancings”) of such Indebtedness except refinancings of any such Indebtedness if the terms and conditions thereof when taken as a whole are less favorable to the obligor thereon or to the Lenders than the Indebtedness being refinanced or extended, and the average life to maturity thereof is not greater than or equal to that of the Indebtedness being refinanced or extended; provided such refinancing Indebtedness shall not (A) include Indebtedness of an obligor that was not an obligor with respect to the Indebtedness being extended, renewed or refinanced, (B) exceed in principal amount the Indebtedness being renewed, extended or refinanced along with interest and premium (if any) of such Indebtedness, together with fees and expenses related to such renewal, extension or refinancing or (C) be incurred, created or assumed if any Default or Event of Default has occurred and is continuing or would result therefrom; </w:t>
      </w:r>
      <w:r>
        <w:rPr>
          <w:rFonts w:ascii="Arial" w:cs="Arial" w:eastAsia="Arial" w:hAnsi="Arial"/>
          <w:sz w:val="16"/>
          <w:szCs w:val="16"/>
          <w:u w:val="single" w:color="auto"/>
          <w:color w:val="auto"/>
        </w:rPr>
        <w:t>*provided that for avoidance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doubt, this clause (d) shall not operate to prohibit Indebtedness that was incurred, created or assumed in reliance on and in accordance with this clause (d) prior to the Amendment No. 2 Effective Date;*</w:t>
      </w:r>
    </w:p>
    <w:p>
      <w:pPr>
        <w:spacing w:after="0" w:line="168" w:lineRule="exact"/>
        <w:rPr>
          <w:rFonts w:ascii="Arial" w:cs="Arial" w:eastAsia="Arial" w:hAnsi="Arial"/>
          <w:sz w:val="18"/>
          <w:szCs w:val="18"/>
          <w:color w:val="auto"/>
        </w:rPr>
      </w:pPr>
    </w:p>
    <w:p>
      <w:pPr>
        <w:ind w:left="660" w:right="80" w:firstLine="644"/>
        <w:spacing w:after="0" w:line="266" w:lineRule="auto"/>
        <w:tabs>
          <w:tab w:leader="none" w:pos="1708" w:val="left"/>
        </w:tabs>
        <w:numPr>
          <w:ilvl w:val="0"/>
          <w:numId w:val="166"/>
        </w:numPr>
        <w:rPr>
          <w:rFonts w:ascii="Arial" w:cs="Arial" w:eastAsia="Arial" w:hAnsi="Arial"/>
          <w:sz w:val="20"/>
          <w:szCs w:val="20"/>
          <w:color w:val="auto"/>
        </w:rPr>
      </w:pPr>
      <w:r>
        <w:rPr>
          <w:rFonts w:ascii="Arial" w:cs="Arial" w:eastAsia="Arial" w:hAnsi="Arial"/>
          <w:sz w:val="18"/>
          <w:szCs w:val="18"/>
          <w:color w:val="auto"/>
        </w:rPr>
        <w:t>Indebtedness representing deferred compensation to employees of the U.S. Borrower and its Restricted Subsidiaries incurred in the ordinary course of business;</w:t>
      </w:r>
    </w:p>
    <w:p>
      <w:pPr>
        <w:spacing w:after="0" w:line="190" w:lineRule="exact"/>
        <w:rPr>
          <w:rFonts w:ascii="Arial" w:cs="Arial" w:eastAsia="Arial" w:hAnsi="Arial"/>
          <w:sz w:val="20"/>
          <w:szCs w:val="20"/>
          <w:color w:val="auto"/>
        </w:rPr>
      </w:pPr>
    </w:p>
    <w:p>
      <w:pPr>
        <w:ind w:left="660" w:right="40" w:firstLine="644"/>
        <w:spacing w:after="0" w:line="266" w:lineRule="auto"/>
        <w:tabs>
          <w:tab w:leader="none" w:pos="1686" w:val="left"/>
        </w:tabs>
        <w:numPr>
          <w:ilvl w:val="0"/>
          <w:numId w:val="166"/>
        </w:numPr>
        <w:rPr>
          <w:rFonts w:ascii="Arial" w:cs="Arial" w:eastAsia="Arial" w:hAnsi="Arial"/>
          <w:sz w:val="20"/>
          <w:szCs w:val="20"/>
          <w:color w:val="auto"/>
        </w:rPr>
      </w:pPr>
      <w:r>
        <w:rPr>
          <w:rFonts w:ascii="Arial" w:cs="Arial" w:eastAsia="Arial" w:hAnsi="Arial"/>
          <w:sz w:val="18"/>
          <w:szCs w:val="18"/>
          <w:color w:val="auto"/>
        </w:rPr>
        <w:t>Indebtedness consisting of obligations of the U.S. Borrower or its Restricted Subsidiaries under deferred employee compensation or other similar arrangements incurred by such Person in connection with Permitted Acquisitions;</w:t>
      </w:r>
    </w:p>
    <w:p>
      <w:pPr>
        <w:spacing w:after="0" w:line="190" w:lineRule="exact"/>
        <w:rPr>
          <w:rFonts w:ascii="Arial" w:cs="Arial" w:eastAsia="Arial" w:hAnsi="Arial"/>
          <w:sz w:val="20"/>
          <w:szCs w:val="20"/>
          <w:color w:val="auto"/>
        </w:rPr>
      </w:pPr>
    </w:p>
    <w:p>
      <w:pPr>
        <w:ind w:left="660" w:right="960" w:firstLine="644"/>
        <w:spacing w:after="0" w:line="266" w:lineRule="auto"/>
        <w:tabs>
          <w:tab w:leader="none" w:pos="1718" w:val="left"/>
        </w:tabs>
        <w:numPr>
          <w:ilvl w:val="0"/>
          <w:numId w:val="166"/>
        </w:numPr>
        <w:rPr>
          <w:rFonts w:ascii="Arial" w:cs="Arial" w:eastAsia="Arial" w:hAnsi="Arial"/>
          <w:sz w:val="20"/>
          <w:szCs w:val="20"/>
          <w:color w:val="auto"/>
        </w:rPr>
      </w:pPr>
      <w:r>
        <w:rPr>
          <w:rFonts w:ascii="Arial" w:cs="Arial" w:eastAsia="Arial" w:hAnsi="Arial"/>
          <w:sz w:val="18"/>
          <w:szCs w:val="18"/>
          <w:color w:val="auto"/>
        </w:rPr>
        <w:t>Indebtedness consisting of (A) the financing of insurance premiums or (B) take-or-pay obligations contained in supply arrangements, in each case, in the ordinary course of business;</w:t>
      </w:r>
    </w:p>
    <w:p>
      <w:pPr>
        <w:spacing w:after="0" w:line="190" w:lineRule="exact"/>
        <w:rPr>
          <w:rFonts w:ascii="Arial" w:cs="Arial" w:eastAsia="Arial" w:hAnsi="Arial"/>
          <w:sz w:val="20"/>
          <w:szCs w:val="20"/>
          <w:color w:val="auto"/>
        </w:rPr>
      </w:pPr>
    </w:p>
    <w:p>
      <w:pPr>
        <w:ind w:left="660" w:firstLine="644"/>
        <w:spacing w:after="0" w:line="266" w:lineRule="auto"/>
        <w:tabs>
          <w:tab w:leader="none" w:pos="1718" w:val="left"/>
        </w:tabs>
        <w:numPr>
          <w:ilvl w:val="0"/>
          <w:numId w:val="166"/>
        </w:numPr>
        <w:rPr>
          <w:rFonts w:ascii="Arial" w:cs="Arial" w:eastAsia="Arial" w:hAnsi="Arial"/>
          <w:sz w:val="20"/>
          <w:szCs w:val="20"/>
          <w:color w:val="auto"/>
        </w:rPr>
      </w:pPr>
      <w:r>
        <w:rPr>
          <w:rFonts w:ascii="Arial" w:cs="Arial" w:eastAsia="Arial" w:hAnsi="Arial"/>
          <w:sz w:val="18"/>
          <w:szCs w:val="18"/>
          <w:color w:val="auto"/>
        </w:rPr>
        <w:t>Indebtedness which may be deemed to exist pursuant to any guarantees, performance, surety, statutory, appeal or similar obligations (other than any guarantees of obligations for borrowed money) incurred in the ordinary course of business;</w:t>
      </w:r>
    </w:p>
    <w:p>
      <w:pPr>
        <w:spacing w:after="0" w:line="190" w:lineRule="exact"/>
        <w:rPr>
          <w:rFonts w:ascii="Arial" w:cs="Arial" w:eastAsia="Arial" w:hAnsi="Arial"/>
          <w:sz w:val="20"/>
          <w:szCs w:val="20"/>
          <w:color w:val="auto"/>
        </w:rPr>
      </w:pPr>
    </w:p>
    <w:p>
      <w:pPr>
        <w:ind w:left="660" w:right="200" w:firstLine="644"/>
        <w:spacing w:after="0" w:line="266" w:lineRule="auto"/>
        <w:tabs>
          <w:tab w:leader="none" w:pos="1675" w:val="left"/>
        </w:tabs>
        <w:numPr>
          <w:ilvl w:val="0"/>
          <w:numId w:val="166"/>
        </w:numPr>
        <w:rPr>
          <w:rFonts w:ascii="Arial" w:cs="Arial" w:eastAsia="Arial" w:hAnsi="Arial"/>
          <w:sz w:val="20"/>
          <w:szCs w:val="20"/>
          <w:color w:val="auto"/>
        </w:rPr>
      </w:pPr>
      <w:r>
        <w:rPr>
          <w:rFonts w:ascii="Arial" w:cs="Arial" w:eastAsia="Arial" w:hAnsi="Arial"/>
          <w:sz w:val="18"/>
          <w:szCs w:val="18"/>
          <w:color w:val="auto"/>
        </w:rPr>
        <w:t xml:space="preserve">Indebtedness in respect of netting services, overdraft protections and otherwise in connection with deposit accounts;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extinguished within five (5) Business Days of the incurrence thereof;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341" w:right="359" w:bottom="1440" w:gutter="0" w:footer="0" w:header="0"/>
        </w:sectPr>
      </w:pPr>
    </w:p>
    <w:bookmarkStart w:id="182" w:name="page183"/>
    <w:bookmarkEnd w:id="182"/>
    <w:p>
      <w:pPr>
        <w:ind w:left="4" w:right="600" w:firstLine="644"/>
        <w:spacing w:after="0" w:line="266" w:lineRule="auto"/>
        <w:tabs>
          <w:tab w:leader="none" w:pos="1019" w:val="left"/>
        </w:tabs>
        <w:numPr>
          <w:ilvl w:val="1"/>
          <w:numId w:val="167"/>
        </w:numPr>
        <w:rPr>
          <w:rFonts w:ascii="Arial" w:cs="Arial" w:eastAsia="Arial" w:hAnsi="Arial"/>
          <w:sz w:val="20"/>
          <w:szCs w:val="20"/>
          <w:color w:val="auto"/>
        </w:rPr>
      </w:pPr>
      <w:r>
        <w:rPr>
          <w:rFonts w:ascii="Arial" w:cs="Arial" w:eastAsia="Arial" w:hAnsi="Arial"/>
          <w:sz w:val="18"/>
          <w:szCs w:val="18"/>
          <w:color w:val="auto"/>
        </w:rPr>
        <w:t>guarantees in the ordinary course of business of the obligations of suppliers, customers, franchisees and licensees of the U.S. Borrower and its Restricted Subsidiaries;</w:t>
      </w:r>
    </w:p>
    <w:p>
      <w:pPr>
        <w:spacing w:after="0" w:line="190" w:lineRule="exact"/>
        <w:rPr>
          <w:rFonts w:ascii="Arial" w:cs="Arial" w:eastAsia="Arial" w:hAnsi="Arial"/>
          <w:sz w:val="20"/>
          <w:szCs w:val="20"/>
          <w:color w:val="auto"/>
        </w:rPr>
      </w:pPr>
    </w:p>
    <w:p>
      <w:pPr>
        <w:ind w:left="4" w:firstLine="644"/>
        <w:spacing w:after="0" w:line="292" w:lineRule="auto"/>
        <w:tabs>
          <w:tab w:leader="none" w:pos="1062" w:val="left"/>
        </w:tabs>
        <w:numPr>
          <w:ilvl w:val="1"/>
          <w:numId w:val="167"/>
        </w:numPr>
        <w:rPr>
          <w:rFonts w:ascii="Arial" w:cs="Arial" w:eastAsia="Arial" w:hAnsi="Arial"/>
          <w:sz w:val="18"/>
          <w:szCs w:val="18"/>
          <w:color w:val="auto"/>
        </w:rPr>
      </w:pPr>
      <w:r>
        <w:rPr>
          <w:rFonts w:ascii="Arial" w:cs="Arial" w:eastAsia="Arial" w:hAnsi="Arial"/>
          <w:sz w:val="16"/>
          <w:szCs w:val="16"/>
          <w:color w:val="auto"/>
        </w:rPr>
        <w:t xml:space="preserve">(i) guarantees by the U.S. Borrower of Indebtedness of a Subsidiary Guarantor or guarantees by a Subsidiary Guarantor of Indebtedness of the U.S. Borrower or another Subsidiary Guarantor or (ii) guarantees by a Restricted Subsidiary of the U.S. Borrower that is not a Guarantor of Indebtedness of another Restricted Subsidiary of the U.S. Borrower that is not a Subsidiary Guarantor or (iii) guarantees by a Foreign Restricted Subsidiary of Indebtedness of another Foreign Restricted Subsidiary or (iv) guarantees by the U.S. Borrower or a Subsidiary Guarantor of Indebtedness of a Restricted Subsidiary of the U.S. Borrower that is not a Guarantor to extent permitted by </w:t>
      </w:r>
      <w:r>
        <w:rPr>
          <w:rFonts w:ascii="Arial" w:cs="Arial" w:eastAsia="Arial" w:hAnsi="Arial"/>
          <w:sz w:val="16"/>
          <w:szCs w:val="16"/>
          <w:u w:val="single" w:color="auto"/>
          <w:color w:val="auto"/>
        </w:rPr>
        <w:t>Section 7.02(e)</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or</w:t>
      </w:r>
    </w:p>
    <w:p>
      <w:pPr>
        <w:spacing w:after="0" w:line="1" w:lineRule="exact"/>
        <w:rPr>
          <w:rFonts w:ascii="Arial" w:cs="Arial" w:eastAsia="Arial" w:hAnsi="Arial"/>
          <w:sz w:val="18"/>
          <w:szCs w:val="18"/>
          <w:color w:val="auto"/>
        </w:rPr>
      </w:pPr>
    </w:p>
    <w:p>
      <w:pPr>
        <w:ind w:left="264" w:hanging="264"/>
        <w:spacing w:after="0"/>
        <w:tabs>
          <w:tab w:leader="none" w:pos="264" w:val="left"/>
        </w:tabs>
        <w:numPr>
          <w:ilvl w:val="0"/>
          <w:numId w:val="168"/>
        </w:numPr>
        <w:rPr>
          <w:rFonts w:ascii="Arial" w:cs="Arial" w:eastAsia="Arial" w:hAnsi="Arial"/>
          <w:sz w:val="18"/>
          <w:szCs w:val="18"/>
          <w:u w:val="single" w:color="auto"/>
          <w:color w:val="auto"/>
        </w:rPr>
      </w:pPr>
      <w:r>
        <w:rPr>
          <w:rFonts w:ascii="Arial" w:cs="Arial" w:eastAsia="Arial" w:hAnsi="Arial"/>
          <w:sz w:val="18"/>
          <w:szCs w:val="18"/>
          <w:color w:val="auto"/>
        </w:rPr>
        <w:t xml:space="preserve">with respect, in each case, to Indebtedness otherwise permitted to be incurred pursuant to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37" w:lineRule="exact"/>
        <w:rPr>
          <w:rFonts w:ascii="Arial" w:cs="Arial" w:eastAsia="Arial" w:hAnsi="Arial"/>
          <w:sz w:val="18"/>
          <w:szCs w:val="18"/>
          <w:u w:val="single" w:color="auto"/>
          <w:color w:val="auto"/>
        </w:rPr>
      </w:pPr>
    </w:p>
    <w:p>
      <w:pPr>
        <w:ind w:left="1024" w:hanging="376"/>
        <w:spacing w:after="0"/>
        <w:tabs>
          <w:tab w:leader="none" w:pos="1024" w:val="left"/>
        </w:tabs>
        <w:numPr>
          <w:ilvl w:val="1"/>
          <w:numId w:val="168"/>
        </w:numPr>
        <w:rPr>
          <w:rFonts w:ascii="Arial" w:cs="Arial" w:eastAsia="Arial" w:hAnsi="Arial"/>
          <w:sz w:val="19"/>
          <w:szCs w:val="19"/>
          <w:color w:val="auto"/>
        </w:rPr>
      </w:pPr>
      <w:r>
        <w:rPr>
          <w:rFonts w:ascii="Arial" w:cs="Arial" w:eastAsia="Arial" w:hAnsi="Arial"/>
          <w:sz w:val="17"/>
          <w:szCs w:val="17"/>
          <w:color w:val="auto"/>
        </w:rPr>
        <w:t xml:space="preserve">Indebtedness existing on the Closing Date and listed on </w:t>
      </w:r>
      <w:r>
        <w:rPr>
          <w:rFonts w:ascii="Arial" w:cs="Arial" w:eastAsia="Arial" w:hAnsi="Arial"/>
          <w:sz w:val="17"/>
          <w:szCs w:val="17"/>
          <w:u w:val="single" w:color="auto"/>
          <w:color w:val="auto"/>
        </w:rPr>
        <w:t>Schedule 7.03</w:t>
      </w:r>
      <w:r>
        <w:rPr>
          <w:rFonts w:ascii="Arial" w:cs="Arial" w:eastAsia="Arial" w:hAnsi="Arial"/>
          <w:sz w:val="17"/>
          <w:szCs w:val="17"/>
          <w:color w:val="auto"/>
        </w:rPr>
        <w:t xml:space="preserve"> and Permitted Refinancing Indebtedness thereof;</w:t>
      </w:r>
    </w:p>
    <w:p>
      <w:pPr>
        <w:spacing w:after="0" w:line="227" w:lineRule="exact"/>
        <w:rPr>
          <w:rFonts w:ascii="Arial" w:cs="Arial" w:eastAsia="Arial" w:hAnsi="Arial"/>
          <w:sz w:val="19"/>
          <w:szCs w:val="19"/>
          <w:color w:val="auto"/>
        </w:rPr>
      </w:pPr>
    </w:p>
    <w:p>
      <w:pPr>
        <w:ind w:left="4" w:right="240" w:firstLine="644"/>
        <w:spacing w:after="0" w:line="265" w:lineRule="auto"/>
        <w:tabs>
          <w:tab w:leader="none" w:pos="1118" w:val="left"/>
        </w:tabs>
        <w:numPr>
          <w:ilvl w:val="1"/>
          <w:numId w:val="168"/>
        </w:numPr>
        <w:rPr>
          <w:rFonts w:ascii="Arial" w:cs="Arial" w:eastAsia="Arial" w:hAnsi="Arial"/>
          <w:sz w:val="20"/>
          <w:szCs w:val="20"/>
          <w:color w:val="auto"/>
        </w:rPr>
      </w:pPr>
      <w:r>
        <w:rPr>
          <w:rFonts w:ascii="Arial" w:cs="Arial" w:eastAsia="Arial" w:hAnsi="Arial"/>
          <w:sz w:val="18"/>
          <w:szCs w:val="18"/>
          <w:color w:val="auto"/>
        </w:rPr>
        <w:t xml:space="preserve">Capital Lease Obligations and purchase money Indebtedness incurred within 360 days of the acquisition or completion of construction or installation of the assets acquired in connection with the incurrence of such Indebtedness in an aggregate amount which, when added to refinancings thereof and with sales and lease-backs permitted pursuant to </w:t>
      </w:r>
      <w:r>
        <w:rPr>
          <w:rFonts w:ascii="Arial" w:cs="Arial" w:eastAsia="Arial" w:hAnsi="Arial"/>
          <w:sz w:val="18"/>
          <w:szCs w:val="18"/>
          <w:u w:val="single" w:color="auto"/>
          <w:color w:val="auto"/>
        </w:rPr>
        <w:t>Section 7.09</w:t>
      </w:r>
      <w:r>
        <w:rPr>
          <w:rFonts w:ascii="Arial" w:cs="Arial" w:eastAsia="Arial" w:hAnsi="Arial"/>
          <w:sz w:val="18"/>
          <w:szCs w:val="18"/>
          <w:color w:val="auto"/>
        </w:rPr>
        <w:t>, is in an aggregate principal amount at any time outstanding not to exceed the greater of (i) $100,000,000 and (ii) 5% of Consolidated Total Assets, and Permitted Refinancing Indebtedness thereof;</w:t>
      </w:r>
    </w:p>
    <w:p>
      <w:pPr>
        <w:spacing w:after="0" w:line="195" w:lineRule="exact"/>
        <w:rPr>
          <w:rFonts w:ascii="Arial" w:cs="Arial" w:eastAsia="Arial" w:hAnsi="Arial"/>
          <w:sz w:val="20"/>
          <w:szCs w:val="20"/>
          <w:color w:val="auto"/>
        </w:rPr>
      </w:pPr>
    </w:p>
    <w:p>
      <w:pPr>
        <w:ind w:left="4" w:right="160" w:firstLine="644"/>
        <w:spacing w:after="0" w:line="264" w:lineRule="auto"/>
        <w:tabs>
          <w:tab w:leader="none" w:pos="1062" w:val="left"/>
        </w:tabs>
        <w:numPr>
          <w:ilvl w:val="1"/>
          <w:numId w:val="168"/>
        </w:numPr>
        <w:rPr>
          <w:rFonts w:ascii="Arial" w:cs="Arial" w:eastAsia="Arial" w:hAnsi="Arial"/>
          <w:sz w:val="20"/>
          <w:szCs w:val="20"/>
          <w:color w:val="auto"/>
        </w:rPr>
      </w:pPr>
      <w:r>
        <w:rPr>
          <w:rFonts w:ascii="Arial" w:cs="Arial" w:eastAsia="Arial" w:hAnsi="Arial"/>
          <w:sz w:val="18"/>
          <w:szCs w:val="18"/>
          <w:color w:val="auto"/>
        </w:rPr>
        <w:t xml:space="preserve">obligations (contingent or otherwise) of the U.S. Borrower or any Restricted Subsidiary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obligations are (or were) entered into in the ordinary course of business for the purpose of fixing or hedging interest rate, currency or commodity risks and not for purposes of speculation;</w:t>
      </w:r>
    </w:p>
    <w:p>
      <w:pPr>
        <w:spacing w:after="0" w:line="196" w:lineRule="exact"/>
        <w:rPr>
          <w:rFonts w:ascii="Arial" w:cs="Arial" w:eastAsia="Arial" w:hAnsi="Arial"/>
          <w:sz w:val="20"/>
          <w:szCs w:val="20"/>
          <w:color w:val="auto"/>
        </w:rPr>
      </w:pPr>
    </w:p>
    <w:p>
      <w:pPr>
        <w:ind w:left="4" w:right="40" w:firstLine="644"/>
        <w:spacing w:after="0" w:line="303" w:lineRule="auto"/>
        <w:tabs>
          <w:tab w:leader="none" w:pos="1062" w:val="left"/>
        </w:tabs>
        <w:numPr>
          <w:ilvl w:val="1"/>
          <w:numId w:val="168"/>
        </w:numPr>
        <w:rPr>
          <w:rFonts w:ascii="Arial" w:cs="Arial" w:eastAsia="Arial" w:hAnsi="Arial"/>
          <w:sz w:val="18"/>
          <w:szCs w:val="18"/>
          <w:color w:val="auto"/>
        </w:rPr>
      </w:pPr>
      <w:r>
        <w:rPr>
          <w:rFonts w:ascii="Arial" w:cs="Arial" w:eastAsia="Arial" w:hAnsi="Arial"/>
          <w:sz w:val="16"/>
          <w:szCs w:val="16"/>
          <w:color w:val="auto"/>
        </w:rPr>
        <w:t xml:space="preserve">Indebtedness incurred by the U.S. Borrower to past, present or future members of management, employees, directors and consultants of Holdings, the U.S. Borrower or any Restricted Subsidiary in connection with stock repurchases;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such Indebtedness incurred during any fiscal year of the U.S. Borrower shall not exceed $15,000,000; </w:t>
      </w:r>
      <w:r>
        <w:rPr>
          <w:rFonts w:ascii="Arial" w:cs="Arial" w:eastAsia="Arial" w:hAnsi="Arial"/>
          <w:sz w:val="16"/>
          <w:szCs w:val="16"/>
          <w:u w:val="single" w:color="auto"/>
          <w:color w:val="auto"/>
        </w:rPr>
        <w:t>*provided that during the 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 notwithstanding the reference to $15,000,000 in this Section 7.03(o), the only Indebtedness that may be incurred or outstanding pursuant to this Section 7.03(o) shall be (A) Indebtedness that was incurred and outstanding in accordance with this Section 7.03(o) as of the Amendment No. 2 Effective Date and (B) additional Indebtedness otherwise incurred in accordance with this Section 7.03(o) in an aggregate principal amount not to exceed (together with any Indebtedness incurred during the Restricted Period pursuant to Sections 7.03(p) or (r)) $10,000,000;*</w:t>
      </w:r>
    </w:p>
    <w:p>
      <w:pPr>
        <w:spacing w:after="0" w:line="167" w:lineRule="exact"/>
        <w:rPr>
          <w:rFonts w:ascii="Arial" w:cs="Arial" w:eastAsia="Arial" w:hAnsi="Arial"/>
          <w:sz w:val="18"/>
          <w:szCs w:val="18"/>
          <w:color w:val="auto"/>
        </w:rPr>
      </w:pPr>
    </w:p>
    <w:p>
      <w:pPr>
        <w:ind w:left="4" w:right="60" w:firstLine="644"/>
        <w:spacing w:after="0" w:line="265" w:lineRule="auto"/>
        <w:tabs>
          <w:tab w:leader="none" w:pos="1062" w:val="left"/>
        </w:tabs>
        <w:numPr>
          <w:ilvl w:val="1"/>
          <w:numId w:val="168"/>
        </w:numPr>
        <w:rPr>
          <w:rFonts w:ascii="Arial" w:cs="Arial" w:eastAsia="Arial" w:hAnsi="Arial"/>
          <w:sz w:val="20"/>
          <w:szCs w:val="20"/>
          <w:color w:val="auto"/>
        </w:rPr>
      </w:pPr>
      <w:r>
        <w:rPr>
          <w:rFonts w:ascii="Arial" w:cs="Arial" w:eastAsia="Arial" w:hAnsi="Arial"/>
          <w:sz w:val="18"/>
          <w:szCs w:val="18"/>
          <w:color w:val="auto"/>
        </w:rPr>
        <w:t xml:space="preserve">Indebtedness of one or more Foreign Subsidiaries that are Restricted Subsidiaries in an aggregate amount not to exceed not to exceed $60,000,000; </w:t>
      </w:r>
      <w:r>
        <w:rPr>
          <w:rFonts w:ascii="Arial" w:cs="Arial" w:eastAsia="Arial" w:hAnsi="Arial"/>
          <w:sz w:val="18"/>
          <w:szCs w:val="18"/>
          <w:u w:val="single" w:color="auto"/>
          <w:color w:val="auto"/>
        </w:rPr>
        <w:t>*provided that during the Restricted Period, notwithstanding the reference to $60,000,000 in this Section 7.03(p), the only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Indebtedness that may be incurred or outstanding pursuant to this Section 7.03(p) shall be (A) Indebtedness that was incurred and outstanding in accordance with this Section 7.03(p) as of the Amendment No. 2 Effective Date and (B) additional Indebtedness otherwise incurred in accordance with this Section 7.03(p) in an aggregate principal amount not to exceed (together with any Indebtedness incurred during the Restricted Period pursuant to Sections 7.03(o) or (r)) $10,000,000;*</w:t>
      </w:r>
    </w:p>
    <w:p>
      <w:pPr>
        <w:spacing w:after="0" w:line="196" w:lineRule="exact"/>
        <w:rPr>
          <w:rFonts w:ascii="Arial" w:cs="Arial" w:eastAsia="Arial" w:hAnsi="Arial"/>
          <w:sz w:val="20"/>
          <w:szCs w:val="20"/>
          <w:color w:val="auto"/>
        </w:rPr>
      </w:pPr>
    </w:p>
    <w:p>
      <w:pPr>
        <w:ind w:left="4" w:right="580" w:firstLine="644"/>
        <w:spacing w:after="0" w:line="266" w:lineRule="auto"/>
        <w:tabs>
          <w:tab w:leader="none" w:pos="1062" w:val="left"/>
        </w:tabs>
        <w:numPr>
          <w:ilvl w:val="1"/>
          <w:numId w:val="168"/>
        </w:numPr>
        <w:rPr>
          <w:rFonts w:ascii="Arial" w:cs="Arial" w:eastAsia="Arial" w:hAnsi="Arial"/>
          <w:sz w:val="20"/>
          <w:szCs w:val="20"/>
          <w:color w:val="auto"/>
        </w:rPr>
      </w:pPr>
      <w:r>
        <w:rPr>
          <w:rFonts w:ascii="Arial" w:cs="Arial" w:eastAsia="Arial" w:hAnsi="Arial"/>
          <w:sz w:val="18"/>
          <w:szCs w:val="18"/>
          <w:color w:val="auto"/>
        </w:rPr>
        <w:t xml:space="preserve">Indebtedness of a Foreign Restricted Subsidiary to the U.S. Borrower or a Subsidiary Guarantor to the extent constituting an Investment permitted by </w:t>
      </w:r>
      <w:r>
        <w:rPr>
          <w:rFonts w:ascii="Arial" w:cs="Arial" w:eastAsia="Arial" w:hAnsi="Arial"/>
          <w:sz w:val="18"/>
          <w:szCs w:val="18"/>
          <w:u w:val="single" w:color="auto"/>
          <w:color w:val="auto"/>
        </w:rPr>
        <w:t>Section 7.02(e)</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w:t>
      </w:r>
    </w:p>
    <w:p>
      <w:pPr>
        <w:spacing w:after="0" w:line="190" w:lineRule="exact"/>
        <w:rPr>
          <w:rFonts w:ascii="Arial" w:cs="Arial" w:eastAsia="Arial" w:hAnsi="Arial"/>
          <w:sz w:val="20"/>
          <w:szCs w:val="20"/>
          <w:color w:val="auto"/>
        </w:rPr>
      </w:pPr>
    </w:p>
    <w:p>
      <w:pPr>
        <w:ind w:left="4" w:right="20" w:firstLine="644"/>
        <w:spacing w:after="0" w:line="310" w:lineRule="auto"/>
        <w:tabs>
          <w:tab w:leader="none" w:pos="1030" w:val="left"/>
        </w:tabs>
        <w:numPr>
          <w:ilvl w:val="1"/>
          <w:numId w:val="168"/>
        </w:numPr>
        <w:rPr>
          <w:rFonts w:ascii="Arial" w:cs="Arial" w:eastAsia="Arial" w:hAnsi="Arial"/>
          <w:sz w:val="18"/>
          <w:szCs w:val="18"/>
          <w:color w:val="auto"/>
        </w:rPr>
      </w:pPr>
      <w:r>
        <w:rPr>
          <w:rFonts w:ascii="Arial" w:cs="Arial" w:eastAsia="Arial" w:hAnsi="Arial"/>
          <w:sz w:val="16"/>
          <w:szCs w:val="16"/>
          <w:color w:val="auto"/>
        </w:rPr>
        <w:t xml:space="preserve">Indebtedness of the U.S. Borrower and its Restricted Subsidiaries in an aggregate amount not to exceed $75,000,000;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w:t>
      </w:r>
      <w:r>
        <w:rPr>
          <w:rFonts w:ascii="Arial" w:cs="Arial" w:eastAsia="Arial" w:hAnsi="Arial"/>
          <w:sz w:val="16"/>
          <w:szCs w:val="16"/>
          <w:u w:val="single" w:color="auto"/>
          <w:color w:val="auto"/>
        </w:rPr>
        <w:t>during the Restricted Period, notwithstanding the reference to $75,000,000 in this Section 7.03(r), the only Indebtedness that may be incurred or outstanding pursuant to this Section 7.03(r) shall be (A) Indebtedness that was incurred and outstanding in accordance with this</w:t>
      </w:r>
    </w:p>
    <w:p>
      <w:pPr>
        <w:spacing w:after="0" w:line="364"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584"/>
          </w:cols>
          <w:pgMar w:left="976" w:top="787" w:right="33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u w:val="single" w:color="auto"/>
          <w:color w:val="auto"/>
        </w:rPr>
        <w:t>Section 7.03(r) as of the Amendment No. 2 Effective Date and (B) additional Indebtedness otherwise incurred in accordance with this Section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7.03(r) in an aggregate principal amount not to exceed (together with any Indebtedness incurred during the Restricted Period pursuant to Sections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7.03(o) or (p)) $10,000,000;*</w:t>
      </w:r>
    </w:p>
    <w:p>
      <w:pPr>
        <w:spacing w:after="0" w:line="224" w:lineRule="exact"/>
        <w:rPr>
          <w:sz w:val="20"/>
          <w:szCs w:val="20"/>
          <w:color w:val="auto"/>
        </w:rPr>
      </w:pPr>
    </w:p>
    <w:p>
      <w:pPr>
        <w:ind w:right="20" w:firstLine="644"/>
        <w:spacing w:after="0" w:line="282" w:lineRule="auto"/>
        <w:tabs>
          <w:tab w:leader="none" w:pos="1037" w:val="left"/>
        </w:tabs>
        <w:numPr>
          <w:ilvl w:val="0"/>
          <w:numId w:val="169"/>
        </w:numPr>
        <w:rPr>
          <w:rFonts w:ascii="Arial" w:cs="Arial" w:eastAsia="Arial" w:hAnsi="Arial"/>
          <w:sz w:val="19"/>
          <w:szCs w:val="19"/>
          <w:color w:val="auto"/>
        </w:rPr>
      </w:pPr>
      <w:r>
        <w:rPr>
          <w:rFonts w:ascii="Arial" w:cs="Arial" w:eastAsia="Arial" w:hAnsi="Arial"/>
          <w:sz w:val="17"/>
          <w:szCs w:val="17"/>
          <w:color w:val="auto"/>
        </w:rPr>
        <w:t xml:space="preserve">unsecured Indebtedness of the U.S. Borrower and the Subsidiary Guarantors, so long as, after giving effect thereto, (A) no Default or Event of Default has occurred and is continuing and (B) the Lease Adjusted Leverage Ratio (on a Pro forma Basis after giving effect to the incurrence of such Indebtedness) at the time of the incurrence of such Indebtedness is less than or equal to 3.75:1.00;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shall not mature earlier than the Maturity Date and no portion thereof shall be required to be repaid, prepaid, redeemed, repurchased or defeased, whether on one or more fixed dates, upon the occurrence of one or more events or at the option of any holder thereof prior to the Maturity Date (except, in each case, this proviso will not prevent (i) customary prepayment or repurchase events upon a change in control or an asset sale and (ii) customary mandatory prepayment, repurchase or redemption provisions of “bridge” facilities in connection with a bridge or other interim credit facility to the extent such bridge or interim credit facility, subject to customary conditions, automatically converts or exchanges into Indebtedness that would otherwise be permitted under this </w:t>
      </w:r>
      <w:r>
        <w:rPr>
          <w:rFonts w:ascii="Arial" w:cs="Arial" w:eastAsia="Arial" w:hAnsi="Arial"/>
          <w:sz w:val="17"/>
          <w:szCs w:val="17"/>
          <w:u w:val="single" w:color="auto"/>
          <w:color w:val="auto"/>
        </w:rPr>
        <w:t>Section 7.03(s)</w:t>
      </w:r>
      <w:r>
        <w:rPr>
          <w:rFonts w:ascii="Arial" w:cs="Arial" w:eastAsia="Arial" w:hAnsi="Arial"/>
          <w:sz w:val="17"/>
          <w:szCs w:val="17"/>
          <w:color w:val="auto"/>
        </w:rPr>
        <w:t xml:space="preserve"> (without giving effect to this clause (ii)));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for the avoidance of doubt, no Restricted Subsidiary that is not a Subsidiary Guarantor may guarantee or be an obligor with respect to such Indebtedness;</w:t>
      </w:r>
    </w:p>
    <w:p>
      <w:pPr>
        <w:spacing w:after="0" w:line="186" w:lineRule="exact"/>
        <w:rPr>
          <w:rFonts w:ascii="Arial" w:cs="Arial" w:eastAsia="Arial" w:hAnsi="Arial"/>
          <w:sz w:val="19"/>
          <w:szCs w:val="19"/>
          <w:color w:val="auto"/>
        </w:rPr>
      </w:pPr>
    </w:p>
    <w:p>
      <w:pPr>
        <w:ind w:right="640" w:firstLine="644"/>
        <w:spacing w:after="0" w:line="266" w:lineRule="auto"/>
        <w:tabs>
          <w:tab w:leader="none" w:pos="1015" w:val="left"/>
        </w:tabs>
        <w:numPr>
          <w:ilvl w:val="0"/>
          <w:numId w:val="169"/>
        </w:numPr>
        <w:rPr>
          <w:rFonts w:ascii="Arial" w:cs="Arial" w:eastAsia="Arial" w:hAnsi="Arial"/>
          <w:sz w:val="20"/>
          <w:szCs w:val="20"/>
          <w:color w:val="auto"/>
        </w:rPr>
      </w:pPr>
      <w:r>
        <w:rPr>
          <w:rFonts w:ascii="Arial" w:cs="Arial" w:eastAsia="Arial" w:hAnsi="Arial"/>
          <w:sz w:val="18"/>
          <w:szCs w:val="18"/>
          <w:color w:val="auto"/>
        </w:rPr>
        <w:t>Indebtedness under Treasury Management Agreements with (A) Treasury Management Banks or (B) in the case of Foreign Subsidiaries, depositary institutions, commercial banks or similar institutions;</w:t>
      </w:r>
    </w:p>
    <w:p>
      <w:pPr>
        <w:spacing w:after="0" w:line="190" w:lineRule="exact"/>
        <w:rPr>
          <w:rFonts w:ascii="Arial" w:cs="Arial" w:eastAsia="Arial" w:hAnsi="Arial"/>
          <w:sz w:val="20"/>
          <w:szCs w:val="20"/>
          <w:color w:val="auto"/>
        </w:rPr>
      </w:pPr>
    </w:p>
    <w:p>
      <w:pPr>
        <w:ind w:firstLine="644"/>
        <w:spacing w:after="0" w:line="266" w:lineRule="auto"/>
        <w:tabs>
          <w:tab w:leader="none" w:pos="1058" w:val="left"/>
        </w:tabs>
        <w:numPr>
          <w:ilvl w:val="0"/>
          <w:numId w:val="169"/>
        </w:numPr>
        <w:rPr>
          <w:rFonts w:ascii="Arial" w:cs="Arial" w:eastAsia="Arial" w:hAnsi="Arial"/>
          <w:sz w:val="20"/>
          <w:szCs w:val="20"/>
          <w:color w:val="auto"/>
        </w:rPr>
      </w:pPr>
      <w:r>
        <w:rPr>
          <w:rFonts w:ascii="Arial" w:cs="Arial" w:eastAsia="Arial" w:hAnsi="Arial"/>
          <w:sz w:val="18"/>
          <w:szCs w:val="18"/>
          <w:color w:val="auto"/>
        </w:rPr>
        <w:t>Intercompany Indebtedness arising from the 2016 Reorganization, solely to the extent resulting from the transactions consummated pursuant to and in accordance with the definition thereof;</w:t>
      </w:r>
    </w:p>
    <w:p>
      <w:pPr>
        <w:spacing w:after="0" w:line="190" w:lineRule="exact"/>
        <w:rPr>
          <w:rFonts w:ascii="Arial" w:cs="Arial" w:eastAsia="Arial" w:hAnsi="Arial"/>
          <w:sz w:val="20"/>
          <w:szCs w:val="20"/>
          <w:color w:val="auto"/>
        </w:rPr>
      </w:pPr>
    </w:p>
    <w:p>
      <w:pPr>
        <w:ind w:right="20" w:firstLine="644"/>
        <w:spacing w:after="0" w:line="301" w:lineRule="auto"/>
        <w:tabs>
          <w:tab w:leader="none" w:pos="1058" w:val="left"/>
        </w:tabs>
        <w:numPr>
          <w:ilvl w:val="0"/>
          <w:numId w:val="169"/>
        </w:numPr>
        <w:rPr>
          <w:rFonts w:ascii="Arial" w:cs="Arial" w:eastAsia="Arial" w:hAnsi="Arial"/>
          <w:sz w:val="18"/>
          <w:szCs w:val="18"/>
          <w:color w:val="auto"/>
        </w:rPr>
      </w:pPr>
      <w:r>
        <w:rPr>
          <w:rFonts w:ascii="Arial" w:cs="Arial" w:eastAsia="Arial" w:hAnsi="Arial"/>
          <w:sz w:val="16"/>
          <w:szCs w:val="16"/>
          <w:color w:val="auto"/>
        </w:rPr>
        <w:t xml:space="preserve">in the event that any L/C Issuer has resigned and (i) no successor L/C Issuer has been appointed under Section 10.6(i) or (ii) such successor L/C Issuers appointed under such Section have not agreed to commit to issue Letters of Credit in amounts up to the amounts set forth in </w:t>
      </w:r>
      <w:r>
        <w:rPr>
          <w:rFonts w:ascii="Arial" w:cs="Arial" w:eastAsia="Arial" w:hAnsi="Arial"/>
          <w:sz w:val="16"/>
          <w:szCs w:val="16"/>
          <w:u w:val="single" w:color="auto"/>
          <w:color w:val="auto"/>
        </w:rPr>
        <w:t>Section 2.03(a)(ii)(A)(VIII)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2.03(a)(ii)(B)(VIII)</w:t>
      </w:r>
      <w:r>
        <w:rPr>
          <w:rFonts w:ascii="Arial" w:cs="Arial" w:eastAsia="Arial" w:hAnsi="Arial"/>
          <w:sz w:val="16"/>
          <w:szCs w:val="16"/>
          <w:color w:val="auto"/>
        </w:rPr>
        <w:t xml:space="preserve">, as applicable (the difference between each such amount and the actual commitments received by such successor L/C Issuers with respect to the respective Letter of Credit Facility, the “Shortfall Amount” with respect to such Letter of Credit Facility), letters of credit in a face amount not to exceed the lesser of (1) with respect to either Letter of Credit Facility, the Shortfall Amount and (2) an amount that when added to the sum of the aggregate (a) Outstanding Amount of the U.S. Dollar Facility Revolving Loans, (b) Outstanding Amount of Multicurrency Facility Revolving Facility Loans, (c) Outstanding Amount of U.S. Dollar Facility Swing Line Loans, (d) Outstanding Amount of Multicurrency Facility Swing Line Loans, (e) Outstanding Amount of U.S. Dollar Facility L/C Obligations and (f) Outstanding Amount of Multicurrency Facility L/C Obligations would exceed the sum of (x) the aggregate U.S. Dollar Facility Commitments of all Lenders then in effect plus (y) the aggregate Multicurrency Facility Commitments of all Lenders then in effect; provided, that to the extent the foregoing limits in clause (1) or (2) are exceeded after the date of incurrence of any such letter of credit, the amount of any such letter of credit shall be re-allocated to another basket under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may not be deemed as outstanding pursuant to this clause 7.03(v); and</w:t>
      </w:r>
    </w:p>
    <w:p>
      <w:pPr>
        <w:spacing w:after="0" w:line="172" w:lineRule="exact"/>
        <w:rPr>
          <w:rFonts w:ascii="Arial" w:cs="Arial" w:eastAsia="Arial" w:hAnsi="Arial"/>
          <w:sz w:val="18"/>
          <w:szCs w:val="18"/>
          <w:color w:val="auto"/>
        </w:rPr>
      </w:pPr>
    </w:p>
    <w:p>
      <w:pPr>
        <w:ind w:right="40" w:firstLine="644"/>
        <w:spacing w:after="0" w:line="283" w:lineRule="auto"/>
        <w:tabs>
          <w:tab w:leader="none" w:pos="1103" w:val="left"/>
        </w:tabs>
        <w:numPr>
          <w:ilvl w:val="0"/>
          <w:numId w:val="169"/>
        </w:numPr>
        <w:rPr>
          <w:rFonts w:ascii="Arial" w:cs="Arial" w:eastAsia="Arial" w:hAnsi="Arial"/>
          <w:sz w:val="19"/>
          <w:szCs w:val="19"/>
          <w:color w:val="auto"/>
        </w:rPr>
      </w:pPr>
      <w:r>
        <w:rPr>
          <w:rFonts w:ascii="Arial" w:cs="Arial" w:eastAsia="Arial" w:hAnsi="Arial"/>
          <w:sz w:val="17"/>
          <w:szCs w:val="17"/>
          <w:color w:val="auto"/>
        </w:rPr>
        <w:t xml:space="preserve">(A) the </w:t>
      </w:r>
      <w:r>
        <w:rPr>
          <w:rFonts w:ascii="Arial" w:cs="Arial" w:eastAsia="Arial" w:hAnsi="Arial"/>
          <w:sz w:val="17"/>
          <w:szCs w:val="17"/>
          <w:color w:val="auto"/>
          <w:strike w:val="1"/>
        </w:rPr>
        <w:t>2021</w:t>
      </w:r>
      <w:r>
        <w:rPr>
          <w:rFonts w:ascii="Arial" w:cs="Arial" w:eastAsia="Arial" w:hAnsi="Arial"/>
          <w:sz w:val="17"/>
          <w:szCs w:val="17"/>
          <w:color w:val="auto"/>
        </w:rPr>
        <w:t xml:space="preserve"> </w:t>
      </w:r>
      <w:r>
        <w:rPr>
          <w:rFonts w:ascii="Arial" w:cs="Arial" w:eastAsia="Arial" w:hAnsi="Arial"/>
          <w:sz w:val="17"/>
          <w:szCs w:val="17"/>
          <w:u w:val="single" w:color="auto"/>
          <w:color w:val="auto"/>
        </w:rPr>
        <w:t>*2027*</w:t>
      </w:r>
      <w:r>
        <w:rPr>
          <w:rFonts w:ascii="Arial" w:cs="Arial" w:eastAsia="Arial" w:hAnsi="Arial"/>
          <w:sz w:val="17"/>
          <w:szCs w:val="17"/>
          <w:color w:val="auto"/>
        </w:rPr>
        <w:t xml:space="preserve"> Notes and the guarantees of the </w:t>
      </w:r>
      <w:r>
        <w:rPr>
          <w:rFonts w:ascii="Arial" w:cs="Arial" w:eastAsia="Arial" w:hAnsi="Arial"/>
          <w:sz w:val="17"/>
          <w:szCs w:val="17"/>
          <w:color w:val="auto"/>
          <w:strike w:val="1"/>
        </w:rPr>
        <w:t>2021</w:t>
      </w:r>
      <w:r>
        <w:rPr>
          <w:rFonts w:ascii="Arial" w:cs="Arial" w:eastAsia="Arial" w:hAnsi="Arial"/>
          <w:sz w:val="17"/>
          <w:szCs w:val="17"/>
          <w:u w:val="single" w:color="auto"/>
          <w:color w:val="auto"/>
        </w:rPr>
        <w:t>*2027*</w:t>
      </w:r>
      <w:r>
        <w:rPr>
          <w:rFonts w:ascii="Arial" w:cs="Arial" w:eastAsia="Arial" w:hAnsi="Arial"/>
          <w:sz w:val="17"/>
          <w:szCs w:val="17"/>
          <w:color w:val="auto"/>
        </w:rPr>
        <w:t xml:space="preserve"> Notes by the Subsidiary Guarantors and (B) Indebtedness incurred to effectuate one or more refinancings, refundings, extensions, renewals or replacements of the Indebtedness referred to in clause (A) of this clause (w);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Indebtedness referred to in this clause (B): (i) the aggregate principal amount thereof does not exceed the sum of (1) the </w:t>
      </w:r>
      <w:r>
        <w:rPr>
          <w:rFonts w:ascii="Arial" w:cs="Arial" w:eastAsia="Arial" w:hAnsi="Arial"/>
          <w:sz w:val="17"/>
          <w:szCs w:val="17"/>
          <w:color w:val="auto"/>
          <w:strike w:val="1"/>
        </w:rPr>
        <w:t>original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*aggregate*</w:t>
      </w:r>
      <w:r>
        <w:rPr>
          <w:rFonts w:ascii="Arial" w:cs="Arial" w:eastAsia="Arial" w:hAnsi="Arial"/>
          <w:sz w:val="17"/>
          <w:szCs w:val="17"/>
          <w:color w:val="auto"/>
        </w:rPr>
        <w:t xml:space="preserve"> principal amount of the Indebtedness referred to in such clause (A) </w:t>
      </w:r>
      <w:r>
        <w:rPr>
          <w:rFonts w:ascii="Arial" w:cs="Arial" w:eastAsia="Arial" w:hAnsi="Arial"/>
          <w:sz w:val="17"/>
          <w:szCs w:val="17"/>
          <w:color w:val="auto"/>
          <w:strike w:val="1"/>
        </w:rPr>
        <w:t>plus (2) a principal amount not</w:t>
      </w:r>
      <w:r>
        <w:rPr>
          <w:rFonts w:ascii="Arial" w:cs="Arial" w:eastAsia="Arial" w:hAnsi="Arial"/>
          <w:sz w:val="17"/>
          <w:szCs w:val="17"/>
          <w:color w:val="auto"/>
        </w:rPr>
        <w:t xml:space="preserve"> </w:t>
      </w:r>
      <w:r>
        <w:rPr>
          <w:rFonts w:ascii="Arial" w:cs="Arial" w:eastAsia="Arial" w:hAnsi="Arial"/>
          <w:sz w:val="17"/>
          <w:szCs w:val="17"/>
          <w:color w:val="auto"/>
          <w:strike w:val="1"/>
        </w:rPr>
        <w:t>to exceed $100,000,000 in the aggregate to the extent such amount is used to repay Loans hereunder plus (3</w:t>
      </w:r>
      <w:r>
        <w:rPr>
          <w:rFonts w:ascii="Arial" w:cs="Arial" w:eastAsia="Arial" w:hAnsi="Arial"/>
          <w:sz w:val="17"/>
          <w:szCs w:val="17"/>
          <w:u w:val="single" w:color="auto"/>
          <w:color w:val="auto"/>
          <w:strike w:val="1"/>
        </w:rPr>
        <w:t>*as of the time of such refinancing,</w:t>
      </w:r>
      <w:r>
        <w:rPr>
          <w:rFonts w:ascii="Arial" w:cs="Arial" w:eastAsia="Arial" w:hAnsi="Arial"/>
          <w:sz w:val="17"/>
          <w:szCs w:val="17"/>
          <w:color w:val="auto"/>
          <w:strike w:val="1"/>
        </w:rPr>
        <w:t xml:space="preserve"> </w:t>
      </w:r>
      <w:r>
        <w:rPr>
          <w:rFonts w:ascii="Arial" w:cs="Arial" w:eastAsia="Arial" w:hAnsi="Arial"/>
          <w:sz w:val="17"/>
          <w:szCs w:val="17"/>
          <w:u w:val="single" w:color="auto"/>
          <w:color w:val="auto"/>
          <w:strike w:val="1"/>
        </w:rPr>
        <w:t>refunding, extension, renewals or replacement plus (2</w:t>
      </w:r>
      <w:r>
        <w:rPr>
          <w:rFonts w:ascii="Arial" w:cs="Arial" w:eastAsia="Arial" w:hAnsi="Arial"/>
          <w:sz w:val="17"/>
          <w:szCs w:val="17"/>
          <w:color w:val="auto"/>
          <w:strike w:val="1"/>
        </w:rPr>
        <w:t xml:space="preserve">)* an unlimited principal amount, for the avoidance of doubt, to the extent permitted to be incurred pursuant to clause (s) above plus (4 </w:t>
      </w:r>
      <w:r>
        <w:rPr>
          <w:rFonts w:ascii="Arial" w:cs="Arial" w:eastAsia="Arial" w:hAnsi="Arial"/>
          <w:sz w:val="17"/>
          <w:szCs w:val="17"/>
          <w:u w:val="single" w:color="auto"/>
          <w:color w:val="auto"/>
          <w:strike w:val="1"/>
        </w:rPr>
        <w:t>*3*</w:t>
      </w:r>
      <w:r>
        <w:rPr>
          <w:rFonts w:ascii="Arial" w:cs="Arial" w:eastAsia="Arial" w:hAnsi="Arial"/>
          <w:sz w:val="17"/>
          <w:szCs w:val="17"/>
          <w:color w:val="auto"/>
          <w:strike w:val="1"/>
        </w:rPr>
        <w:t>) the amount of any interest, premiums or penalties reasonably required to be paid plus fees and expenses associated therewith, (ii) the only Restricted</w:t>
      </w:r>
    </w:p>
    <w:p>
      <w:pPr>
        <w:spacing w:after="0" w:line="38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520"/>
          </w:cols>
          <w:pgMar w:left="980" w:top="557" w:right="399" w:bottom="1440" w:gutter="0" w:footer="0" w:header="0"/>
        </w:sectPr>
      </w:pPr>
    </w:p>
    <w:bookmarkStart w:id="184" w:name="page185"/>
    <w:bookmarkEnd w:id="184"/>
    <w:p>
      <w:pPr>
        <w:ind w:left="660" w:right="300"/>
        <w:spacing w:after="0" w:line="279" w:lineRule="auto"/>
        <w:rPr>
          <w:sz w:val="20"/>
          <w:szCs w:val="20"/>
          <w:color w:val="auto"/>
        </w:rPr>
      </w:pPr>
      <w:r>
        <w:rPr>
          <w:rFonts w:ascii="Arial" w:cs="Arial" w:eastAsia="Arial" w:hAnsi="Arial"/>
          <w:sz w:val="17"/>
          <w:szCs w:val="17"/>
          <w:color w:val="auto"/>
        </w:rPr>
        <w:t xml:space="preserve">Subsidiaries that may be obligors thereon are the Subsidiary Guarantors, (iii) the final maturity date thereof shall not be earlier than the final maturity date of the </w:t>
      </w:r>
      <w:r>
        <w:rPr>
          <w:rFonts w:ascii="Arial" w:cs="Arial" w:eastAsia="Arial" w:hAnsi="Arial"/>
          <w:sz w:val="17"/>
          <w:szCs w:val="17"/>
          <w:color w:val="auto"/>
          <w:strike w:val="1"/>
        </w:rPr>
        <w:t>2021</w:t>
      </w:r>
      <w:r>
        <w:rPr>
          <w:rFonts w:ascii="Arial" w:cs="Arial" w:eastAsia="Arial" w:hAnsi="Arial"/>
          <w:sz w:val="17"/>
          <w:szCs w:val="17"/>
          <w:u w:val="single" w:color="auto"/>
          <w:color w:val="auto"/>
        </w:rPr>
        <w:t>*2027*</w:t>
      </w:r>
      <w:r>
        <w:rPr>
          <w:rFonts w:ascii="Arial" w:cs="Arial" w:eastAsia="Arial" w:hAnsi="Arial"/>
          <w:sz w:val="17"/>
          <w:szCs w:val="17"/>
          <w:color w:val="auto"/>
        </w:rPr>
        <w:t xml:space="preserve"> Notes, (iv) no interim amortization or scheduled payments of principal shall be applicable thereto and (v) the mandatory prepayment, mandatory redemption and mandatory offer to purchase provisions thereof shall not be materially less favorable to the U.S. Borrower and the Restricted Subsidiaries than those contained in the </w:t>
      </w:r>
      <w:r>
        <w:rPr>
          <w:rFonts w:ascii="Arial" w:cs="Arial" w:eastAsia="Arial" w:hAnsi="Arial"/>
          <w:sz w:val="17"/>
          <w:szCs w:val="17"/>
          <w:color w:val="auto"/>
          <w:strike w:val="1"/>
        </w:rPr>
        <w:t>2021</w:t>
      </w:r>
      <w:r>
        <w:rPr>
          <w:rFonts w:ascii="Arial" w:cs="Arial" w:eastAsia="Arial" w:hAnsi="Arial"/>
          <w:sz w:val="17"/>
          <w:szCs w:val="17"/>
          <w:u w:val="single" w:color="auto"/>
          <w:color w:val="auto"/>
        </w:rPr>
        <w:t>*2027*</w:t>
      </w:r>
      <w:r>
        <w:rPr>
          <w:rFonts w:ascii="Arial" w:cs="Arial" w:eastAsia="Arial" w:hAnsi="Arial"/>
          <w:sz w:val="17"/>
          <w:szCs w:val="17"/>
          <w:color w:val="auto"/>
        </w:rPr>
        <w:t xml:space="preserve"> Notes</w:t>
      </w:r>
      <w:r>
        <w:rPr>
          <w:rFonts w:ascii="Arial" w:cs="Arial" w:eastAsia="Arial" w:hAnsi="Arial"/>
          <w:sz w:val="17"/>
          <w:szCs w:val="17"/>
          <w:color w:val="auto"/>
          <w:strike w:val="1"/>
        </w:rPr>
        <w:t>.</w:t>
      </w:r>
      <w:r>
        <w:rPr>
          <w:rFonts w:ascii="Arial" w:cs="Arial" w:eastAsia="Arial" w:hAnsi="Arial"/>
          <w:sz w:val="17"/>
          <w:szCs w:val="17"/>
          <w:color w:val="auto"/>
        </w:rPr>
        <w:t xml:space="preserve"> ; </w:t>
      </w:r>
      <w:r>
        <w:rPr>
          <w:rFonts w:ascii="Arial" w:cs="Arial" w:eastAsia="Arial" w:hAnsi="Arial"/>
          <w:sz w:val="17"/>
          <w:szCs w:val="17"/>
          <w:u w:val="single" w:color="auto"/>
          <w:color w:val="auto"/>
        </w:rPr>
        <w:t>*and*</w:t>
      </w:r>
    </w:p>
    <w:p>
      <w:pPr>
        <w:spacing w:after="0" w:line="185" w:lineRule="exact"/>
        <w:rPr>
          <w:sz w:val="20"/>
          <w:szCs w:val="20"/>
          <w:color w:val="auto"/>
        </w:rPr>
      </w:pPr>
    </w:p>
    <w:p>
      <w:pPr>
        <w:ind w:left="660" w:right="20" w:firstLine="644"/>
        <w:spacing w:after="0" w:line="295" w:lineRule="auto"/>
        <w:tabs>
          <w:tab w:leader="none" w:pos="1718" w:val="left"/>
        </w:tabs>
        <w:numPr>
          <w:ilvl w:val="1"/>
          <w:numId w:val="170"/>
        </w:numPr>
        <w:rPr>
          <w:rFonts w:ascii="Arial" w:cs="Arial" w:eastAsia="Arial" w:hAnsi="Arial"/>
          <w:sz w:val="18"/>
          <w:szCs w:val="18"/>
          <w:color w:val="auto"/>
        </w:rPr>
      </w:pPr>
      <w:r>
        <w:rPr>
          <w:rFonts w:ascii="Arial" w:cs="Arial" w:eastAsia="Arial" w:hAnsi="Arial"/>
          <w:sz w:val="16"/>
          <w:szCs w:val="16"/>
          <w:u w:val="single" w:color="auto"/>
          <w:color w:val="auto"/>
        </w:rPr>
        <w:t xml:space="preserve">*(A) unsecured debt securities of the U.S. Borrower in an aggregate principal amount not to exceed $500,000,000 and guarantees thereof by the Subsidiary Guarantors issued on or prior to the last day of the U.S. Borrower’s fourth fiscal quarter of fiscal year 2020 (the issuance of such debt securities, the “Post-Amendment No. 2 Bond Issuance”) and (B) Indebtedness incurred to effectuate one or more refinancings, refundings, extensions, renewals or replacements of the Indebtedness referred to in clause (A) of this clause (x), so long as the aggregate principal amount of the Indebtedness under this clause (B) of this clause (x) does not exceed the sum of (1) the aggregate principal amount of the Indebtedness referred to in such clause (A) as of the time of such refinancing, refunding, extension, renewals or replacement plus (2) an unlimited principal amount, for the avoidance of doubt, to the extent permitted to be incurred pursuant to clause (s) above plus (3) the amount of any interest, premiums or penalties reasonably required to be paid plus fees and expenses associated therewith; </w:t>
      </w:r>
      <w:r>
        <w:rPr>
          <w:rFonts w:ascii="Arial" w:cs="Arial" w:eastAsia="Arial" w:hAnsi="Arial"/>
          <w:sz w:val="16"/>
          <w:szCs w:val="16"/>
          <w:i w:val="1"/>
          <w:iCs w:val="1"/>
          <w:u w:val="single" w:color="auto"/>
          <w:color w:val="auto"/>
        </w:rPr>
        <w:t>provided</w:t>
      </w:r>
      <w:r>
        <w:rPr>
          <w:rFonts w:ascii="Arial" w:cs="Arial" w:eastAsia="Arial" w:hAnsi="Arial"/>
          <w:sz w:val="16"/>
          <w:szCs w:val="16"/>
          <w:u w:val="single" w:color="auto"/>
          <w:color w:val="auto"/>
        </w:rPr>
        <w:t xml:space="preserve"> that with respect to all Indebtedness incurred pursuant to this clause (x): (i) the only Restricted Subsidiaries that may be obligors thereon are the Subsidiary Guarantors,</w:t>
      </w:r>
    </w:p>
    <w:p>
      <w:pPr>
        <w:spacing w:after="0" w:line="2" w:lineRule="exact"/>
        <w:rPr>
          <w:rFonts w:ascii="Arial" w:cs="Arial" w:eastAsia="Arial" w:hAnsi="Arial"/>
          <w:sz w:val="18"/>
          <w:szCs w:val="18"/>
          <w:color w:val="auto"/>
        </w:rPr>
      </w:pPr>
    </w:p>
    <w:p>
      <w:pPr>
        <w:ind w:left="660" w:right="20" w:hanging="4"/>
        <w:spacing w:after="0" w:line="292" w:lineRule="auto"/>
        <w:tabs>
          <w:tab w:leader="none" w:pos="925" w:val="left"/>
        </w:tabs>
        <w:numPr>
          <w:ilvl w:val="0"/>
          <w:numId w:val="17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the final maturity date thereof shall not be earlier than (I) in the case of clause (A) of this clause (x), the fifth anniversary of the issuance thereof and (Y) in the case of clause (B) of this clause (x), the final maturity date of the Indebtedness that is being so refinanced, refunded, extended, renewed or replaced, (iii) no interim amortization or scheduled payments of principal shall be applicable thereto and (iv) the mandatory prepayment, mandatory redemption and mandatory offer to purchase provisions thereof shall not be materially less favorable to the U.S. Borrower and the Restricted Subsidiaries than those contained in the 2027 Notes or shall otherwise be on then-market terms.*</w:t>
      </w:r>
    </w:p>
    <w:p>
      <w:pPr>
        <w:spacing w:after="0" w:line="152" w:lineRule="exact"/>
        <w:rPr>
          <w:sz w:val="20"/>
          <w:szCs w:val="20"/>
          <w:color w:val="auto"/>
        </w:rPr>
      </w:pPr>
    </w:p>
    <w:p>
      <w:pPr>
        <w:ind w:right="80" w:firstLine="648"/>
        <w:spacing w:after="0" w:line="271" w:lineRule="auto"/>
        <w:rPr>
          <w:sz w:val="20"/>
          <w:szCs w:val="20"/>
          <w:color w:val="auto"/>
        </w:rPr>
      </w:pPr>
      <w:r>
        <w:rPr>
          <w:rFonts w:ascii="Arial" w:cs="Arial" w:eastAsia="Arial" w:hAnsi="Arial"/>
          <w:sz w:val="20"/>
          <w:szCs w:val="20"/>
          <w:b w:val="1"/>
          <w:bCs w:val="1"/>
          <w:color w:val="auto"/>
        </w:rPr>
        <w:t xml:space="preserve">7.04 </w:t>
      </w:r>
      <w:r>
        <w:rPr>
          <w:rFonts w:ascii="Arial" w:cs="Arial" w:eastAsia="Arial" w:hAnsi="Arial"/>
          <w:sz w:val="17"/>
          <w:szCs w:val="17"/>
          <w:b w:val="1"/>
          <w:bCs w:val="1"/>
          <w:u w:val="single" w:color="auto"/>
          <w:color w:val="auto"/>
        </w:rPr>
        <w:t>Fundamental Changes</w:t>
      </w:r>
      <w:r>
        <w:rPr>
          <w:rFonts w:ascii="Arial" w:cs="Arial" w:eastAsia="Arial" w:hAnsi="Arial"/>
          <w:sz w:val="17"/>
          <w:szCs w:val="17"/>
          <w:color w:val="auto"/>
        </w:rPr>
        <w:t>. Merge, amalgamate, dissolve, liquidate, consolidate with or into another Person, or dispose of (whether in one</w:t>
      </w:r>
      <w:r>
        <w:rPr>
          <w:rFonts w:ascii="Arial" w:cs="Arial" w:eastAsia="Arial" w:hAnsi="Arial"/>
          <w:sz w:val="20"/>
          <w:szCs w:val="20"/>
          <w:b w:val="1"/>
          <w:bCs w:val="1"/>
          <w:color w:val="auto"/>
        </w:rPr>
        <w:t xml:space="preserve"> </w:t>
      </w:r>
      <w:r>
        <w:rPr>
          <w:rFonts w:ascii="Arial" w:cs="Arial" w:eastAsia="Arial" w:hAnsi="Arial"/>
          <w:sz w:val="17"/>
          <w:szCs w:val="17"/>
          <w:color w:val="auto"/>
        </w:rPr>
        <w:t>transaction or in a series of transactions) all or substantially all of its assets (whether now owned or hereafter acquired) to or in favor of any Person, except that, so long as no Event of Default exists or would result therefrom:</w:t>
      </w:r>
    </w:p>
    <w:p>
      <w:pPr>
        <w:spacing w:after="0" w:line="186" w:lineRule="exact"/>
        <w:rPr>
          <w:sz w:val="20"/>
          <w:szCs w:val="20"/>
          <w:color w:val="auto"/>
        </w:rPr>
      </w:pPr>
    </w:p>
    <w:p>
      <w:pPr>
        <w:ind w:left="660" w:firstLine="644"/>
        <w:spacing w:after="0" w:line="282" w:lineRule="auto"/>
        <w:tabs>
          <w:tab w:leader="none" w:pos="1708" w:val="left"/>
        </w:tabs>
        <w:numPr>
          <w:ilvl w:val="0"/>
          <w:numId w:val="172"/>
        </w:numPr>
        <w:rPr>
          <w:rFonts w:ascii="Arial" w:cs="Arial" w:eastAsia="Arial" w:hAnsi="Arial"/>
          <w:sz w:val="19"/>
          <w:szCs w:val="19"/>
          <w:color w:val="auto"/>
        </w:rPr>
      </w:pPr>
      <w:r>
        <w:rPr>
          <w:rFonts w:ascii="Arial" w:cs="Arial" w:eastAsia="Arial" w:hAnsi="Arial"/>
          <w:sz w:val="17"/>
          <w:szCs w:val="17"/>
          <w:color w:val="auto"/>
        </w:rPr>
        <w:t xml:space="preserve">any Restricted Subsidiary of the U.S. Borrower may merge or amalgamate with (i) the U.S.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U.S. Borrower shall be the continuing or surviving Person or (y) the resulting, surviving or transferee Person (the “</w:t>
      </w:r>
      <w:r>
        <w:rPr>
          <w:rFonts w:ascii="Arial" w:cs="Arial" w:eastAsia="Arial" w:hAnsi="Arial"/>
          <w:sz w:val="17"/>
          <w:szCs w:val="17"/>
          <w:u w:val="single" w:color="auto"/>
          <w:color w:val="auto"/>
        </w:rPr>
        <w:t>Successor Company</w:t>
      </w:r>
      <w:r>
        <w:rPr>
          <w:rFonts w:ascii="Arial" w:cs="Arial" w:eastAsia="Arial" w:hAnsi="Arial"/>
          <w:sz w:val="17"/>
          <w:szCs w:val="17"/>
          <w:color w:val="auto"/>
        </w:rPr>
        <w:t xml:space="preserve">”) will be a corporation or a limited liability company organized and existing under the laws of the United States, any state thereof or the District of Columbia and the Successor Company (if not the U.S. Borrower) will expressly assume, by an assumption agreement in form and substance reasonably satisfactory to the Administrative Agent, all of the Obligations of the U.S. Borrower under any of the Loan Documents to which it is a party, or (ii) any one or more other Restricted Subsidiaries, provided that when any Subsidiary Guarantor is merging or amalgamating with another Subsidiary, the Subsidiary Guarantor shall be the continuing or surviving Person or to the extent constituting an Investment, such Investment must be a permitted Investment in or Indebtedness of a Subsidiary which is not a Loan Party (assuming solely for such purpose that the Canadian Borrower and the Dutch Borrower are not Loan Parties) in accordance with </w:t>
      </w:r>
      <w:r>
        <w:rPr>
          <w:rFonts w:ascii="Arial" w:cs="Arial" w:eastAsia="Arial" w:hAnsi="Arial"/>
          <w:sz w:val="17"/>
          <w:szCs w:val="17"/>
          <w:u w:val="single" w:color="auto"/>
          <w:color w:val="auto"/>
        </w:rPr>
        <w:t>Sections 7.02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7.03</w:t>
      </w:r>
      <w:r>
        <w:rPr>
          <w:rFonts w:ascii="Arial" w:cs="Arial" w:eastAsia="Arial" w:hAnsi="Arial"/>
          <w:sz w:val="17"/>
          <w:szCs w:val="17"/>
          <w:color w:val="auto"/>
        </w:rPr>
        <w:t>;</w:t>
      </w:r>
    </w:p>
    <w:p>
      <w:pPr>
        <w:spacing w:after="0" w:line="187" w:lineRule="exact"/>
        <w:rPr>
          <w:rFonts w:ascii="Arial" w:cs="Arial" w:eastAsia="Arial" w:hAnsi="Arial"/>
          <w:sz w:val="19"/>
          <w:szCs w:val="19"/>
          <w:color w:val="auto"/>
        </w:rPr>
      </w:pPr>
    </w:p>
    <w:p>
      <w:pPr>
        <w:ind w:left="660" w:firstLine="644"/>
        <w:spacing w:after="0" w:line="284" w:lineRule="auto"/>
        <w:tabs>
          <w:tab w:leader="none" w:pos="1718" w:val="left"/>
        </w:tabs>
        <w:numPr>
          <w:ilvl w:val="0"/>
          <w:numId w:val="172"/>
        </w:numPr>
        <w:rPr>
          <w:rFonts w:ascii="Arial" w:cs="Arial" w:eastAsia="Arial" w:hAnsi="Arial"/>
          <w:sz w:val="19"/>
          <w:szCs w:val="19"/>
          <w:color w:val="auto"/>
        </w:rPr>
      </w:pPr>
      <w:r>
        <w:rPr>
          <w:rFonts w:ascii="Arial" w:cs="Arial" w:eastAsia="Arial" w:hAnsi="Arial"/>
          <w:sz w:val="17"/>
          <w:szCs w:val="17"/>
          <w:color w:val="auto"/>
        </w:rPr>
        <w:t xml:space="preserve">any Restricted Subsidiary of the U.S. Borrower may dispose of all or substantially all of its assets (upon voluntary liquidation or otherwise) to the U.S. Borrower or to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transferor in such a transaction is a Subsidiary Guarantor, then (i) the transferee must be the U.S. Borrower or a Subsidiary Guarantor and (ii) to the extent constituting an Investment, such Investment must be a permitted Investment in or Indebtedness of a Restricted Subsidiary which is not a Loan Party (assuming solely for such purpose that the Canadian Borrower and the Dutch Borrower are not Loan Parties) in accordance with </w:t>
      </w:r>
      <w:r>
        <w:rPr>
          <w:rFonts w:ascii="Arial" w:cs="Arial" w:eastAsia="Arial" w:hAnsi="Arial"/>
          <w:sz w:val="17"/>
          <w:szCs w:val="17"/>
          <w:u w:val="single" w:color="auto"/>
          <w:color w:val="auto"/>
        </w:rPr>
        <w:t>Sections 7.02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7.03</w:t>
      </w:r>
      <w:r>
        <w:rPr>
          <w:rFonts w:ascii="Arial" w:cs="Arial" w:eastAsia="Arial" w:hAnsi="Arial"/>
          <w:sz w:val="17"/>
          <w:szCs w:val="17"/>
          <w:color w:val="auto"/>
        </w:rPr>
        <w:t>;</w:t>
      </w:r>
    </w:p>
    <w:p>
      <w:pPr>
        <w:spacing w:after="0" w:line="179" w:lineRule="exact"/>
        <w:rPr>
          <w:rFonts w:ascii="Arial" w:cs="Arial" w:eastAsia="Arial" w:hAnsi="Arial"/>
          <w:sz w:val="19"/>
          <w:szCs w:val="19"/>
          <w:color w:val="auto"/>
        </w:rPr>
      </w:pPr>
    </w:p>
    <w:p>
      <w:pPr>
        <w:ind w:left="660" w:right="200" w:firstLine="644"/>
        <w:spacing w:after="0" w:line="266" w:lineRule="auto"/>
        <w:tabs>
          <w:tab w:leader="none" w:pos="1708" w:val="left"/>
        </w:tabs>
        <w:numPr>
          <w:ilvl w:val="0"/>
          <w:numId w:val="172"/>
        </w:numPr>
        <w:rPr>
          <w:rFonts w:ascii="Arial" w:cs="Arial" w:eastAsia="Arial" w:hAnsi="Arial"/>
          <w:sz w:val="20"/>
          <w:szCs w:val="20"/>
          <w:color w:val="auto"/>
        </w:rPr>
      </w:pPr>
      <w:r>
        <w:rPr>
          <w:rFonts w:ascii="Arial" w:cs="Arial" w:eastAsia="Arial" w:hAnsi="Arial"/>
          <w:sz w:val="18"/>
          <w:szCs w:val="18"/>
          <w:color w:val="auto"/>
        </w:rPr>
        <w:t xml:space="preserve">any Restricted Subsidiary may merge or amalgamate with any other Person in order to effect an Investment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continuing or surviving Person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557" w:right="359" w:bottom="1440" w:gutter="0" w:footer="0" w:header="0"/>
        </w:sectPr>
      </w:pPr>
    </w:p>
    <w:bookmarkStart w:id="185" w:name="page186"/>
    <w:bookmarkEnd w:id="185"/>
    <w:p>
      <w:pPr>
        <w:spacing w:after="0" w:line="277" w:lineRule="auto"/>
        <w:rPr>
          <w:sz w:val="20"/>
          <w:szCs w:val="20"/>
          <w:color w:val="auto"/>
        </w:rPr>
      </w:pPr>
      <w:r>
        <w:rPr>
          <w:rFonts w:ascii="Arial" w:cs="Arial" w:eastAsia="Arial" w:hAnsi="Arial"/>
          <w:sz w:val="18"/>
          <w:szCs w:val="18"/>
          <w:color w:val="auto"/>
        </w:rPr>
        <w:t xml:space="preserve">shall have complied with the requirements of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and (ii) to the extent constituting an Investment, such Investment must be a permitted Investment in accordance with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4" w:lineRule="exact"/>
        <w:rPr>
          <w:sz w:val="20"/>
          <w:szCs w:val="20"/>
          <w:color w:val="auto"/>
        </w:rPr>
      </w:pPr>
    </w:p>
    <w:p>
      <w:pPr>
        <w:ind w:left="660" w:right="620" w:firstLine="644"/>
        <w:spacing w:after="0" w:line="266" w:lineRule="auto"/>
        <w:tabs>
          <w:tab w:leader="none" w:pos="1718" w:val="left"/>
        </w:tabs>
        <w:numPr>
          <w:ilvl w:val="0"/>
          <w:numId w:val="173"/>
        </w:numPr>
        <w:rPr>
          <w:rFonts w:ascii="Arial" w:cs="Arial" w:eastAsia="Arial" w:hAnsi="Arial"/>
          <w:sz w:val="20"/>
          <w:szCs w:val="20"/>
          <w:color w:val="auto"/>
        </w:rPr>
      </w:pPr>
      <w:r>
        <w:rPr>
          <w:rFonts w:ascii="Arial" w:cs="Arial" w:eastAsia="Arial" w:hAnsi="Arial"/>
          <w:sz w:val="18"/>
          <w:szCs w:val="18"/>
          <w:color w:val="auto"/>
        </w:rPr>
        <w:t xml:space="preserve">a merger, amalgamation dissolution, liquidation, consolidation or Asset Sale, the purpose of which is to effect an Asset Sale permitted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may be effected; and</w:t>
      </w:r>
    </w:p>
    <w:p>
      <w:pPr>
        <w:spacing w:after="0" w:line="190" w:lineRule="exact"/>
        <w:rPr>
          <w:rFonts w:ascii="Arial" w:cs="Arial" w:eastAsia="Arial" w:hAnsi="Arial"/>
          <w:sz w:val="20"/>
          <w:szCs w:val="20"/>
          <w:color w:val="auto"/>
        </w:rPr>
      </w:pPr>
    </w:p>
    <w:p>
      <w:pPr>
        <w:ind w:left="660" w:firstLine="644"/>
        <w:spacing w:after="0" w:line="265" w:lineRule="auto"/>
        <w:tabs>
          <w:tab w:leader="none" w:pos="1708" w:val="left"/>
        </w:tabs>
        <w:numPr>
          <w:ilvl w:val="0"/>
          <w:numId w:val="173"/>
        </w:numPr>
        <w:rPr>
          <w:rFonts w:ascii="Arial" w:cs="Arial" w:eastAsia="Arial" w:hAnsi="Arial"/>
          <w:sz w:val="20"/>
          <w:szCs w:val="20"/>
          <w:color w:val="auto"/>
        </w:rPr>
      </w:pPr>
      <w:r>
        <w:rPr>
          <w:rFonts w:ascii="Arial" w:cs="Arial" w:eastAsia="Arial" w:hAnsi="Arial"/>
          <w:sz w:val="18"/>
          <w:szCs w:val="18"/>
          <w:color w:val="auto"/>
        </w:rPr>
        <w:t>(i) any Restricted Subsidiary that is not a Loan Party may merge, amalgamate or consolidate with or into any other Restricted Subsidiary that is not a Loan Party, and (ii) any Restricted Subsidiary of the U.S. Borrower may liquidate or dissolve or change its legal form if the U.S. Borrower determines in good faith that such action is in the best interests of the U.S. Borrower and if not materially disadvantageous to the Lenders.</w:t>
      </w:r>
    </w:p>
    <w:p>
      <w:pPr>
        <w:spacing w:after="0" w:line="17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7.05</w:t>
      </w:r>
      <w:r>
        <w:rPr>
          <w:sz w:val="20"/>
          <w:szCs w:val="20"/>
          <w:color w:val="auto"/>
        </w:rPr>
        <w:tab/>
      </w:r>
      <w:r>
        <w:rPr>
          <w:rFonts w:ascii="Arial" w:cs="Arial" w:eastAsia="Arial" w:hAnsi="Arial"/>
          <w:sz w:val="15"/>
          <w:szCs w:val="15"/>
          <w:b w:val="1"/>
          <w:bCs w:val="1"/>
          <w:u w:val="single" w:color="auto"/>
          <w:color w:val="auto"/>
        </w:rPr>
        <w:t>Asset Sales</w:t>
      </w:r>
      <w:r>
        <w:rPr>
          <w:rFonts w:ascii="Arial" w:cs="Arial" w:eastAsia="Arial" w:hAnsi="Arial"/>
          <w:sz w:val="15"/>
          <w:szCs w:val="15"/>
          <w:color w:val="auto"/>
        </w:rPr>
        <w:t>. Make any Asset Sales, except:</w:t>
      </w:r>
    </w:p>
    <w:p>
      <w:pPr>
        <w:spacing w:after="0" w:line="238" w:lineRule="exact"/>
        <w:rPr>
          <w:sz w:val="20"/>
          <w:szCs w:val="20"/>
          <w:color w:val="auto"/>
        </w:rPr>
      </w:pPr>
    </w:p>
    <w:p>
      <w:pPr>
        <w:ind w:left="1700" w:hanging="396"/>
        <w:spacing w:after="0"/>
        <w:tabs>
          <w:tab w:leader="none" w:pos="1700" w:val="left"/>
        </w:tabs>
        <w:numPr>
          <w:ilvl w:val="0"/>
          <w:numId w:val="174"/>
        </w:numPr>
        <w:rPr>
          <w:rFonts w:ascii="Arial" w:cs="Arial" w:eastAsia="Arial" w:hAnsi="Arial"/>
          <w:sz w:val="20"/>
          <w:szCs w:val="20"/>
          <w:color w:val="auto"/>
        </w:rPr>
      </w:pPr>
      <w:r>
        <w:rPr>
          <w:rFonts w:ascii="Arial" w:cs="Arial" w:eastAsia="Arial" w:hAnsi="Arial"/>
          <w:sz w:val="18"/>
          <w:szCs w:val="18"/>
          <w:color w:val="auto"/>
        </w:rPr>
        <w:t>sales or other dispositions of assets that do not constitute Asset Sales;</w:t>
      </w:r>
    </w:p>
    <w:p>
      <w:pPr>
        <w:spacing w:after="0" w:line="215" w:lineRule="exact"/>
        <w:rPr>
          <w:rFonts w:ascii="Arial" w:cs="Arial" w:eastAsia="Arial" w:hAnsi="Arial"/>
          <w:sz w:val="20"/>
          <w:szCs w:val="20"/>
          <w:color w:val="auto"/>
        </w:rPr>
      </w:pPr>
    </w:p>
    <w:p>
      <w:pPr>
        <w:ind w:left="660" w:right="60" w:firstLine="644"/>
        <w:spacing w:after="0" w:line="282" w:lineRule="auto"/>
        <w:tabs>
          <w:tab w:leader="none" w:pos="1709" w:val="left"/>
        </w:tabs>
        <w:numPr>
          <w:ilvl w:val="0"/>
          <w:numId w:val="174"/>
        </w:numPr>
        <w:rPr>
          <w:rFonts w:ascii="Arial" w:cs="Arial" w:eastAsia="Arial" w:hAnsi="Arial"/>
          <w:sz w:val="19"/>
          <w:szCs w:val="19"/>
          <w:color w:val="auto"/>
        </w:rPr>
      </w:pPr>
      <w:r>
        <w:rPr>
          <w:rFonts w:ascii="Arial" w:cs="Arial" w:eastAsia="Arial" w:hAnsi="Arial"/>
          <w:sz w:val="17"/>
          <w:szCs w:val="17"/>
          <w:color w:val="auto"/>
        </w:rPr>
        <w:t xml:space="preserve">Asset Sales, the proceeds of which (valued at the principal amount thereof in the case of non-cash proceeds consisting of notes or other debt securities and valued at fair market value in the case of other non-cash proceeds) when aggregated with the proceeds of all other Asset Sales made within the same fiscal year of the U.S. Borrower, are less than the greater of (i) $150,000,000 and (ii) 7.5% of Consolidated Total Assets (with unused amounts permitted to be applied in the immediately following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the consideration received for such assets shall be in an amount at least equal to the fair market value thereof (determined in good faith by the board of directors of the U.S. Borrower (or similar governing body)) and (2) no less than 75% thereof shall be paid in cash or Cash Equivalents;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for purposes of clause (2), the U.S. Borrower may elect to treat non-cash consideration from an Asset Sale as cash so long as the amount of such non-cash consideration being held by the U.S. Borrower and its Restricted Subsidiaries (and not previously converted to cash or Cash Equivalents) does not exceed $50,000,000 in the aggregate;</w:t>
      </w:r>
    </w:p>
    <w:p>
      <w:pPr>
        <w:spacing w:after="0" w:line="187" w:lineRule="exact"/>
        <w:rPr>
          <w:rFonts w:ascii="Arial" w:cs="Arial" w:eastAsia="Arial" w:hAnsi="Arial"/>
          <w:sz w:val="19"/>
          <w:szCs w:val="19"/>
          <w:color w:val="auto"/>
        </w:rPr>
      </w:pPr>
    </w:p>
    <w:p>
      <w:pPr>
        <w:ind w:left="1700" w:hanging="396"/>
        <w:spacing w:after="0"/>
        <w:tabs>
          <w:tab w:leader="none" w:pos="1700" w:val="left"/>
        </w:tabs>
        <w:numPr>
          <w:ilvl w:val="0"/>
          <w:numId w:val="174"/>
        </w:numPr>
        <w:rPr>
          <w:rFonts w:ascii="Arial" w:cs="Arial" w:eastAsia="Arial" w:hAnsi="Arial"/>
          <w:sz w:val="20"/>
          <w:szCs w:val="20"/>
          <w:color w:val="auto"/>
        </w:rPr>
      </w:pPr>
      <w:r>
        <w:rPr>
          <w:rFonts w:ascii="Arial" w:cs="Arial" w:eastAsia="Arial" w:hAnsi="Arial"/>
          <w:sz w:val="18"/>
          <w:szCs w:val="18"/>
          <w:color w:val="auto"/>
        </w:rPr>
        <w:t xml:space="preserve">Investments made in accordance with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0"/>
          <w:numId w:val="174"/>
        </w:numPr>
        <w:rPr>
          <w:rFonts w:ascii="Arial" w:cs="Arial" w:eastAsia="Arial" w:hAnsi="Arial"/>
          <w:sz w:val="20"/>
          <w:szCs w:val="20"/>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Sections 7.04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1700" w:hanging="396"/>
        <w:spacing w:after="0"/>
        <w:tabs>
          <w:tab w:leader="none" w:pos="1700" w:val="left"/>
        </w:tabs>
        <w:numPr>
          <w:ilvl w:val="0"/>
          <w:numId w:val="174"/>
        </w:numPr>
        <w:rPr>
          <w:rFonts w:ascii="Arial" w:cs="Arial" w:eastAsia="Arial" w:hAnsi="Arial"/>
          <w:sz w:val="20"/>
          <w:szCs w:val="20"/>
          <w:color w:val="auto"/>
        </w:rPr>
      </w:pPr>
      <w:r>
        <w:rPr>
          <w:rFonts w:ascii="Arial" w:cs="Arial" w:eastAsia="Arial" w:hAnsi="Arial"/>
          <w:sz w:val="18"/>
          <w:szCs w:val="18"/>
          <w:color w:val="auto"/>
        </w:rPr>
        <w:t>any issuance or sale of Equity Interests in, or sale of Indebtedness or other securities of, an Unrestricted Subsidiary;</w:t>
      </w:r>
    </w:p>
    <w:p>
      <w:pPr>
        <w:spacing w:after="0" w:line="215" w:lineRule="exact"/>
        <w:rPr>
          <w:rFonts w:ascii="Arial" w:cs="Arial" w:eastAsia="Arial" w:hAnsi="Arial"/>
          <w:sz w:val="20"/>
          <w:szCs w:val="20"/>
          <w:color w:val="auto"/>
        </w:rPr>
      </w:pPr>
    </w:p>
    <w:p>
      <w:pPr>
        <w:ind w:left="660" w:right="180" w:firstLine="644"/>
        <w:spacing w:after="0" w:line="265" w:lineRule="auto"/>
        <w:tabs>
          <w:tab w:leader="none" w:pos="1686" w:val="left"/>
        </w:tabs>
        <w:numPr>
          <w:ilvl w:val="0"/>
          <w:numId w:val="174"/>
        </w:numPr>
        <w:rPr>
          <w:rFonts w:ascii="Arial" w:cs="Arial" w:eastAsia="Arial" w:hAnsi="Arial"/>
          <w:sz w:val="20"/>
          <w:szCs w:val="20"/>
          <w:color w:val="auto"/>
        </w:rPr>
      </w:pPr>
      <w:r>
        <w:rPr>
          <w:rFonts w:ascii="Arial" w:cs="Arial" w:eastAsia="Arial" w:hAnsi="Arial"/>
          <w:sz w:val="18"/>
          <w:szCs w:val="18"/>
          <w:color w:val="auto"/>
        </w:rPr>
        <w:t xml:space="preserve">dispositions of Property by the U.S. Borrower or any Restricted Subsidiary to the U.S. Borrower or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is the U.S. Borrower or a Subsidiary Guarantor of the U.S. Borrower, (i) the transferee thereof must be either the U.S. Borrower or a Subsidiary Guarantor or (ii) to the extent such transaction constitutes an Investment, such transaction is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w:t>
      </w:r>
    </w:p>
    <w:p>
      <w:pPr>
        <w:spacing w:after="0" w:line="194" w:lineRule="exact"/>
        <w:rPr>
          <w:rFonts w:ascii="Arial" w:cs="Arial" w:eastAsia="Arial" w:hAnsi="Arial"/>
          <w:sz w:val="20"/>
          <w:szCs w:val="20"/>
          <w:color w:val="auto"/>
        </w:rPr>
      </w:pPr>
    </w:p>
    <w:p>
      <w:pPr>
        <w:ind w:left="1720" w:hanging="416"/>
        <w:spacing w:after="0"/>
        <w:tabs>
          <w:tab w:leader="none" w:pos="1720" w:val="left"/>
        </w:tabs>
        <w:numPr>
          <w:ilvl w:val="0"/>
          <w:numId w:val="174"/>
        </w:numPr>
        <w:rPr>
          <w:rFonts w:ascii="Arial" w:cs="Arial" w:eastAsia="Arial" w:hAnsi="Arial"/>
          <w:sz w:val="20"/>
          <w:szCs w:val="20"/>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0"/>
          <w:numId w:val="174"/>
        </w:numPr>
        <w:rPr>
          <w:rFonts w:ascii="Arial" w:cs="Arial" w:eastAsia="Arial" w:hAnsi="Arial"/>
          <w:sz w:val="20"/>
          <w:szCs w:val="20"/>
          <w:color w:val="auto"/>
        </w:rPr>
      </w:pPr>
      <w:r>
        <w:rPr>
          <w:rFonts w:ascii="Arial" w:cs="Arial" w:eastAsia="Arial" w:hAnsi="Arial"/>
          <w:sz w:val="18"/>
          <w:szCs w:val="18"/>
          <w:color w:val="auto"/>
        </w:rPr>
        <w:t>Involuntary casualty and condemnation events;</w:t>
      </w:r>
    </w:p>
    <w:p>
      <w:pPr>
        <w:spacing w:after="0" w:line="215" w:lineRule="exact"/>
        <w:rPr>
          <w:rFonts w:ascii="Arial" w:cs="Arial" w:eastAsia="Arial" w:hAnsi="Arial"/>
          <w:sz w:val="20"/>
          <w:szCs w:val="20"/>
          <w:color w:val="auto"/>
        </w:rPr>
      </w:pPr>
    </w:p>
    <w:p>
      <w:pPr>
        <w:ind w:left="660" w:right="120" w:firstLine="644"/>
        <w:spacing w:after="0" w:line="264" w:lineRule="auto"/>
        <w:tabs>
          <w:tab w:leader="none" w:pos="1675" w:val="left"/>
        </w:tabs>
        <w:numPr>
          <w:ilvl w:val="0"/>
          <w:numId w:val="174"/>
        </w:numPr>
        <w:rPr>
          <w:rFonts w:ascii="Arial" w:cs="Arial" w:eastAsia="Arial" w:hAnsi="Arial"/>
          <w:sz w:val="20"/>
          <w:szCs w:val="20"/>
          <w:color w:val="auto"/>
        </w:rPr>
      </w:pPr>
      <w:r>
        <w:rPr>
          <w:rFonts w:ascii="Arial" w:cs="Arial" w:eastAsia="Arial" w:hAnsi="Arial"/>
          <w:sz w:val="18"/>
          <w:szCs w:val="18"/>
          <w:color w:val="auto"/>
        </w:rPr>
        <w:t>dispositions of Investments in joint ventures or any Subsidiary that is not wholly owned to the extent required by, or made pursuant to customary buy/sell arrangements between, the joint venture or similar parties set forth in joint venture arrangements and similar binding arrangements;</w:t>
      </w:r>
    </w:p>
    <w:p>
      <w:pPr>
        <w:spacing w:after="0" w:line="196" w:lineRule="exact"/>
        <w:rPr>
          <w:rFonts w:ascii="Arial" w:cs="Arial" w:eastAsia="Arial" w:hAnsi="Arial"/>
          <w:sz w:val="20"/>
          <w:szCs w:val="20"/>
          <w:color w:val="auto"/>
        </w:rPr>
      </w:pPr>
    </w:p>
    <w:p>
      <w:pPr>
        <w:ind w:left="660" w:right="360" w:firstLine="644"/>
        <w:spacing w:after="0" w:line="266" w:lineRule="auto"/>
        <w:tabs>
          <w:tab w:leader="none" w:pos="1675" w:val="left"/>
        </w:tabs>
        <w:numPr>
          <w:ilvl w:val="0"/>
          <w:numId w:val="174"/>
        </w:numPr>
        <w:rPr>
          <w:rFonts w:ascii="Arial" w:cs="Arial" w:eastAsia="Arial" w:hAnsi="Arial"/>
          <w:sz w:val="20"/>
          <w:szCs w:val="20"/>
          <w:color w:val="auto"/>
        </w:rPr>
      </w:pPr>
      <w:r>
        <w:rPr>
          <w:rFonts w:ascii="Arial" w:cs="Arial" w:eastAsia="Arial" w:hAnsi="Arial"/>
          <w:sz w:val="18"/>
          <w:szCs w:val="18"/>
          <w:color w:val="auto"/>
        </w:rPr>
        <w:t>dispositions or discounts without recourse of accounts receivable in connection with the compromise or collection thereof in the ordinary course of business;</w:t>
      </w:r>
    </w:p>
    <w:p>
      <w:pPr>
        <w:spacing w:after="0" w:line="190" w:lineRule="exact"/>
        <w:rPr>
          <w:rFonts w:ascii="Arial" w:cs="Arial" w:eastAsia="Arial" w:hAnsi="Arial"/>
          <w:sz w:val="20"/>
          <w:szCs w:val="20"/>
          <w:color w:val="auto"/>
        </w:rPr>
      </w:pPr>
    </w:p>
    <w:p>
      <w:pPr>
        <w:ind w:left="1720" w:hanging="416"/>
        <w:spacing w:after="0"/>
        <w:tabs>
          <w:tab w:leader="none" w:pos="1720" w:val="left"/>
        </w:tabs>
        <w:numPr>
          <w:ilvl w:val="0"/>
          <w:numId w:val="174"/>
        </w:numPr>
        <w:rPr>
          <w:rFonts w:ascii="Arial" w:cs="Arial" w:eastAsia="Arial" w:hAnsi="Arial"/>
          <w:sz w:val="20"/>
          <w:szCs w:val="20"/>
          <w:color w:val="auto"/>
        </w:rPr>
      </w:pPr>
      <w:r>
        <w:rPr>
          <w:rFonts w:ascii="Arial" w:cs="Arial" w:eastAsia="Arial" w:hAnsi="Arial"/>
          <w:sz w:val="18"/>
          <w:szCs w:val="18"/>
          <w:color w:val="auto"/>
        </w:rPr>
        <w:t>the unwinding of any Swap Contract;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773" w:right="339" w:bottom="1440" w:gutter="0" w:footer="0" w:header="0"/>
        </w:sectPr>
      </w:pPr>
    </w:p>
    <w:bookmarkStart w:id="186" w:name="page187"/>
    <w:bookmarkEnd w:id="186"/>
    <w:p>
      <w:pPr>
        <w:ind w:left="660" w:right="80" w:firstLine="644"/>
        <w:spacing w:after="0" w:line="266" w:lineRule="auto"/>
        <w:tabs>
          <w:tab w:leader="none" w:pos="1675" w:val="left"/>
        </w:tabs>
        <w:numPr>
          <w:ilvl w:val="0"/>
          <w:numId w:val="175"/>
        </w:numPr>
        <w:rPr>
          <w:rFonts w:ascii="Arial" w:cs="Arial" w:eastAsia="Arial" w:hAnsi="Arial"/>
          <w:sz w:val="20"/>
          <w:szCs w:val="20"/>
          <w:color w:val="auto"/>
        </w:rPr>
      </w:pPr>
      <w:r>
        <w:rPr>
          <w:rFonts w:ascii="Arial" w:cs="Arial" w:eastAsia="Arial" w:hAnsi="Arial"/>
          <w:sz w:val="18"/>
          <w:szCs w:val="18"/>
          <w:color w:val="auto"/>
        </w:rPr>
        <w:t>leases and subleases of real or personal property and licenses and sublicenses of intellectual property that do not materially interfere with the business of the Borrower Representative and its Subsidiaries;</w:t>
      </w:r>
    </w:p>
    <w:p>
      <w:pPr>
        <w:spacing w:after="0" w:line="190" w:lineRule="exact"/>
        <w:rPr>
          <w:rFonts w:ascii="Arial" w:cs="Arial" w:eastAsia="Arial" w:hAnsi="Arial"/>
          <w:sz w:val="20"/>
          <w:szCs w:val="20"/>
          <w:color w:val="auto"/>
        </w:rPr>
      </w:pPr>
    </w:p>
    <w:p>
      <w:pPr>
        <w:ind w:left="1760" w:hanging="456"/>
        <w:spacing w:after="0"/>
        <w:tabs>
          <w:tab w:leader="none" w:pos="1760" w:val="left"/>
        </w:tabs>
        <w:numPr>
          <w:ilvl w:val="0"/>
          <w:numId w:val="175"/>
        </w:numPr>
        <w:rPr>
          <w:rFonts w:ascii="Arial" w:cs="Arial" w:eastAsia="Arial" w:hAnsi="Arial"/>
          <w:sz w:val="20"/>
          <w:szCs w:val="20"/>
          <w:color w:val="auto"/>
        </w:rPr>
      </w:pPr>
      <w:r>
        <w:rPr>
          <w:rFonts w:ascii="Arial" w:cs="Arial" w:eastAsia="Arial" w:hAnsi="Arial"/>
          <w:sz w:val="18"/>
          <w:szCs w:val="18"/>
          <w:color w:val="auto"/>
        </w:rPr>
        <w:t xml:space="preserve">the forgiveness of loans permitted by </w:t>
      </w:r>
      <w:r>
        <w:rPr>
          <w:rFonts w:ascii="Arial" w:cs="Arial" w:eastAsia="Arial" w:hAnsi="Arial"/>
          <w:sz w:val="18"/>
          <w:szCs w:val="18"/>
          <w:u w:val="single" w:color="auto"/>
          <w:color w:val="auto"/>
        </w:rPr>
        <w:t>Section 7.02(e)</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right="300" w:firstLine="644"/>
        <w:spacing w:after="0" w:line="266" w:lineRule="auto"/>
        <w:tabs>
          <w:tab w:leader="none" w:pos="1718" w:val="left"/>
        </w:tabs>
        <w:numPr>
          <w:ilvl w:val="0"/>
          <w:numId w:val="175"/>
        </w:numPr>
        <w:rPr>
          <w:rFonts w:ascii="Arial" w:cs="Arial" w:eastAsia="Arial" w:hAnsi="Arial"/>
          <w:sz w:val="20"/>
          <w:szCs w:val="20"/>
          <w:color w:val="auto"/>
        </w:rPr>
      </w:pPr>
      <w:r>
        <w:rPr>
          <w:rFonts w:ascii="Arial" w:cs="Arial" w:eastAsia="Arial" w:hAnsi="Arial"/>
          <w:sz w:val="18"/>
          <w:szCs w:val="18"/>
          <w:color w:val="auto"/>
        </w:rPr>
        <w:t>any disposition by reason of the exercise of termination rights under any lease, sublease, license, sublicense, concession or other agreement; and</w:t>
      </w:r>
    </w:p>
    <w:p>
      <w:pPr>
        <w:spacing w:after="0" w:line="190" w:lineRule="exact"/>
        <w:rPr>
          <w:rFonts w:ascii="Arial" w:cs="Arial" w:eastAsia="Arial" w:hAnsi="Arial"/>
          <w:sz w:val="20"/>
          <w:szCs w:val="20"/>
          <w:color w:val="auto"/>
        </w:rPr>
      </w:pPr>
    </w:p>
    <w:p>
      <w:pPr>
        <w:ind w:left="660" w:right="60" w:firstLine="644"/>
        <w:spacing w:after="0" w:line="296" w:lineRule="auto"/>
        <w:tabs>
          <w:tab w:leader="none" w:pos="1718" w:val="left"/>
        </w:tabs>
        <w:numPr>
          <w:ilvl w:val="0"/>
          <w:numId w:val="175"/>
        </w:numPr>
        <w:rPr>
          <w:rFonts w:ascii="Arial" w:cs="Arial" w:eastAsia="Arial" w:hAnsi="Arial"/>
          <w:sz w:val="19"/>
          <w:szCs w:val="19"/>
          <w:color w:val="auto"/>
        </w:rPr>
      </w:pPr>
      <w:r>
        <w:rPr>
          <w:rFonts w:ascii="Arial" w:cs="Arial" w:eastAsia="Arial" w:hAnsi="Arial"/>
          <w:sz w:val="17"/>
          <w:szCs w:val="17"/>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5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To the extent the Required Lenders waive the provisions of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with respect to the sale of any Collateral, or any Collateral is sold as permitted by this </w:t>
      </w:r>
      <w:r>
        <w:rPr>
          <w:rFonts w:ascii="Arial" w:cs="Arial" w:eastAsia="Arial" w:hAnsi="Arial"/>
          <w:sz w:val="18"/>
          <w:szCs w:val="18"/>
          <w:u w:val="single" w:color="auto"/>
          <w:color w:val="auto"/>
        </w:rPr>
        <w:t>Section 7.05</w:t>
      </w:r>
      <w:r>
        <w:rPr>
          <w:rFonts w:ascii="Arial" w:cs="Arial" w:eastAsia="Arial" w:hAnsi="Arial"/>
          <w:sz w:val="18"/>
          <w:szCs w:val="18"/>
          <w:color w:val="auto"/>
        </w:rPr>
        <w:t>, such Collateral (unless sold to U.S. Borrower or a Subsidiary Guarantor) shall be sold free and clear of the Liens created by the Security Documents, and the Agents shall take all actions they deem appropriate or reasonably requested by the U.S. Borrower in order to effect the foregoing.</w:t>
      </w:r>
    </w:p>
    <w:p>
      <w:pPr>
        <w:spacing w:after="0" w:line="17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7.06</w:t>
      </w:r>
      <w:r>
        <w:rPr>
          <w:sz w:val="20"/>
          <w:szCs w:val="20"/>
          <w:color w:val="auto"/>
        </w:rPr>
        <w:tab/>
      </w:r>
      <w:r>
        <w:rPr>
          <w:rFonts w:ascii="Arial" w:cs="Arial" w:eastAsia="Arial" w:hAnsi="Arial"/>
          <w:sz w:val="16"/>
          <w:szCs w:val="16"/>
          <w:b w:val="1"/>
          <w:bCs w:val="1"/>
          <w:u w:val="single" w:color="auto"/>
          <w:color w:val="auto"/>
        </w:rPr>
        <w:t>Restricted Payments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Declare or make, directly or indirectly, any Restricted Payment, except that:</w:t>
      </w:r>
    </w:p>
    <w:p>
      <w:pPr>
        <w:spacing w:after="0" w:line="238" w:lineRule="exact"/>
        <w:rPr>
          <w:sz w:val="20"/>
          <w:szCs w:val="20"/>
          <w:color w:val="auto"/>
        </w:rPr>
      </w:pPr>
    </w:p>
    <w:p>
      <w:pPr>
        <w:ind w:left="660" w:firstLine="644"/>
        <w:spacing w:after="0" w:line="264" w:lineRule="auto"/>
        <w:tabs>
          <w:tab w:leader="none" w:pos="1708" w:val="left"/>
        </w:tabs>
        <w:numPr>
          <w:ilvl w:val="0"/>
          <w:numId w:val="176"/>
        </w:numPr>
        <w:rPr>
          <w:rFonts w:ascii="Arial" w:cs="Arial" w:eastAsia="Arial" w:hAnsi="Arial"/>
          <w:sz w:val="20"/>
          <w:szCs w:val="20"/>
          <w:color w:val="auto"/>
        </w:rPr>
      </w:pPr>
      <w:r>
        <w:rPr>
          <w:rFonts w:ascii="Arial" w:cs="Arial" w:eastAsia="Arial" w:hAnsi="Arial"/>
          <w:sz w:val="18"/>
          <w:szCs w:val="18"/>
          <w:color w:val="auto"/>
        </w:rPr>
        <w:t>Each Restricted Subsidiary may make Restricted Payments to the U.S. Borrower and to Restricted Subsidiaries (and, in the case of a Restricted Payment by a non-Wholly-Owned Restricted Subsidiary, to the U.S. Borrower and any Restricted Subsidiary and to each other owner of Equity Interests of such Restricted Subsidiary based on their relative ownership interests);</w:t>
      </w:r>
    </w:p>
    <w:p>
      <w:pPr>
        <w:spacing w:after="0" w:line="196" w:lineRule="exact"/>
        <w:rPr>
          <w:rFonts w:ascii="Arial" w:cs="Arial" w:eastAsia="Arial" w:hAnsi="Arial"/>
          <w:sz w:val="20"/>
          <w:szCs w:val="20"/>
          <w:color w:val="auto"/>
        </w:rPr>
      </w:pPr>
    </w:p>
    <w:p>
      <w:pPr>
        <w:ind w:left="660" w:right="320" w:firstLine="644"/>
        <w:spacing w:after="0" w:line="264" w:lineRule="auto"/>
        <w:tabs>
          <w:tab w:leader="none" w:pos="1718" w:val="left"/>
        </w:tabs>
        <w:numPr>
          <w:ilvl w:val="0"/>
          <w:numId w:val="176"/>
        </w:numPr>
        <w:rPr>
          <w:rFonts w:ascii="Arial" w:cs="Arial" w:eastAsia="Arial" w:hAnsi="Arial"/>
          <w:sz w:val="20"/>
          <w:szCs w:val="20"/>
          <w:color w:val="auto"/>
        </w:rPr>
      </w:pPr>
      <w:r>
        <w:rPr>
          <w:rFonts w:ascii="Arial" w:cs="Arial" w:eastAsia="Arial" w:hAnsi="Arial"/>
          <w:sz w:val="18"/>
          <w:szCs w:val="18"/>
          <w:color w:val="auto"/>
        </w:rPr>
        <w:t>U.S. Borrower and each Restricted Subsidiary may declare and make dividend payments or other distributions payable solely in Equity Interests (other than Disqualified Capital Stock) of such Person and, in the case of a Restricted Subsidiary, based on the proportionate ownership of such Restricted Subsidiary;</w:t>
      </w:r>
    </w:p>
    <w:p>
      <w:pPr>
        <w:spacing w:after="0" w:line="196" w:lineRule="exact"/>
        <w:rPr>
          <w:rFonts w:ascii="Arial" w:cs="Arial" w:eastAsia="Arial" w:hAnsi="Arial"/>
          <w:sz w:val="20"/>
          <w:szCs w:val="20"/>
          <w:color w:val="auto"/>
        </w:rPr>
      </w:pPr>
    </w:p>
    <w:p>
      <w:pPr>
        <w:ind w:left="660" w:right="40" w:firstLine="644"/>
        <w:spacing w:after="0" w:line="329" w:lineRule="auto"/>
        <w:tabs>
          <w:tab w:leader="none" w:pos="1708" w:val="left"/>
        </w:tabs>
        <w:numPr>
          <w:ilvl w:val="0"/>
          <w:numId w:val="176"/>
        </w:numPr>
        <w:rPr>
          <w:rFonts w:ascii="Arial" w:cs="Arial" w:eastAsia="Arial" w:hAnsi="Arial"/>
          <w:sz w:val="18"/>
          <w:szCs w:val="18"/>
          <w:color w:val="auto"/>
        </w:rPr>
      </w:pPr>
      <w:r>
        <w:rPr>
          <w:rFonts w:ascii="Arial" w:cs="Arial" w:eastAsia="Arial" w:hAnsi="Arial"/>
          <w:sz w:val="16"/>
          <w:szCs w:val="16"/>
          <w:color w:val="auto"/>
        </w:rPr>
        <w:t>Holdings may declare and make dividend payments or other distributions payable solely in Equity Interests (other than Disqualified Capital Stock) of such Person and, in the case of a Restricted Subsidiary, based on the proportionate ownership of such Restricted Subsidiary;</w:t>
      </w:r>
    </w:p>
    <w:p>
      <w:pPr>
        <w:spacing w:after="0" w:line="139" w:lineRule="exact"/>
        <w:rPr>
          <w:rFonts w:ascii="Arial" w:cs="Arial" w:eastAsia="Arial" w:hAnsi="Arial"/>
          <w:sz w:val="18"/>
          <w:szCs w:val="18"/>
          <w:color w:val="auto"/>
        </w:rPr>
      </w:pPr>
    </w:p>
    <w:p>
      <w:pPr>
        <w:ind w:left="660" w:right="600" w:firstLine="644"/>
        <w:spacing w:after="0" w:line="266" w:lineRule="auto"/>
        <w:tabs>
          <w:tab w:leader="none" w:pos="1718" w:val="left"/>
        </w:tabs>
        <w:numPr>
          <w:ilvl w:val="0"/>
          <w:numId w:val="176"/>
        </w:numPr>
        <w:rPr>
          <w:rFonts w:ascii="Arial" w:cs="Arial" w:eastAsia="Arial" w:hAnsi="Arial"/>
          <w:sz w:val="20"/>
          <w:szCs w:val="20"/>
          <w:color w:val="auto"/>
        </w:rPr>
      </w:pPr>
      <w:r>
        <w:rPr>
          <w:rFonts w:ascii="Arial" w:cs="Arial" w:eastAsia="Arial" w:hAnsi="Arial"/>
          <w:sz w:val="18"/>
          <w:szCs w:val="18"/>
          <w:color w:val="auto"/>
        </w:rPr>
        <w:t xml:space="preserve">to the extent constituting Restricted Payments, the U.S. Borrower and its Restricted Subsidiaries may enter into transactions expressly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190" w:lineRule="exact"/>
        <w:rPr>
          <w:rFonts w:ascii="Arial" w:cs="Arial" w:eastAsia="Arial" w:hAnsi="Arial"/>
          <w:sz w:val="20"/>
          <w:szCs w:val="20"/>
          <w:color w:val="auto"/>
        </w:rPr>
      </w:pPr>
    </w:p>
    <w:p>
      <w:pPr>
        <w:ind w:left="660" w:right="40" w:firstLine="644"/>
        <w:spacing w:after="0" w:line="301" w:lineRule="auto"/>
        <w:tabs>
          <w:tab w:leader="none" w:pos="1708" w:val="left"/>
        </w:tabs>
        <w:numPr>
          <w:ilvl w:val="0"/>
          <w:numId w:val="176"/>
        </w:numPr>
        <w:rPr>
          <w:rFonts w:ascii="Arial" w:cs="Arial" w:eastAsia="Arial" w:hAnsi="Arial"/>
          <w:sz w:val="18"/>
          <w:szCs w:val="18"/>
          <w:color w:val="auto"/>
        </w:rPr>
      </w:pPr>
      <w:r>
        <w:rPr>
          <w:rFonts w:ascii="Arial" w:cs="Arial" w:eastAsia="Arial" w:hAnsi="Arial"/>
          <w:sz w:val="16"/>
          <w:szCs w:val="16"/>
          <w:color w:val="auto"/>
        </w:rPr>
        <w:t xml:space="preserve">so long as no Default or Event of Default shall have occurred and be continuing or shall be caused thereby, the U.S. Borrower may make Restricted Payments to Holdings (i) in an aggregate amount not to exceed $18,000,000 in any fiscal year, to the extent necessary to permit Holdings to pay general administrative costs and expenses and operating expenses incurred in the ordinary course of business and other corporate overhead costs and expenses, (ii) for so long as Holdings and U.S. Borrower are members of the same affiliated group of corporations within the meaning of section 1504 of the Code and the Treasury Regulations promulgated thereunder (or any similar provision of state or local income tax law), to the extent necessary to permit Holdings or a Subsidiary to discharge the consolidated or similar Tax liabilities of Holdings and any of its Subsidiaries so long as Holdings or the paying Subsidiary applies the amount of any such payment for such purpose and provided that the amount of such payment for any taxable period shall not exceed the amount of income taxes that the U.S. Borrower and/or its Subsidiaries would have paid for such taxable period on a standalone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portion of any such payment attributable to the income of an Unrestricted Subsidiary shall only be permitted to the extent such Unrestricted Subsidiary makes cash distributions for such purpose to the U.S. Borrower or its Restricted Subsidiaries, (iii) in an aggregate amount required for Holdings to pay franchise taxes and other fees required to maintain its legal existence, (iv) in an aggregate amount sufficient to pay reasonable and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787" w:right="339" w:bottom="1440" w:gutter="0" w:footer="0" w:header="0"/>
        </w:sectPr>
      </w:pPr>
    </w:p>
    <w:bookmarkStart w:id="187" w:name="page188"/>
    <w:bookmarkEnd w:id="187"/>
    <w:p>
      <w:pPr>
        <w:ind w:left="660" w:right="60"/>
        <w:spacing w:after="0" w:line="254" w:lineRule="auto"/>
        <w:rPr>
          <w:sz w:val="20"/>
          <w:szCs w:val="20"/>
          <w:color w:val="auto"/>
        </w:rPr>
      </w:pPr>
      <w:r>
        <w:rPr>
          <w:rFonts w:ascii="Arial" w:cs="Arial" w:eastAsia="Arial" w:hAnsi="Arial"/>
          <w:sz w:val="18"/>
          <w:szCs w:val="18"/>
          <w:color w:val="auto"/>
        </w:rPr>
        <w:t xml:space="preserve">customary costs and expenses incident to a public offering (whether or not consummated) of the Equity Interests of Holdings to the extent that the proceeds therefrom are intended to be contributed to the U.S. Borrower and (v) to finance any Investment permitted to be made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Restricted Payment shall be made substantially concurrently with the closing of such Investment and (B) Holdings shall, immediately following the closing thereof, cause (1) all property acquired (whether assets or Equity Interests) to be contributed to the U.S. Borrower or a Subsidiary Guarantor (or a Subsidiary to the extent otherwise allowed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(2) the merger (to the extent permitted in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of the Person formed or acquired into the U.S. Borrower or a Subsidiary Guarantor (or a Subsidiary to the extent otherwise allowed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in order to consummate such Permitted Acquisition, in each case, in accordance with the requirements of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05" w:lineRule="exact"/>
        <w:rPr>
          <w:sz w:val="20"/>
          <w:szCs w:val="20"/>
          <w:color w:val="auto"/>
        </w:rPr>
      </w:pPr>
    </w:p>
    <w:p>
      <w:pPr>
        <w:ind w:left="660" w:right="60" w:firstLine="644"/>
        <w:spacing w:after="0" w:line="283" w:lineRule="auto"/>
        <w:tabs>
          <w:tab w:leader="none" w:pos="1686" w:val="left"/>
        </w:tabs>
        <w:numPr>
          <w:ilvl w:val="0"/>
          <w:numId w:val="177"/>
        </w:numPr>
        <w:rPr>
          <w:rFonts w:ascii="Arial" w:cs="Arial" w:eastAsia="Arial" w:hAnsi="Arial"/>
          <w:sz w:val="19"/>
          <w:szCs w:val="19"/>
          <w:color w:val="auto"/>
        </w:rPr>
      </w:pPr>
      <w:r>
        <w:rPr>
          <w:rFonts w:ascii="Arial" w:cs="Arial" w:eastAsia="Arial" w:hAnsi="Arial"/>
          <w:sz w:val="17"/>
          <w:szCs w:val="17"/>
          <w:u w:val="single" w:color="auto"/>
          <w:color w:val="auto"/>
        </w:rPr>
        <w:t>*other than during the Restricted Period,*</w:t>
      </w:r>
      <w:r>
        <w:rPr>
          <w:rFonts w:ascii="Arial" w:cs="Arial" w:eastAsia="Arial" w:hAnsi="Arial"/>
          <w:sz w:val="17"/>
          <w:szCs w:val="17"/>
          <w:color w:val="auto"/>
        </w:rPr>
        <w:t xml:space="preserve"> so long as no Default or Event of Default shall have occurred and be continuing or shall be caused thereby, the U.S. Borrower may make Restricted Payments with respect to the repurchase, redemption or other acquisition or retirement for value of any Equity Interests of Holdings, the U.S. Borrower or any Restricted Subsidiary held by any past, present or future employee, director, officer or consultant of Holdings (or any of its Restricted Subsidiaries) pursuant to any equity subscription agreement, stock option agreement or similar agreement or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price paid for all such repurchased, redeemed, acquired or retired Equity Interests may not exceed $30,000,000 in any twelve-month period;</w:t>
      </w:r>
    </w:p>
    <w:p>
      <w:pPr>
        <w:spacing w:after="0" w:line="182" w:lineRule="exact"/>
        <w:rPr>
          <w:rFonts w:ascii="Arial" w:cs="Arial" w:eastAsia="Arial" w:hAnsi="Arial"/>
          <w:sz w:val="19"/>
          <w:szCs w:val="19"/>
          <w:color w:val="auto"/>
        </w:rPr>
      </w:pPr>
    </w:p>
    <w:p>
      <w:pPr>
        <w:ind w:left="660" w:right="80" w:firstLine="644"/>
        <w:spacing w:after="0" w:line="306" w:lineRule="auto"/>
        <w:tabs>
          <w:tab w:leader="none" w:pos="1718" w:val="left"/>
        </w:tabs>
        <w:numPr>
          <w:ilvl w:val="0"/>
          <w:numId w:val="177"/>
        </w:numPr>
        <w:rPr>
          <w:rFonts w:ascii="Arial" w:cs="Arial" w:eastAsia="Arial" w:hAnsi="Arial"/>
          <w:sz w:val="18"/>
          <w:szCs w:val="18"/>
          <w:color w:val="auto"/>
        </w:rPr>
      </w:pPr>
      <w:r>
        <w:rPr>
          <w:rFonts w:ascii="Arial" w:cs="Arial" w:eastAsia="Arial" w:hAnsi="Arial"/>
          <w:sz w:val="16"/>
          <w:szCs w:val="16"/>
          <w:color w:val="auto"/>
        </w:rPr>
        <w:t>payments made or expected to be made by Holdings, the U.S. Borrower or any Restricted Subsidiary in respect of withholding or similar taxes payable by any future, present or former employee, director, officer, manager or consultant, to the extent made from the proceeds of any Equity Interest constituting restricted stock or stock options issued to such employee, director, officer, manager or consultant and any deemed repurchases of Equity Interests in connection with the exercise of stock options or the vesting of restricted stock;</w:t>
      </w:r>
    </w:p>
    <w:p>
      <w:pPr>
        <w:spacing w:after="0" w:line="166" w:lineRule="exact"/>
        <w:rPr>
          <w:rFonts w:ascii="Arial" w:cs="Arial" w:eastAsia="Arial" w:hAnsi="Arial"/>
          <w:sz w:val="18"/>
          <w:szCs w:val="18"/>
          <w:color w:val="auto"/>
        </w:rPr>
      </w:pPr>
    </w:p>
    <w:p>
      <w:pPr>
        <w:ind w:left="660" w:right="20" w:firstLine="644"/>
        <w:spacing w:after="0" w:line="310" w:lineRule="auto"/>
        <w:tabs>
          <w:tab w:leader="none" w:pos="1718" w:val="left"/>
        </w:tabs>
        <w:numPr>
          <w:ilvl w:val="0"/>
          <w:numId w:val="177"/>
        </w:numPr>
        <w:rPr>
          <w:rFonts w:ascii="Arial" w:cs="Arial" w:eastAsia="Arial" w:hAnsi="Arial"/>
          <w:sz w:val="18"/>
          <w:szCs w:val="18"/>
          <w:color w:val="auto"/>
        </w:rPr>
      </w:pPr>
      <w:r>
        <w:rPr>
          <w:rFonts w:ascii="Arial" w:cs="Arial" w:eastAsia="Arial" w:hAnsi="Arial"/>
          <w:sz w:val="16"/>
          <w:szCs w:val="16"/>
          <w:u w:val="single" w:color="auto"/>
          <w:color w:val="auto"/>
        </w:rPr>
        <w:t>*other than during the Restricted Period,*</w:t>
      </w:r>
      <w:r>
        <w:rPr>
          <w:rFonts w:ascii="Arial" w:cs="Arial" w:eastAsia="Arial" w:hAnsi="Arial"/>
          <w:sz w:val="16"/>
          <w:szCs w:val="16"/>
          <w:color w:val="auto"/>
        </w:rPr>
        <w:t xml:space="preserve"> so long as no Default or Event of Default shall have occurred and be continuing or would result therefrom, to the extent the Lease Adjusted Leverage Ratio calculated on a Pro forma Basis at the time of, and after giving effect to, the making of such Restricted Payments, is less than or equal to 3.75:1.00, the Borrower may make additional Restricted Payments to Holdings;</w:t>
      </w:r>
    </w:p>
    <w:p>
      <w:pPr>
        <w:spacing w:after="0" w:line="161" w:lineRule="exact"/>
        <w:rPr>
          <w:rFonts w:ascii="Arial" w:cs="Arial" w:eastAsia="Arial" w:hAnsi="Arial"/>
          <w:sz w:val="18"/>
          <w:szCs w:val="18"/>
          <w:color w:val="auto"/>
        </w:rPr>
      </w:pPr>
    </w:p>
    <w:p>
      <w:pPr>
        <w:ind w:left="660" w:right="80" w:firstLine="644"/>
        <w:spacing w:after="0" w:line="296" w:lineRule="auto"/>
        <w:tabs>
          <w:tab w:leader="none" w:pos="1675" w:val="left"/>
        </w:tabs>
        <w:numPr>
          <w:ilvl w:val="0"/>
          <w:numId w:val="177"/>
        </w:numPr>
        <w:rPr>
          <w:rFonts w:ascii="Arial" w:cs="Arial" w:eastAsia="Arial" w:hAnsi="Arial"/>
          <w:sz w:val="19"/>
          <w:szCs w:val="19"/>
          <w:color w:val="auto"/>
        </w:rPr>
      </w:pPr>
      <w:r>
        <w:rPr>
          <w:rFonts w:ascii="Arial" w:cs="Arial" w:eastAsia="Arial" w:hAnsi="Arial"/>
          <w:sz w:val="17"/>
          <w:szCs w:val="17"/>
          <w:u w:val="single" w:color="auto"/>
          <w:color w:val="auto"/>
        </w:rPr>
        <w:t>*other than during the Restricted Period,*</w:t>
      </w:r>
      <w:r>
        <w:rPr>
          <w:rFonts w:ascii="Arial" w:cs="Arial" w:eastAsia="Arial" w:hAnsi="Arial"/>
          <w:sz w:val="17"/>
          <w:szCs w:val="17"/>
          <w:color w:val="auto"/>
        </w:rPr>
        <w:t xml:space="preserve"> so long as no Default or Event of Default shall have occurred and be continuing or would result therefrom, the U.S. Borrower may make additional Restricted Payments to Holdings in an amount not to exceed $35,000,000;</w:t>
      </w:r>
    </w:p>
    <w:p>
      <w:pPr>
        <w:spacing w:after="0" w:line="164" w:lineRule="exact"/>
        <w:rPr>
          <w:rFonts w:ascii="Arial" w:cs="Arial" w:eastAsia="Arial" w:hAnsi="Arial"/>
          <w:sz w:val="19"/>
          <w:szCs w:val="19"/>
          <w:color w:val="auto"/>
        </w:rPr>
      </w:pPr>
    </w:p>
    <w:p>
      <w:pPr>
        <w:ind w:left="660" w:right="40" w:firstLine="644"/>
        <w:spacing w:after="0" w:line="264" w:lineRule="auto"/>
        <w:tabs>
          <w:tab w:leader="none" w:pos="1675" w:val="left"/>
        </w:tabs>
        <w:numPr>
          <w:ilvl w:val="0"/>
          <w:numId w:val="177"/>
        </w:numPr>
        <w:rPr>
          <w:rFonts w:ascii="Arial" w:cs="Arial" w:eastAsia="Arial" w:hAnsi="Arial"/>
          <w:sz w:val="20"/>
          <w:szCs w:val="20"/>
          <w:color w:val="auto"/>
        </w:rPr>
      </w:pPr>
      <w:r>
        <w:rPr>
          <w:rFonts w:ascii="Arial" w:cs="Arial" w:eastAsia="Arial" w:hAnsi="Arial"/>
          <w:sz w:val="18"/>
          <w:szCs w:val="18"/>
          <w:color w:val="auto"/>
        </w:rPr>
        <w:t>so long as no Default or Event of Default shall have occurred or be continuing or would result therefrom, the U.S. Borrower may make (and any Restricted Subsidiary may make) Restricted Payments comprised of the proceeds of an Excluded Issuance that are not used for any other purpose; and</w:t>
      </w:r>
    </w:p>
    <w:p>
      <w:pPr>
        <w:spacing w:after="0" w:line="196" w:lineRule="exact"/>
        <w:rPr>
          <w:rFonts w:ascii="Arial" w:cs="Arial" w:eastAsia="Arial" w:hAnsi="Arial"/>
          <w:sz w:val="20"/>
          <w:szCs w:val="20"/>
          <w:color w:val="auto"/>
        </w:rPr>
      </w:pPr>
    </w:p>
    <w:p>
      <w:pPr>
        <w:ind w:left="660" w:firstLine="644"/>
        <w:spacing w:after="0" w:line="283" w:lineRule="auto"/>
        <w:tabs>
          <w:tab w:leader="none" w:pos="1718" w:val="left"/>
        </w:tabs>
        <w:numPr>
          <w:ilvl w:val="0"/>
          <w:numId w:val="177"/>
        </w:numPr>
        <w:rPr>
          <w:rFonts w:ascii="Arial" w:cs="Arial" w:eastAsia="Arial" w:hAnsi="Arial"/>
          <w:sz w:val="19"/>
          <w:szCs w:val="19"/>
          <w:color w:val="auto"/>
        </w:rPr>
      </w:pPr>
      <w:r>
        <w:rPr>
          <w:rFonts w:ascii="Arial" w:cs="Arial" w:eastAsia="Arial" w:hAnsi="Arial"/>
          <w:sz w:val="17"/>
          <w:szCs w:val="17"/>
          <w:color w:val="auto"/>
        </w:rPr>
        <w:t xml:space="preserve">during a Collateral and Covenant Release Period, any Restricted Payment so long as the U.S. Borrower and its Restricted Subsidiaries shall be in pro forma compliance (giving effect to such Restricted Payment and each other Restricted Payment, if any, made in reliance on this exception after the end of the most recently ended Test Period) with the financial covenants set forth in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as of the last day of the most recently ended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termination of such Collateral and Covenant Release Period, all Restricted Payments made in reliance on this exception shall be deemed to have been made under one or more other exceptions contained in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for purposes of determining the U.S. Borrowers’ and its Restricted Subsidiaries’ ability to utilize any basket, threshold, cap or similar exception to make additional Restricted Payments following the termination of such Collateral and Covenant Release Period (with such Restricted Payments being allocated by the U.S. Borrower in good faith to minimize any potential overages).</w:t>
      </w:r>
    </w:p>
    <w:p>
      <w:pPr>
        <w:spacing w:after="0" w:line="159" w:lineRule="exact"/>
        <w:rPr>
          <w:sz w:val="20"/>
          <w:szCs w:val="20"/>
          <w:color w:val="auto"/>
        </w:rPr>
      </w:pPr>
    </w:p>
    <w:p>
      <w:pPr>
        <w:ind w:right="160" w:firstLine="648"/>
        <w:spacing w:after="0" w:line="262" w:lineRule="auto"/>
        <w:rPr>
          <w:sz w:val="20"/>
          <w:szCs w:val="20"/>
          <w:color w:val="auto"/>
        </w:rPr>
      </w:pPr>
      <w:r>
        <w:rPr>
          <w:rFonts w:ascii="Arial" w:cs="Arial" w:eastAsia="Arial" w:hAnsi="Arial"/>
          <w:sz w:val="20"/>
          <w:szCs w:val="20"/>
          <w:b w:val="1"/>
          <w:bCs w:val="1"/>
          <w:color w:val="auto"/>
        </w:rPr>
        <w:t xml:space="preserve">7.07 </w:t>
      </w:r>
      <w:r>
        <w:rPr>
          <w:rFonts w:ascii="Arial" w:cs="Arial" w:eastAsia="Arial" w:hAnsi="Arial"/>
          <w:sz w:val="17"/>
          <w:szCs w:val="17"/>
          <w:b w:val="1"/>
          <w:bCs w:val="1"/>
          <w:u w:val="single" w:color="auto"/>
          <w:color w:val="auto"/>
        </w:rPr>
        <w:t>Change in Nature of Business/Partnerships/Accounting Changes</w:t>
      </w:r>
      <w:r>
        <w:rPr>
          <w:rFonts w:ascii="Arial" w:cs="Arial" w:eastAsia="Arial" w:hAnsi="Arial"/>
          <w:sz w:val="17"/>
          <w:szCs w:val="17"/>
          <w:color w:val="auto"/>
        </w:rPr>
        <w:t>. (a) Engage in any business other than those businesses in which the</w:t>
      </w:r>
      <w:r>
        <w:rPr>
          <w:rFonts w:ascii="Arial" w:cs="Arial" w:eastAsia="Arial" w:hAnsi="Arial"/>
          <w:sz w:val="20"/>
          <w:szCs w:val="20"/>
          <w:b w:val="1"/>
          <w:bCs w:val="1"/>
          <w:color w:val="auto"/>
        </w:rPr>
        <w:t xml:space="preserve"> </w:t>
      </w:r>
      <w:r>
        <w:rPr>
          <w:rFonts w:ascii="Arial" w:cs="Arial" w:eastAsia="Arial" w:hAnsi="Arial"/>
          <w:sz w:val="17"/>
          <w:szCs w:val="17"/>
          <w:color w:val="auto"/>
        </w:rPr>
        <w:t>U.S. Borrower and its Restricted Subsidiaries are engaged on the Closing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557" w:right="339" w:bottom="1440" w:gutter="0" w:footer="0" w:header="0"/>
        </w:sectPr>
      </w:pPr>
    </w:p>
    <w:bookmarkStart w:id="188" w:name="page189"/>
    <w:bookmarkEnd w:id="188"/>
    <w:p>
      <w:pPr>
        <w:ind w:right="160"/>
        <w:spacing w:after="0" w:line="263" w:lineRule="auto"/>
        <w:rPr>
          <w:sz w:val="20"/>
          <w:szCs w:val="20"/>
          <w:color w:val="auto"/>
        </w:rPr>
      </w:pPr>
      <w:r>
        <w:rPr>
          <w:rFonts w:ascii="Arial" w:cs="Arial" w:eastAsia="Arial" w:hAnsi="Arial"/>
          <w:sz w:val="18"/>
          <w:szCs w:val="18"/>
          <w:color w:val="auto"/>
        </w:rPr>
        <w:t>Date (or which are reasonably related thereto or are reasonable extensions thereof) or such other lines of business as may be consented to by the Required Lenders, (b) become a general partner in any general partnership (other than any general partnership in existence on the Closing Date), or (c) make any change in accounting policies or reporting practices, except as required or permitted by GAAP.</w:t>
      </w:r>
    </w:p>
    <w:p>
      <w:pPr>
        <w:spacing w:after="0" w:line="175" w:lineRule="exact"/>
        <w:rPr>
          <w:sz w:val="20"/>
          <w:szCs w:val="20"/>
          <w:color w:val="auto"/>
        </w:rPr>
      </w:pPr>
    </w:p>
    <w:p>
      <w:pPr>
        <w:ind w:firstLine="648"/>
        <w:spacing w:after="0" w:line="272" w:lineRule="auto"/>
        <w:rPr>
          <w:sz w:val="20"/>
          <w:szCs w:val="20"/>
          <w:color w:val="auto"/>
        </w:rPr>
      </w:pPr>
      <w:r>
        <w:rPr>
          <w:rFonts w:ascii="Arial" w:cs="Arial" w:eastAsia="Arial" w:hAnsi="Arial"/>
          <w:sz w:val="20"/>
          <w:szCs w:val="20"/>
          <w:b w:val="1"/>
          <w:bCs w:val="1"/>
          <w:color w:val="auto"/>
        </w:rPr>
        <w:t xml:space="preserve">7.08 </w:t>
      </w:r>
      <w:r>
        <w:rPr>
          <w:rFonts w:ascii="Arial" w:cs="Arial" w:eastAsia="Arial" w:hAnsi="Arial"/>
          <w:sz w:val="17"/>
          <w:szCs w:val="17"/>
          <w:b w:val="1"/>
          <w:bCs w:val="1"/>
          <w:u w:val="single" w:color="auto"/>
          <w:color w:val="auto"/>
        </w:rPr>
        <w:t>Transactions with Affiliates</w:t>
      </w:r>
      <w:r>
        <w:rPr>
          <w:rFonts w:ascii="Arial" w:cs="Arial" w:eastAsia="Arial" w:hAnsi="Arial"/>
          <w:sz w:val="17"/>
          <w:szCs w:val="17"/>
          <w:color w:val="auto"/>
        </w:rPr>
        <w:t>. Enter into any transaction or series of related transactions, whether or not in the ordinary course of business,</w:t>
      </w:r>
      <w:r>
        <w:rPr>
          <w:rFonts w:ascii="Arial" w:cs="Arial" w:eastAsia="Arial" w:hAnsi="Arial"/>
          <w:sz w:val="20"/>
          <w:szCs w:val="20"/>
          <w:b w:val="1"/>
          <w:bCs w:val="1"/>
          <w:color w:val="auto"/>
        </w:rPr>
        <w:t xml:space="preserve"> </w:t>
      </w:r>
      <w:r>
        <w:rPr>
          <w:rFonts w:ascii="Arial" w:cs="Arial" w:eastAsia="Arial" w:hAnsi="Arial"/>
          <w:sz w:val="17"/>
          <w:szCs w:val="17"/>
          <w:color w:val="auto"/>
        </w:rPr>
        <w:t>with or for the benefit of any Affiliate of the U.S. Borrower or any Restricted Subsidiary, other than on terms and conditions not materially less favorable to the U.S. Borrower or such Restricted Subsidiary as would reasonably be obtained by the U.S. Borrower or such Restricted Subsidiary at that time in an arm’s-length transaction with a Person other than an Affiliate, except that the following shall be permitted:</w:t>
      </w:r>
    </w:p>
    <w:p>
      <w:pPr>
        <w:spacing w:after="0" w:line="192" w:lineRule="exact"/>
        <w:rPr>
          <w:sz w:val="20"/>
          <w:szCs w:val="20"/>
          <w:color w:val="auto"/>
        </w:rPr>
      </w:pPr>
    </w:p>
    <w:p>
      <w:pPr>
        <w:ind w:left="1700" w:hanging="396"/>
        <w:spacing w:after="0"/>
        <w:tabs>
          <w:tab w:leader="none" w:pos="1700" w:val="left"/>
        </w:tabs>
        <w:numPr>
          <w:ilvl w:val="0"/>
          <w:numId w:val="178"/>
        </w:numPr>
        <w:rPr>
          <w:rFonts w:ascii="Arial" w:cs="Arial" w:eastAsia="Arial" w:hAnsi="Arial"/>
          <w:sz w:val="20"/>
          <w:szCs w:val="20"/>
          <w:color w:val="auto"/>
        </w:rPr>
      </w:pPr>
      <w:r>
        <w:rPr>
          <w:rFonts w:ascii="Arial" w:cs="Arial" w:eastAsia="Arial" w:hAnsi="Arial"/>
          <w:sz w:val="18"/>
          <w:szCs w:val="18"/>
          <w:color w:val="auto"/>
        </w:rPr>
        <w:t xml:space="preserve">Restricted Payments permitted by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right="460" w:firstLine="644"/>
        <w:spacing w:after="0" w:line="266" w:lineRule="auto"/>
        <w:tabs>
          <w:tab w:leader="none" w:pos="1718" w:val="left"/>
        </w:tabs>
        <w:numPr>
          <w:ilvl w:val="0"/>
          <w:numId w:val="178"/>
        </w:numPr>
        <w:rPr>
          <w:rFonts w:ascii="Arial" w:cs="Arial" w:eastAsia="Arial" w:hAnsi="Arial"/>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in Unrestricted Subsidiaries to the extent permitted by </w:t>
      </w:r>
      <w:r>
        <w:rPr>
          <w:rFonts w:ascii="Arial" w:cs="Arial" w:eastAsia="Arial" w:hAnsi="Arial"/>
          <w:sz w:val="18"/>
          <w:szCs w:val="18"/>
          <w:u w:val="single" w:color="auto"/>
          <w:color w:val="auto"/>
        </w:rPr>
        <w:t>Section 7.02(d)</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in Holdings to the extent permitted by </w:t>
      </w:r>
      <w:r>
        <w:rPr>
          <w:rFonts w:ascii="Arial" w:cs="Arial" w:eastAsia="Arial" w:hAnsi="Arial"/>
          <w:sz w:val="18"/>
          <w:szCs w:val="18"/>
          <w:u w:val="single" w:color="auto"/>
          <w:color w:val="auto"/>
        </w:rPr>
        <w:t>Section 7.02(m)</w:t>
      </w:r>
      <w:r>
        <w:rPr>
          <w:rFonts w:ascii="Arial" w:cs="Arial" w:eastAsia="Arial" w:hAnsi="Arial"/>
          <w:sz w:val="18"/>
          <w:szCs w:val="18"/>
          <w:color w:val="auto"/>
        </w:rPr>
        <w:t>;</w:t>
      </w:r>
    </w:p>
    <w:p>
      <w:pPr>
        <w:spacing w:after="0" w:line="190" w:lineRule="exact"/>
        <w:rPr>
          <w:rFonts w:ascii="Arial" w:cs="Arial" w:eastAsia="Arial" w:hAnsi="Arial"/>
          <w:sz w:val="20"/>
          <w:szCs w:val="20"/>
          <w:color w:val="auto"/>
        </w:rPr>
      </w:pPr>
    </w:p>
    <w:p>
      <w:pPr>
        <w:ind w:left="660" w:right="20" w:firstLine="644"/>
        <w:spacing w:after="0" w:line="329" w:lineRule="auto"/>
        <w:tabs>
          <w:tab w:leader="none" w:pos="1708" w:val="left"/>
        </w:tabs>
        <w:numPr>
          <w:ilvl w:val="0"/>
          <w:numId w:val="178"/>
        </w:numPr>
        <w:rPr>
          <w:rFonts w:ascii="Arial" w:cs="Arial" w:eastAsia="Arial" w:hAnsi="Arial"/>
          <w:sz w:val="18"/>
          <w:szCs w:val="18"/>
          <w:color w:val="auto"/>
        </w:rPr>
      </w:pPr>
      <w:r>
        <w:rPr>
          <w:rFonts w:ascii="Arial" w:cs="Arial" w:eastAsia="Arial" w:hAnsi="Arial"/>
          <w:sz w:val="16"/>
          <w:szCs w:val="16"/>
          <w:color w:val="auto"/>
        </w:rPr>
        <w:t>reasonable director, officer and employee fees, compensation (including bonuses) and other benefits (including retirement, health, stock option and other benefit plans) and indemnification and severance arrangements, in each case entered into in the ordinary course of business;</w:t>
      </w:r>
    </w:p>
    <w:p>
      <w:pPr>
        <w:spacing w:after="0" w:line="139" w:lineRule="exact"/>
        <w:rPr>
          <w:rFonts w:ascii="Arial" w:cs="Arial" w:eastAsia="Arial" w:hAnsi="Arial"/>
          <w:sz w:val="18"/>
          <w:szCs w:val="18"/>
          <w:color w:val="auto"/>
        </w:rPr>
      </w:pPr>
    </w:p>
    <w:p>
      <w:pPr>
        <w:ind w:left="660" w:right="140" w:firstLine="644"/>
        <w:spacing w:after="0" w:line="266" w:lineRule="auto"/>
        <w:tabs>
          <w:tab w:leader="none" w:pos="1718" w:val="left"/>
        </w:tabs>
        <w:numPr>
          <w:ilvl w:val="0"/>
          <w:numId w:val="178"/>
        </w:numPr>
        <w:rPr>
          <w:rFonts w:ascii="Arial" w:cs="Arial" w:eastAsia="Arial" w:hAnsi="Arial"/>
          <w:sz w:val="20"/>
          <w:szCs w:val="20"/>
          <w:color w:val="auto"/>
        </w:rPr>
      </w:pPr>
      <w:r>
        <w:rPr>
          <w:rFonts w:ascii="Arial" w:cs="Arial" w:eastAsia="Arial" w:hAnsi="Arial"/>
          <w:sz w:val="18"/>
          <w:szCs w:val="18"/>
          <w:color w:val="auto"/>
        </w:rPr>
        <w:t>transactions with customers, clients, suppliers, joint venture partners or purchasers or sellers of goods and services, in each case in the ordinary course of business and otherwise not prohibited by the Loan Documents;</w:t>
      </w:r>
    </w:p>
    <w:p>
      <w:pPr>
        <w:spacing w:after="0" w:line="190" w:lineRule="exact"/>
        <w:rPr>
          <w:rFonts w:ascii="Arial" w:cs="Arial" w:eastAsia="Arial" w:hAnsi="Arial"/>
          <w:sz w:val="20"/>
          <w:szCs w:val="20"/>
          <w:color w:val="auto"/>
        </w:rPr>
      </w:pPr>
    </w:p>
    <w:p>
      <w:pPr>
        <w:ind w:left="660" w:right="40" w:firstLine="644"/>
        <w:spacing w:after="0" w:line="266" w:lineRule="auto"/>
        <w:tabs>
          <w:tab w:leader="none" w:pos="1708" w:val="left"/>
        </w:tabs>
        <w:numPr>
          <w:ilvl w:val="0"/>
          <w:numId w:val="178"/>
        </w:numPr>
        <w:rPr>
          <w:rFonts w:ascii="Arial" w:cs="Arial" w:eastAsia="Arial" w:hAnsi="Arial"/>
          <w:sz w:val="20"/>
          <w:szCs w:val="20"/>
          <w:color w:val="auto"/>
        </w:rPr>
      </w:pPr>
      <w:r>
        <w:rPr>
          <w:rFonts w:ascii="Arial" w:cs="Arial" w:eastAsia="Arial" w:hAnsi="Arial"/>
          <w:sz w:val="18"/>
          <w:szCs w:val="18"/>
          <w:color w:val="auto"/>
        </w:rPr>
        <w:t xml:space="preserve">transactions pursuant to permitted agreements in existence on the Closing Date and set forth on </w:t>
      </w:r>
      <w:r>
        <w:rPr>
          <w:rFonts w:ascii="Arial" w:cs="Arial" w:eastAsia="Arial" w:hAnsi="Arial"/>
          <w:sz w:val="18"/>
          <w:szCs w:val="18"/>
          <w:u w:val="single" w:color="auto"/>
          <w:color w:val="auto"/>
        </w:rPr>
        <w:t>Schedule 7.08(e)</w:t>
      </w:r>
      <w:r>
        <w:rPr>
          <w:rFonts w:ascii="Arial" w:cs="Arial" w:eastAsia="Arial" w:hAnsi="Arial"/>
          <w:sz w:val="18"/>
          <w:szCs w:val="18"/>
          <w:color w:val="auto"/>
        </w:rPr>
        <w:t xml:space="preserve"> or any amendment thereto to the extent such an amendment is not adverse to the Lenders in any material respect;</w:t>
      </w:r>
    </w:p>
    <w:p>
      <w:pPr>
        <w:spacing w:after="0" w:line="190" w:lineRule="exact"/>
        <w:rPr>
          <w:rFonts w:ascii="Arial" w:cs="Arial" w:eastAsia="Arial" w:hAnsi="Arial"/>
          <w:sz w:val="20"/>
          <w:szCs w:val="20"/>
          <w:color w:val="auto"/>
        </w:rPr>
      </w:pPr>
    </w:p>
    <w:p>
      <w:pPr>
        <w:ind w:left="1680" w:hanging="376"/>
        <w:spacing w:after="0"/>
        <w:tabs>
          <w:tab w:leader="none" w:pos="1680" w:val="left"/>
        </w:tabs>
        <w:numPr>
          <w:ilvl w:val="0"/>
          <w:numId w:val="178"/>
        </w:numPr>
        <w:rPr>
          <w:rFonts w:ascii="Arial" w:cs="Arial" w:eastAsia="Arial" w:hAnsi="Arial"/>
          <w:sz w:val="20"/>
          <w:szCs w:val="20"/>
          <w:color w:val="auto"/>
        </w:rPr>
      </w:pPr>
      <w:r>
        <w:rPr>
          <w:rFonts w:ascii="Arial" w:cs="Arial" w:eastAsia="Arial" w:hAnsi="Arial"/>
          <w:sz w:val="18"/>
          <w:szCs w:val="18"/>
          <w:color w:val="auto"/>
        </w:rPr>
        <w:t xml:space="preserve">Asset Sales permitted by </w:t>
      </w:r>
      <w:r>
        <w:rPr>
          <w:rFonts w:ascii="Arial" w:cs="Arial" w:eastAsia="Arial" w:hAnsi="Arial"/>
          <w:sz w:val="18"/>
          <w:szCs w:val="18"/>
          <w:u w:val="single" w:color="auto"/>
          <w:color w:val="auto"/>
        </w:rPr>
        <w:t>Section 7.04(b)</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firstLine="644"/>
        <w:spacing w:after="0" w:line="266" w:lineRule="auto"/>
        <w:tabs>
          <w:tab w:leader="none" w:pos="1718" w:val="left"/>
        </w:tabs>
        <w:numPr>
          <w:ilvl w:val="0"/>
          <w:numId w:val="178"/>
        </w:numPr>
        <w:rPr>
          <w:rFonts w:ascii="Arial" w:cs="Arial" w:eastAsia="Arial" w:hAnsi="Arial"/>
          <w:sz w:val="20"/>
          <w:szCs w:val="20"/>
          <w:color w:val="auto"/>
        </w:rPr>
      </w:pPr>
      <w:r>
        <w:rPr>
          <w:rFonts w:ascii="Arial" w:cs="Arial" w:eastAsia="Arial" w:hAnsi="Arial"/>
          <w:sz w:val="18"/>
          <w:szCs w:val="18"/>
          <w:color w:val="auto"/>
        </w:rPr>
        <w:t xml:space="preserve">loans and other transactions by and between or among the U.S. Borrower or any Restricted Subsidiary to extent permitted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and</w:t>
      </w:r>
    </w:p>
    <w:p>
      <w:pPr>
        <w:spacing w:after="0" w:line="190" w:lineRule="exact"/>
        <w:rPr>
          <w:rFonts w:ascii="Arial" w:cs="Arial" w:eastAsia="Arial" w:hAnsi="Arial"/>
          <w:sz w:val="20"/>
          <w:szCs w:val="20"/>
          <w:color w:val="auto"/>
        </w:rPr>
      </w:pPr>
    </w:p>
    <w:p>
      <w:pPr>
        <w:ind w:left="660" w:right="140" w:firstLine="644"/>
        <w:spacing w:after="0" w:line="264" w:lineRule="auto"/>
        <w:tabs>
          <w:tab w:leader="none" w:pos="1718" w:val="left"/>
        </w:tabs>
        <w:numPr>
          <w:ilvl w:val="0"/>
          <w:numId w:val="178"/>
        </w:numPr>
        <w:rPr>
          <w:rFonts w:ascii="Arial" w:cs="Arial" w:eastAsia="Arial" w:hAnsi="Arial"/>
          <w:sz w:val="20"/>
          <w:szCs w:val="20"/>
          <w:color w:val="auto"/>
        </w:rPr>
      </w:pPr>
      <w:r>
        <w:rPr>
          <w:rFonts w:ascii="Arial" w:cs="Arial" w:eastAsia="Arial" w:hAnsi="Arial"/>
          <w:sz w:val="18"/>
          <w:szCs w:val="18"/>
          <w:color w:val="auto"/>
        </w:rPr>
        <w:t xml:space="preserve">transactions (i) between or among the U.S. Borrower and/or one or more Restricted Subsidiaries, (ii) between or among Restricted Subsidiaries and (iii) between or among U.S. Borrower, and/or one or more Restricted Subsidiaries and an Affiliated Charitable Organization to the extent otherwise permitted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4" w:lineRule="exact"/>
        <w:rPr>
          <w:sz w:val="20"/>
          <w:szCs w:val="20"/>
          <w:color w:val="auto"/>
        </w:rPr>
      </w:pPr>
    </w:p>
    <w:p>
      <w:pPr>
        <w:ind w:left="660" w:right="20" w:firstLine="648"/>
        <w:spacing w:after="0" w:line="272" w:lineRule="auto"/>
        <w:rPr>
          <w:sz w:val="20"/>
          <w:szCs w:val="20"/>
          <w:color w:val="auto"/>
        </w:rPr>
      </w:pPr>
      <w:r>
        <w:rPr>
          <w:rFonts w:ascii="Arial" w:cs="Arial" w:eastAsia="Arial" w:hAnsi="Arial"/>
          <w:sz w:val="20"/>
          <w:szCs w:val="20"/>
          <w:b w:val="1"/>
          <w:bCs w:val="1"/>
          <w:color w:val="auto"/>
        </w:rPr>
        <w:t xml:space="preserve">7.09 </w:t>
      </w:r>
      <w:r>
        <w:rPr>
          <w:rFonts w:ascii="Arial" w:cs="Arial" w:eastAsia="Arial" w:hAnsi="Arial"/>
          <w:sz w:val="17"/>
          <w:szCs w:val="17"/>
          <w:b w:val="1"/>
          <w:bCs w:val="1"/>
          <w:u w:val="single" w:color="auto"/>
          <w:color w:val="auto"/>
        </w:rPr>
        <w:t>Sales and Leasebacks</w:t>
      </w:r>
      <w:r>
        <w:rPr>
          <w:rFonts w:ascii="Arial" w:cs="Arial" w:eastAsia="Arial" w:hAnsi="Arial"/>
          <w:sz w:val="17"/>
          <w:szCs w:val="17"/>
          <w:color w:val="auto"/>
        </w:rPr>
        <w:t>. Become or remain liable as lessee, guarantor or other surety with respect to any lease of any property</w:t>
      </w:r>
      <w:r>
        <w:rPr>
          <w:rFonts w:ascii="Arial" w:cs="Arial" w:eastAsia="Arial" w:hAnsi="Arial"/>
          <w:sz w:val="20"/>
          <w:szCs w:val="20"/>
          <w:b w:val="1"/>
          <w:bCs w:val="1"/>
          <w:color w:val="auto"/>
        </w:rPr>
        <w:t xml:space="preserve"> </w:t>
      </w:r>
      <w:r>
        <w:rPr>
          <w:rFonts w:ascii="Arial" w:cs="Arial" w:eastAsia="Arial" w:hAnsi="Arial"/>
          <w:sz w:val="17"/>
          <w:szCs w:val="17"/>
          <w:color w:val="auto"/>
        </w:rPr>
        <w:t>(whether real, personal or mixed), whether now owned or hereafter acquired, which such Person (a) has sold or transferred or is to sell or to transfer to any other Person (other than the U.S. Borrower or any of its Restricted Subsidiaries), or (b) intends to use for substantially the same purpose as any other property which has been or is to be sold or transferred by such Person to any other Person (other than the U.S. Borrower or any of its Restricted Subsidiaries) in connection with such lease (each of the foregoing, a “</w:t>
      </w:r>
      <w:r>
        <w:rPr>
          <w:rFonts w:ascii="Arial" w:cs="Arial" w:eastAsia="Arial" w:hAnsi="Arial"/>
          <w:sz w:val="17"/>
          <w:szCs w:val="17"/>
          <w:u w:val="single" w:color="auto"/>
          <w:color w:val="auto"/>
        </w:rPr>
        <w:t>Sale-Leaseback Transaction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U.S. Borrower and its Restricted Subsidiaries may become and remain liable as lessee, guarantor or other surety with respect to any such lease (i) if and to the extent that the U.S. Borrower and its Restricted</w:t>
      </w:r>
    </w:p>
    <w:p>
      <w:pPr>
        <w:jc w:val="both"/>
        <w:ind w:left="660" w:right="160"/>
        <w:spacing w:after="0" w:line="266" w:lineRule="auto"/>
        <w:rPr>
          <w:sz w:val="20"/>
          <w:szCs w:val="20"/>
          <w:color w:val="auto"/>
        </w:rPr>
      </w:pPr>
      <w:r>
        <w:rPr>
          <w:rFonts w:ascii="Arial" w:cs="Arial" w:eastAsia="Arial" w:hAnsi="Arial"/>
          <w:sz w:val="18"/>
          <w:szCs w:val="18"/>
          <w:color w:val="auto"/>
        </w:rPr>
        <w:t xml:space="preserve">Subsidiaries are permitted to enter into and remain liable with respect to such lease in connection with Indebtedness incurred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7.03(m)</w:t>
      </w:r>
      <w:r>
        <w:rPr>
          <w:rFonts w:ascii="Arial" w:cs="Arial" w:eastAsia="Arial" w:hAnsi="Arial"/>
          <w:sz w:val="18"/>
          <w:szCs w:val="18"/>
          <w:color w:val="auto"/>
        </w:rPr>
        <w:t xml:space="preserve"> in an aggregate principal amount which, when added to the amount of</w:t>
      </w:r>
    </w:p>
    <w:p>
      <w:pPr>
        <w:ind w:left="660"/>
        <w:spacing w:after="0"/>
        <w:rPr>
          <w:sz w:val="20"/>
          <w:szCs w:val="20"/>
          <w:color w:val="auto"/>
        </w:rPr>
      </w:pPr>
      <w:r>
        <w:rPr>
          <w:rFonts w:ascii="Arial" w:cs="Arial" w:eastAsia="Arial" w:hAnsi="Arial"/>
          <w:sz w:val="16"/>
          <w:szCs w:val="16"/>
          <w:color w:val="auto"/>
        </w:rPr>
        <w:t xml:space="preserve">Indebtedness of the U.S. Borrower and its Restricted Subsidiaries pursuant to </w:t>
      </w:r>
      <w:r>
        <w:rPr>
          <w:rFonts w:ascii="Arial" w:cs="Arial" w:eastAsia="Arial" w:hAnsi="Arial"/>
          <w:sz w:val="16"/>
          <w:szCs w:val="16"/>
          <w:u w:val="single" w:color="auto"/>
          <w:color w:val="auto"/>
        </w:rPr>
        <w:t>Section 7.03(m)</w:t>
      </w:r>
      <w:r>
        <w:rPr>
          <w:rFonts w:ascii="Arial" w:cs="Arial" w:eastAsia="Arial" w:hAnsi="Arial"/>
          <w:sz w:val="16"/>
          <w:szCs w:val="16"/>
          <w:color w:val="auto"/>
        </w:rPr>
        <w:t>, shall not exceed $75,000,000 outstanding at any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time and (ii) during a Collateral and Covenant Release Period so long as the U.S. Borrower and its Restricted Subsidiaries shall be in pro forma</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compliance (giving effect to such Sale-Leaseback Transaction and each other Sale-Leaseback Transaction, if any, made in reliance on this clause</w:t>
      </w:r>
    </w:p>
    <w:p>
      <w:pPr>
        <w:spacing w:after="0" w:line="46" w:lineRule="exact"/>
        <w:rPr>
          <w:sz w:val="20"/>
          <w:szCs w:val="20"/>
          <w:color w:val="auto"/>
        </w:rPr>
      </w:pPr>
    </w:p>
    <w:p>
      <w:pPr>
        <w:ind w:left="660" w:right="160" w:hanging="4"/>
        <w:spacing w:after="0" w:line="279" w:lineRule="auto"/>
        <w:tabs>
          <w:tab w:leader="none" w:pos="92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after the end of the most recently ended Test Period) with the financial covenants set forth in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as of the last day of the most recently ended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termination of such Collateral and Covenant Release Period, all Sale-Leaseback Transactions made in reliance on this clause (ii) shall be deemed to have been made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341" w:right="339" w:bottom="1440" w:gutter="0" w:footer="0" w:header="0"/>
        </w:sectPr>
      </w:pPr>
    </w:p>
    <w:bookmarkStart w:id="189" w:name="page190"/>
    <w:bookmarkEnd w:id="189"/>
    <w:p>
      <w:pPr>
        <w:ind w:right="220"/>
        <w:spacing w:after="0" w:line="277" w:lineRule="auto"/>
        <w:rPr>
          <w:sz w:val="20"/>
          <w:szCs w:val="20"/>
          <w:color w:val="auto"/>
        </w:rPr>
      </w:pPr>
      <w:r>
        <w:rPr>
          <w:rFonts w:ascii="Arial" w:cs="Arial" w:eastAsia="Arial" w:hAnsi="Arial"/>
          <w:sz w:val="18"/>
          <w:szCs w:val="18"/>
          <w:color w:val="auto"/>
        </w:rPr>
        <w:t>under clause (i) above for purposes of determining the U.S. Borrowers’ and its Restricted Subsidiaries’ ability to consummate additional Sale-Leaseback Transactions following the termination of such Collateral and Covenant Release Period.</w:t>
      </w:r>
    </w:p>
    <w:p>
      <w:pPr>
        <w:spacing w:after="0" w:line="162" w:lineRule="exact"/>
        <w:rPr>
          <w:sz w:val="20"/>
          <w:szCs w:val="20"/>
          <w:color w:val="auto"/>
        </w:rPr>
      </w:pPr>
    </w:p>
    <w:p>
      <w:pPr>
        <w:ind w:right="140" w:firstLine="648"/>
        <w:spacing w:after="0" w:line="274" w:lineRule="auto"/>
        <w:rPr>
          <w:sz w:val="20"/>
          <w:szCs w:val="20"/>
          <w:color w:val="auto"/>
        </w:rPr>
      </w:pPr>
      <w:r>
        <w:rPr>
          <w:rFonts w:ascii="Arial" w:cs="Arial" w:eastAsia="Arial" w:hAnsi="Arial"/>
          <w:sz w:val="20"/>
          <w:szCs w:val="20"/>
          <w:b w:val="1"/>
          <w:bCs w:val="1"/>
          <w:color w:val="auto"/>
        </w:rPr>
        <w:t xml:space="preserve">7.10 </w:t>
      </w:r>
      <w:r>
        <w:rPr>
          <w:rFonts w:ascii="Arial" w:cs="Arial" w:eastAsia="Arial" w:hAnsi="Arial"/>
          <w:sz w:val="17"/>
          <w:szCs w:val="17"/>
          <w:b w:val="1"/>
          <w:bCs w:val="1"/>
          <w:u w:val="single" w:color="auto"/>
          <w:color w:val="auto"/>
        </w:rPr>
        <w:t>Clauses Restricting Restricted Subsidiary Distributions</w:t>
      </w:r>
      <w:r>
        <w:rPr>
          <w:rFonts w:ascii="Arial" w:cs="Arial" w:eastAsia="Arial" w:hAnsi="Arial"/>
          <w:sz w:val="17"/>
          <w:szCs w:val="17"/>
          <w:color w:val="auto"/>
        </w:rPr>
        <w:t>. Enter into or suffer to exist or become effective any consensual encumbrance</w:t>
      </w:r>
      <w:r>
        <w:rPr>
          <w:rFonts w:ascii="Arial" w:cs="Arial" w:eastAsia="Arial" w:hAnsi="Arial"/>
          <w:sz w:val="20"/>
          <w:szCs w:val="20"/>
          <w:b w:val="1"/>
          <w:bCs w:val="1"/>
          <w:color w:val="auto"/>
        </w:rPr>
        <w:t xml:space="preserve"> </w:t>
      </w:r>
      <w:r>
        <w:rPr>
          <w:rFonts w:ascii="Arial" w:cs="Arial" w:eastAsia="Arial" w:hAnsi="Arial"/>
          <w:sz w:val="17"/>
          <w:szCs w:val="17"/>
          <w:color w:val="auto"/>
        </w:rPr>
        <w:t>or restriction on the ability of any Restricted Subsidiary of the U.S. Borrower to (a) make Restricted Payments in respect of any Equity Interests of such Restricted Subsidiary held by, or pay any Indebtedness owed to, the U.S. Borrower or any other Subsidiary Guarantor, (b) make loans or advances to, or other Investments in, the U.S. Borrower or any other Subsidiary Guarantor or (c) transfer any of its assets to the Borrower or any other Subsidiary Guarantor, except for:</w:t>
      </w:r>
    </w:p>
    <w:p>
      <w:pPr>
        <w:spacing w:after="0" w:line="191" w:lineRule="exact"/>
        <w:rPr>
          <w:sz w:val="20"/>
          <w:szCs w:val="20"/>
          <w:color w:val="auto"/>
        </w:rPr>
      </w:pPr>
    </w:p>
    <w:p>
      <w:pPr>
        <w:ind w:left="1680" w:hanging="376"/>
        <w:spacing w:after="0"/>
        <w:tabs>
          <w:tab w:leader="none" w:pos="1680" w:val="left"/>
        </w:tabs>
        <w:numPr>
          <w:ilvl w:val="1"/>
          <w:numId w:val="180"/>
        </w:numPr>
        <w:rPr>
          <w:rFonts w:ascii="Arial" w:cs="Arial" w:eastAsia="Arial" w:hAnsi="Arial"/>
          <w:sz w:val="20"/>
          <w:szCs w:val="20"/>
          <w:color w:val="auto"/>
        </w:rPr>
      </w:pPr>
      <w:r>
        <w:rPr>
          <w:rFonts w:ascii="Arial" w:cs="Arial" w:eastAsia="Arial" w:hAnsi="Arial"/>
          <w:sz w:val="18"/>
          <w:szCs w:val="18"/>
          <w:color w:val="auto"/>
        </w:rPr>
        <w:t>any restrictions existing under or permitted by the Loan Documents;</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1"/>
          <w:numId w:val="180"/>
        </w:numPr>
        <w:rPr>
          <w:rFonts w:ascii="Arial" w:cs="Arial" w:eastAsia="Arial" w:hAnsi="Arial"/>
          <w:sz w:val="20"/>
          <w:szCs w:val="20"/>
          <w:color w:val="auto"/>
        </w:rPr>
      </w:pPr>
      <w:r>
        <w:rPr>
          <w:rFonts w:ascii="Arial" w:cs="Arial" w:eastAsia="Arial" w:hAnsi="Arial"/>
          <w:sz w:val="18"/>
          <w:szCs w:val="18"/>
          <w:color w:val="auto"/>
        </w:rPr>
        <w:t>any encumbrance or restriction pursuant to applicable Law;</w:t>
      </w:r>
    </w:p>
    <w:p>
      <w:pPr>
        <w:spacing w:after="0" w:line="215" w:lineRule="exact"/>
        <w:rPr>
          <w:rFonts w:ascii="Arial" w:cs="Arial" w:eastAsia="Arial" w:hAnsi="Arial"/>
          <w:sz w:val="20"/>
          <w:szCs w:val="20"/>
          <w:color w:val="auto"/>
        </w:rPr>
      </w:pPr>
    </w:p>
    <w:p>
      <w:pPr>
        <w:ind w:left="660" w:right="80" w:firstLine="644"/>
        <w:spacing w:after="0" w:line="303" w:lineRule="auto"/>
        <w:tabs>
          <w:tab w:leader="none" w:pos="1785" w:val="left"/>
        </w:tabs>
        <w:numPr>
          <w:ilvl w:val="1"/>
          <w:numId w:val="180"/>
        </w:numPr>
        <w:rPr>
          <w:rFonts w:ascii="Arial" w:cs="Arial" w:eastAsia="Arial" w:hAnsi="Arial"/>
          <w:sz w:val="18"/>
          <w:szCs w:val="18"/>
          <w:color w:val="auto"/>
        </w:rPr>
      </w:pPr>
      <w:r>
        <w:rPr>
          <w:rFonts w:ascii="Arial" w:cs="Arial" w:eastAsia="Arial" w:hAnsi="Arial"/>
          <w:sz w:val="16"/>
          <w:szCs w:val="16"/>
          <w:color w:val="auto"/>
        </w:rPr>
        <w:t>any encumbrance or restriction with respect to a Restricted Subsidiary or any of its Subsidiaries pursuant to an agreement relating to any Indebtedness incurred by such Restricted Subsidiary prior to the date on which such Restricted Subsidiary was acquired by the U.S. Borrower (other than Indebtedness incurred as consideration in, in contemplation of, or to provide all or any portion of the funds or credit support utilized to consummate the transaction or series of related transactions pursuant to which such Restricted Subsidiary was acquired by the U.S. Borrower) and outstanding on such date of acquisition, which encumbrance or restriction is not applicable to the U.S. Borrower or its Restricted Subsidiaries, or the properties or assets of the U.S. Borrower or its Restricted Subsidiaries, other than the Restricted Subsidiary, or the property or assets of the Restricted Subsidiary, so acquired, or any Restricted Subsidiary thereof or the property or assets of any such Restricted Subsidiary;</w:t>
      </w:r>
    </w:p>
    <w:p>
      <w:pPr>
        <w:spacing w:after="0" w:line="167" w:lineRule="exact"/>
        <w:rPr>
          <w:rFonts w:ascii="Arial" w:cs="Arial" w:eastAsia="Arial" w:hAnsi="Arial"/>
          <w:sz w:val="18"/>
          <w:szCs w:val="18"/>
          <w:color w:val="auto"/>
        </w:rPr>
      </w:pPr>
    </w:p>
    <w:p>
      <w:pPr>
        <w:ind w:left="660" w:firstLine="644"/>
        <w:spacing w:after="0" w:line="282" w:lineRule="auto"/>
        <w:tabs>
          <w:tab w:leader="none" w:pos="1774" w:val="left"/>
        </w:tabs>
        <w:numPr>
          <w:ilvl w:val="1"/>
          <w:numId w:val="180"/>
        </w:numPr>
        <w:rPr>
          <w:rFonts w:ascii="Arial" w:cs="Arial" w:eastAsia="Arial" w:hAnsi="Arial"/>
          <w:sz w:val="18"/>
          <w:szCs w:val="18"/>
          <w:color w:val="auto"/>
        </w:rPr>
      </w:pPr>
      <w:r>
        <w:rPr>
          <w:rFonts w:ascii="Arial" w:cs="Arial" w:eastAsia="Arial" w:hAnsi="Arial"/>
          <w:sz w:val="16"/>
          <w:szCs w:val="16"/>
          <w:color w:val="auto"/>
        </w:rPr>
        <w:t>any encumbrance or restriction pursuant to an agreement effecting a refinancing of Indebtedness incurred pursuant to an agreement referred to in clause (i), or (iii) of this covenant or this clause (iv) or contained in any amendment to an agreement referred to in clause (i), (ii) or</w:t>
      </w:r>
    </w:p>
    <w:p>
      <w:pPr>
        <w:ind w:left="660" w:right="40" w:hanging="4"/>
        <w:spacing w:after="0" w:line="279" w:lineRule="auto"/>
        <w:tabs>
          <w:tab w:leader="none" w:pos="97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of this covenant or this clause (iv);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encumbrances and restrictions contained in any such refinancing agreement or amendment are not materially less favorable taken as a whole, as determined by the U.S. Borrower in good faith, to the Lenders than the encumbrances and restrictions contained in such predecessor agreement;</w:t>
      </w:r>
    </w:p>
    <w:p>
      <w:pPr>
        <w:spacing w:after="0" w:line="181" w:lineRule="exact"/>
        <w:rPr>
          <w:rFonts w:ascii="Arial" w:cs="Arial" w:eastAsia="Arial" w:hAnsi="Arial"/>
          <w:sz w:val="18"/>
          <w:szCs w:val="18"/>
          <w:color w:val="auto"/>
        </w:rPr>
      </w:pPr>
    </w:p>
    <w:p>
      <w:pPr>
        <w:jc w:val="both"/>
        <w:ind w:left="660" w:right="80" w:firstLine="644"/>
        <w:spacing w:after="0" w:line="265" w:lineRule="auto"/>
        <w:tabs>
          <w:tab w:leader="none" w:pos="1718" w:val="left"/>
        </w:tabs>
        <w:numPr>
          <w:ilvl w:val="1"/>
          <w:numId w:val="181"/>
        </w:numPr>
        <w:rPr>
          <w:rFonts w:ascii="Arial" w:cs="Arial" w:eastAsia="Arial" w:hAnsi="Arial"/>
          <w:sz w:val="20"/>
          <w:szCs w:val="20"/>
          <w:color w:val="auto"/>
        </w:rPr>
      </w:pPr>
      <w:r>
        <w:rPr>
          <w:rFonts w:ascii="Arial" w:cs="Arial" w:eastAsia="Arial" w:hAnsi="Arial"/>
          <w:sz w:val="18"/>
          <w:szCs w:val="18"/>
          <w:color w:val="auto"/>
        </w:rPr>
        <w:t>with respect to clause (c), any encumbrance or restriction (A) that restricts the subletting, assignment, sublicense or transfer of any property or asset or right and is contained in any lease, license or other contract entered into in the ordinary course of business or (B) contained in security agreements securing Indebtedness of a Restricted Subsidiary to the extent such encumbrance or restriction restricts the transfer of the property subject to such security agreements;</w:t>
      </w:r>
    </w:p>
    <w:p>
      <w:pPr>
        <w:spacing w:after="0" w:line="194" w:lineRule="exact"/>
        <w:rPr>
          <w:rFonts w:ascii="Arial" w:cs="Arial" w:eastAsia="Arial" w:hAnsi="Arial"/>
          <w:sz w:val="20"/>
          <w:szCs w:val="20"/>
          <w:color w:val="auto"/>
        </w:rPr>
      </w:pPr>
    </w:p>
    <w:p>
      <w:pPr>
        <w:ind w:left="660" w:right="120" w:firstLine="644"/>
        <w:spacing w:after="0" w:line="266" w:lineRule="auto"/>
        <w:tabs>
          <w:tab w:leader="none" w:pos="1774" w:val="left"/>
        </w:tabs>
        <w:numPr>
          <w:ilvl w:val="1"/>
          <w:numId w:val="181"/>
        </w:numPr>
        <w:rPr>
          <w:rFonts w:ascii="Arial" w:cs="Arial" w:eastAsia="Arial" w:hAnsi="Arial"/>
          <w:sz w:val="20"/>
          <w:szCs w:val="20"/>
          <w:color w:val="auto"/>
        </w:rPr>
      </w:pPr>
      <w:r>
        <w:rPr>
          <w:rFonts w:ascii="Arial" w:cs="Arial" w:eastAsia="Arial" w:hAnsi="Arial"/>
          <w:sz w:val="18"/>
          <w:szCs w:val="18"/>
          <w:color w:val="auto"/>
        </w:rPr>
        <w:t xml:space="preserve">any restrictions with respect to a Restricted Subsidiary imposed pursuant to an agreement that has been entered into in connection with the disposition of the Equity Interests or assets of such Restricted Subsidiary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190" w:lineRule="exact"/>
        <w:rPr>
          <w:rFonts w:ascii="Arial" w:cs="Arial" w:eastAsia="Arial" w:hAnsi="Arial"/>
          <w:sz w:val="20"/>
          <w:szCs w:val="20"/>
          <w:color w:val="auto"/>
        </w:rPr>
      </w:pPr>
    </w:p>
    <w:p>
      <w:pPr>
        <w:ind w:left="660" w:right="20" w:firstLine="644"/>
        <w:spacing w:after="0" w:line="266" w:lineRule="auto"/>
        <w:tabs>
          <w:tab w:leader="none" w:pos="1828" w:val="left"/>
        </w:tabs>
        <w:numPr>
          <w:ilvl w:val="1"/>
          <w:numId w:val="181"/>
        </w:numPr>
        <w:rPr>
          <w:rFonts w:ascii="Arial" w:cs="Arial" w:eastAsia="Arial" w:hAnsi="Arial"/>
          <w:sz w:val="20"/>
          <w:szCs w:val="20"/>
          <w:color w:val="auto"/>
        </w:rPr>
      </w:pPr>
      <w:r>
        <w:rPr>
          <w:rFonts w:ascii="Arial" w:cs="Arial" w:eastAsia="Arial" w:hAnsi="Arial"/>
          <w:sz w:val="18"/>
          <w:szCs w:val="18"/>
          <w:color w:val="auto"/>
        </w:rPr>
        <w:t>any encumbrances or restrictions applicable solely to a Foreign Restricted Subsidiary and contained in any credit facility extended to any Foreign Restricted Subsidiary;</w:t>
      </w:r>
    </w:p>
    <w:p>
      <w:pPr>
        <w:spacing w:after="0" w:line="190" w:lineRule="exact"/>
        <w:rPr>
          <w:rFonts w:ascii="Arial" w:cs="Arial" w:eastAsia="Arial" w:hAnsi="Arial"/>
          <w:sz w:val="20"/>
          <w:szCs w:val="20"/>
          <w:color w:val="auto"/>
        </w:rPr>
      </w:pPr>
    </w:p>
    <w:p>
      <w:pPr>
        <w:ind w:left="1880" w:hanging="576"/>
        <w:spacing w:after="0"/>
        <w:tabs>
          <w:tab w:leader="none" w:pos="1880" w:val="left"/>
        </w:tabs>
        <w:numPr>
          <w:ilvl w:val="1"/>
          <w:numId w:val="181"/>
        </w:numPr>
        <w:rPr>
          <w:rFonts w:ascii="Arial" w:cs="Arial" w:eastAsia="Arial" w:hAnsi="Arial"/>
          <w:sz w:val="20"/>
          <w:szCs w:val="20"/>
          <w:color w:val="auto"/>
        </w:rPr>
      </w:pPr>
      <w:r>
        <w:rPr>
          <w:rFonts w:ascii="Arial" w:cs="Arial" w:eastAsia="Arial" w:hAnsi="Arial"/>
          <w:sz w:val="18"/>
          <w:szCs w:val="18"/>
          <w:color w:val="auto"/>
        </w:rPr>
        <w:t xml:space="preserve">restrictions in the transfers of assets pursuant to a Lien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firstLine="644"/>
        <w:spacing w:after="0" w:line="265" w:lineRule="auto"/>
        <w:tabs>
          <w:tab w:leader="none" w:pos="1774" w:val="left"/>
        </w:tabs>
        <w:numPr>
          <w:ilvl w:val="1"/>
          <w:numId w:val="181"/>
        </w:numPr>
        <w:rPr>
          <w:rFonts w:ascii="Arial" w:cs="Arial" w:eastAsia="Arial" w:hAnsi="Arial"/>
          <w:sz w:val="20"/>
          <w:szCs w:val="20"/>
          <w:color w:val="auto"/>
        </w:rPr>
      </w:pPr>
      <w:r>
        <w:rPr>
          <w:rFonts w:ascii="Arial" w:cs="Arial" w:eastAsia="Arial" w:hAnsi="Arial"/>
          <w:sz w:val="18"/>
          <w:szCs w:val="18"/>
          <w:color w:val="auto"/>
        </w:rPr>
        <w:t xml:space="preserve">any encumbrance or restriction arising under or in connection with any agreement or instrument relating to any Indebtedness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if (A) either (x) the encumbrance or restriction applies only in the event of a payment default or a default with respect to a financial covenant contained in the terms of such agreement or instrument or (y) such encumbrance or restriction will not cause the U.S. Borrower not to have the funds necessary to pay the Obligations when due and (B) the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773" w:right="359" w:bottom="1440" w:gutter="0" w:footer="0" w:header="0"/>
        </w:sectPr>
      </w:pPr>
    </w:p>
    <w:bookmarkStart w:id="190" w:name="page191"/>
    <w:bookmarkEnd w:id="190"/>
    <w:p>
      <w:pPr>
        <w:ind w:left="660"/>
        <w:spacing w:after="0"/>
        <w:rPr>
          <w:sz w:val="20"/>
          <w:szCs w:val="20"/>
          <w:color w:val="auto"/>
        </w:rPr>
      </w:pPr>
      <w:r>
        <w:rPr>
          <w:rFonts w:ascii="Arial" w:cs="Arial" w:eastAsia="Arial" w:hAnsi="Arial"/>
          <w:sz w:val="18"/>
          <w:szCs w:val="18"/>
          <w:color w:val="auto"/>
        </w:rPr>
        <w:t>encumbrance or restriction is not materially more disadvantageous to the Lenders than is customary in comparable financings;</w:t>
      </w:r>
    </w:p>
    <w:p>
      <w:pPr>
        <w:spacing w:after="0" w:line="239" w:lineRule="exact"/>
        <w:rPr>
          <w:sz w:val="20"/>
          <w:szCs w:val="20"/>
          <w:color w:val="auto"/>
        </w:rPr>
      </w:pPr>
    </w:p>
    <w:p>
      <w:pPr>
        <w:ind w:left="660" w:right="140" w:firstLine="644"/>
        <w:spacing w:after="0" w:line="266" w:lineRule="auto"/>
        <w:tabs>
          <w:tab w:leader="none" w:pos="1718" w:val="left"/>
        </w:tabs>
        <w:numPr>
          <w:ilvl w:val="0"/>
          <w:numId w:val="182"/>
        </w:numPr>
        <w:rPr>
          <w:rFonts w:ascii="Arial" w:cs="Arial" w:eastAsia="Arial" w:hAnsi="Arial"/>
          <w:sz w:val="20"/>
          <w:szCs w:val="20"/>
          <w:color w:val="auto"/>
        </w:rPr>
      </w:pPr>
      <w:r>
        <w:rPr>
          <w:rFonts w:ascii="Arial" w:cs="Arial" w:eastAsia="Arial" w:hAnsi="Arial"/>
          <w:sz w:val="18"/>
          <w:szCs w:val="18"/>
          <w:color w:val="auto"/>
        </w:rPr>
        <w:t>any encumbrance or restriction arising under or in connection with any agreement or instrument governing Equity Interests of any Person other than a Wholly-Owned Restricted Subsidiary that is acquired after the Closing Date;</w:t>
      </w:r>
    </w:p>
    <w:p>
      <w:pPr>
        <w:spacing w:after="0" w:line="190" w:lineRule="exact"/>
        <w:rPr>
          <w:rFonts w:ascii="Arial" w:cs="Arial" w:eastAsia="Arial" w:hAnsi="Arial"/>
          <w:sz w:val="20"/>
          <w:szCs w:val="20"/>
          <w:color w:val="auto"/>
        </w:rPr>
      </w:pPr>
    </w:p>
    <w:p>
      <w:pPr>
        <w:ind w:left="660" w:firstLine="644"/>
        <w:spacing w:after="0" w:line="266" w:lineRule="auto"/>
        <w:tabs>
          <w:tab w:leader="none" w:pos="1774" w:val="left"/>
        </w:tabs>
        <w:numPr>
          <w:ilvl w:val="0"/>
          <w:numId w:val="182"/>
        </w:numPr>
        <w:rPr>
          <w:rFonts w:ascii="Arial" w:cs="Arial" w:eastAsia="Arial" w:hAnsi="Arial"/>
          <w:sz w:val="20"/>
          <w:szCs w:val="20"/>
          <w:color w:val="auto"/>
        </w:rPr>
      </w:pPr>
      <w:r>
        <w:rPr>
          <w:rFonts w:ascii="Arial" w:cs="Arial" w:eastAsia="Arial" w:hAnsi="Arial"/>
          <w:sz w:val="18"/>
          <w:szCs w:val="18"/>
          <w:color w:val="auto"/>
        </w:rPr>
        <w:t xml:space="preserve">any negative pledges and restrictions on Liens in favor of any holder of Indebtedness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but solely to the extent any negative pledge relates to the property financed by or the subject of the Indebtedness;</w:t>
      </w:r>
    </w:p>
    <w:p>
      <w:pPr>
        <w:spacing w:after="0" w:line="190" w:lineRule="exact"/>
        <w:rPr>
          <w:rFonts w:ascii="Arial" w:cs="Arial" w:eastAsia="Arial" w:hAnsi="Arial"/>
          <w:sz w:val="20"/>
          <w:szCs w:val="20"/>
          <w:color w:val="auto"/>
        </w:rPr>
      </w:pPr>
    </w:p>
    <w:p>
      <w:pPr>
        <w:jc w:val="both"/>
        <w:ind w:left="660" w:right="80" w:firstLine="644"/>
        <w:spacing w:after="0" w:line="329" w:lineRule="auto"/>
        <w:tabs>
          <w:tab w:leader="none" w:pos="1828" w:val="left"/>
        </w:tabs>
        <w:numPr>
          <w:ilvl w:val="0"/>
          <w:numId w:val="182"/>
        </w:numPr>
        <w:rPr>
          <w:rFonts w:ascii="Arial" w:cs="Arial" w:eastAsia="Arial" w:hAnsi="Arial"/>
          <w:sz w:val="18"/>
          <w:szCs w:val="18"/>
          <w:color w:val="auto"/>
        </w:rPr>
      </w:pPr>
      <w:r>
        <w:rPr>
          <w:rFonts w:ascii="Arial" w:cs="Arial" w:eastAsia="Arial" w:hAnsi="Arial"/>
          <w:sz w:val="16"/>
          <w:szCs w:val="16"/>
          <w:color w:val="auto"/>
        </w:rPr>
        <w:t xml:space="preserve">comprise restrictions imposed by any agreement relating to secured Indebtedness permitted by </w:t>
      </w:r>
      <w:r>
        <w:rPr>
          <w:rFonts w:ascii="Arial" w:cs="Arial" w:eastAsia="Arial" w:hAnsi="Arial"/>
          <w:sz w:val="16"/>
          <w:szCs w:val="16"/>
          <w:u w:val="single" w:color="auto"/>
          <w:color w:val="auto"/>
        </w:rPr>
        <w:t>Section 7.03(m)</w:t>
      </w:r>
      <w:r>
        <w:rPr>
          <w:rFonts w:ascii="Arial" w:cs="Arial" w:eastAsia="Arial" w:hAnsi="Arial"/>
          <w:sz w:val="16"/>
          <w:szCs w:val="16"/>
          <w:color w:val="auto"/>
        </w:rPr>
        <w:t xml:space="preserve"> to the extent such restrictions apply only to the property or assets (including proceeds and products thereof and any accessions thereto) securing such Indebtedness;</w:t>
      </w:r>
    </w:p>
    <w:p>
      <w:pPr>
        <w:spacing w:after="0" w:line="139" w:lineRule="exact"/>
        <w:rPr>
          <w:rFonts w:ascii="Arial" w:cs="Arial" w:eastAsia="Arial" w:hAnsi="Arial"/>
          <w:sz w:val="18"/>
          <w:szCs w:val="18"/>
          <w:color w:val="auto"/>
        </w:rPr>
      </w:pPr>
    </w:p>
    <w:p>
      <w:pPr>
        <w:ind w:left="1880" w:hanging="576"/>
        <w:spacing w:after="0"/>
        <w:tabs>
          <w:tab w:leader="none" w:pos="1880" w:val="left"/>
        </w:tabs>
        <w:numPr>
          <w:ilvl w:val="0"/>
          <w:numId w:val="182"/>
        </w:numPr>
        <w:rPr>
          <w:rFonts w:ascii="Arial" w:cs="Arial" w:eastAsia="Arial" w:hAnsi="Arial"/>
          <w:sz w:val="19"/>
          <w:szCs w:val="19"/>
          <w:color w:val="auto"/>
        </w:rPr>
      </w:pPr>
      <w:r>
        <w:rPr>
          <w:rFonts w:ascii="Arial" w:cs="Arial" w:eastAsia="Arial" w:hAnsi="Arial"/>
          <w:sz w:val="17"/>
          <w:szCs w:val="17"/>
          <w:color w:val="auto"/>
        </w:rPr>
        <w:t>restrictions on cash or other deposits imposed by customers under contracts entered into in the ordinary course of business;</w:t>
      </w:r>
    </w:p>
    <w:p>
      <w:pPr>
        <w:spacing w:after="0" w:line="227" w:lineRule="exact"/>
        <w:rPr>
          <w:rFonts w:ascii="Arial" w:cs="Arial" w:eastAsia="Arial" w:hAnsi="Arial"/>
          <w:sz w:val="19"/>
          <w:szCs w:val="19"/>
          <w:color w:val="auto"/>
        </w:rPr>
      </w:pPr>
    </w:p>
    <w:p>
      <w:pPr>
        <w:ind w:left="660" w:right="640" w:firstLine="644"/>
        <w:spacing w:after="0" w:line="266" w:lineRule="auto"/>
        <w:tabs>
          <w:tab w:leader="none" w:pos="1872" w:val="left"/>
        </w:tabs>
        <w:numPr>
          <w:ilvl w:val="0"/>
          <w:numId w:val="182"/>
        </w:numPr>
        <w:rPr>
          <w:rFonts w:ascii="Arial" w:cs="Arial" w:eastAsia="Arial" w:hAnsi="Arial"/>
          <w:sz w:val="20"/>
          <w:szCs w:val="20"/>
          <w:color w:val="auto"/>
        </w:rPr>
      </w:pPr>
      <w:r>
        <w:rPr>
          <w:rFonts w:ascii="Arial" w:cs="Arial" w:eastAsia="Arial" w:hAnsi="Arial"/>
          <w:sz w:val="18"/>
          <w:szCs w:val="18"/>
          <w:color w:val="auto"/>
        </w:rPr>
        <w:t xml:space="preserve">any encumbrance or restriction created under the 2016 Reorganization Documents, solely to the extent resulting from the transactions consummated pursuant to and in accordance with the definition thereof; </w:t>
      </w:r>
      <w:r>
        <w:rPr>
          <w:rFonts w:ascii="Arial" w:cs="Arial" w:eastAsia="Arial" w:hAnsi="Arial"/>
          <w:sz w:val="18"/>
          <w:szCs w:val="18"/>
          <w:color w:val="auto"/>
          <w:strike w:val="1"/>
        </w:rPr>
        <w:t>and</w:t>
      </w:r>
    </w:p>
    <w:p>
      <w:pPr>
        <w:spacing w:after="0" w:line="190" w:lineRule="exact"/>
        <w:rPr>
          <w:rFonts w:ascii="Arial" w:cs="Arial" w:eastAsia="Arial" w:hAnsi="Arial"/>
          <w:sz w:val="20"/>
          <w:szCs w:val="20"/>
          <w:color w:val="auto"/>
        </w:rPr>
      </w:pPr>
    </w:p>
    <w:p>
      <w:pPr>
        <w:ind w:left="660" w:right="140" w:firstLine="644"/>
        <w:spacing w:after="0" w:line="264" w:lineRule="auto"/>
        <w:tabs>
          <w:tab w:leader="none" w:pos="1817" w:val="left"/>
        </w:tabs>
        <w:numPr>
          <w:ilvl w:val="0"/>
          <w:numId w:val="182"/>
        </w:numPr>
        <w:rPr>
          <w:rFonts w:ascii="Arial" w:cs="Arial" w:eastAsia="Arial" w:hAnsi="Arial"/>
          <w:sz w:val="20"/>
          <w:szCs w:val="20"/>
          <w:color w:val="auto"/>
        </w:rPr>
      </w:pPr>
      <w:r>
        <w:rPr>
          <w:rFonts w:ascii="Arial" w:cs="Arial" w:eastAsia="Arial" w:hAnsi="Arial"/>
          <w:sz w:val="18"/>
          <w:szCs w:val="18"/>
          <w:color w:val="auto"/>
        </w:rPr>
        <w:t xml:space="preserve">any encumbrance or restriction contained in the </w:t>
      </w:r>
      <w:r>
        <w:rPr>
          <w:rFonts w:ascii="Arial" w:cs="Arial" w:eastAsia="Arial" w:hAnsi="Arial"/>
          <w:sz w:val="18"/>
          <w:szCs w:val="18"/>
          <w:color w:val="auto"/>
          <w:strike w:val="1"/>
        </w:rPr>
        <w:t>2021</w:t>
      </w:r>
      <w:r>
        <w:rPr>
          <w:rFonts w:ascii="Arial" w:cs="Arial" w:eastAsia="Arial" w:hAnsi="Arial"/>
          <w:sz w:val="18"/>
          <w:szCs w:val="18"/>
          <w:u w:val="single" w:color="auto"/>
          <w:color w:val="auto"/>
        </w:rPr>
        <w:t>*2027*</w:t>
      </w:r>
      <w:r>
        <w:rPr>
          <w:rFonts w:ascii="Arial" w:cs="Arial" w:eastAsia="Arial" w:hAnsi="Arial"/>
          <w:sz w:val="18"/>
          <w:szCs w:val="18"/>
          <w:color w:val="auto"/>
        </w:rPr>
        <w:t xml:space="preserve"> Notes Indenture or any agreement governing Indebtedness incurred pursuant to Section 7.03(w)(B), so long as such encumbrances and restrictions are not materially more restrictive than those contained in the </w:t>
      </w:r>
      <w:r>
        <w:rPr>
          <w:rFonts w:ascii="Arial" w:cs="Arial" w:eastAsia="Arial" w:hAnsi="Arial"/>
          <w:sz w:val="18"/>
          <w:szCs w:val="18"/>
          <w:color w:val="auto"/>
          <w:strike w:val="1"/>
        </w:rPr>
        <w:t>2021</w:t>
      </w:r>
      <w:r>
        <w:rPr>
          <w:rFonts w:ascii="Arial" w:cs="Arial" w:eastAsia="Arial" w:hAnsi="Arial"/>
          <w:sz w:val="18"/>
          <w:szCs w:val="18"/>
          <w:u w:val="single" w:color="auto"/>
          <w:color w:val="auto"/>
        </w:rPr>
        <w:t>*2027*</w:t>
      </w:r>
      <w:r>
        <w:rPr>
          <w:rFonts w:ascii="Arial" w:cs="Arial" w:eastAsia="Arial" w:hAnsi="Arial"/>
          <w:sz w:val="18"/>
          <w:szCs w:val="18"/>
          <w:color w:val="auto"/>
        </w:rPr>
        <w:t xml:space="preserve"> Notes Indenture</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96" w:lineRule="exact"/>
        <w:rPr>
          <w:rFonts w:ascii="Arial" w:cs="Arial" w:eastAsia="Arial" w:hAnsi="Arial"/>
          <w:sz w:val="20"/>
          <w:szCs w:val="20"/>
          <w:color w:val="auto"/>
        </w:rPr>
      </w:pPr>
    </w:p>
    <w:p>
      <w:pPr>
        <w:ind w:left="660" w:right="40" w:firstLine="644"/>
        <w:spacing w:after="0" w:line="264" w:lineRule="auto"/>
        <w:tabs>
          <w:tab w:leader="none" w:pos="1872" w:val="left"/>
        </w:tabs>
        <w:numPr>
          <w:ilvl w:val="0"/>
          <w:numId w:val="182"/>
        </w:numPr>
        <w:rPr>
          <w:rFonts w:ascii="Arial" w:cs="Arial" w:eastAsia="Arial" w:hAnsi="Arial"/>
          <w:sz w:val="20"/>
          <w:szCs w:val="20"/>
          <w:color w:val="auto"/>
        </w:rPr>
      </w:pPr>
      <w:r>
        <w:rPr>
          <w:rFonts w:ascii="Arial" w:cs="Arial" w:eastAsia="Arial" w:hAnsi="Arial"/>
          <w:sz w:val="18"/>
          <w:szCs w:val="18"/>
          <w:u w:val="single" w:color="auto"/>
          <w:color w:val="auto"/>
        </w:rPr>
        <w:t>*any encumbrance or restriction contained in the indenture governing the Post-Amendment No. 2 Bond Issuance or any agreement governing Indebtedness incurred pursuant to Section 7.03(x)(B), so long as such encumbrances and restrictions are not materially more restrictive than those contained in the indenture governing the Post-Amendment No. 2 Bond Issuance.*</w:t>
      </w:r>
    </w:p>
    <w:p>
      <w:pPr>
        <w:spacing w:after="0" w:line="174" w:lineRule="exact"/>
        <w:rPr>
          <w:sz w:val="20"/>
          <w:szCs w:val="20"/>
          <w:color w:val="auto"/>
        </w:rPr>
      </w:pPr>
    </w:p>
    <w:p>
      <w:pPr>
        <w:ind w:right="100" w:firstLine="648"/>
        <w:spacing w:after="0" w:line="277" w:lineRule="auto"/>
        <w:rPr>
          <w:sz w:val="20"/>
          <w:szCs w:val="20"/>
          <w:color w:val="auto"/>
        </w:rPr>
      </w:pPr>
      <w:r>
        <w:rPr>
          <w:rFonts w:ascii="Arial" w:cs="Arial" w:eastAsia="Arial" w:hAnsi="Arial"/>
          <w:sz w:val="20"/>
          <w:szCs w:val="20"/>
          <w:b w:val="1"/>
          <w:bCs w:val="1"/>
          <w:color w:val="auto"/>
        </w:rPr>
        <w:t xml:space="preserve">7.11 </w:t>
      </w:r>
      <w:r>
        <w:rPr>
          <w:rFonts w:ascii="Arial" w:cs="Arial" w:eastAsia="Arial" w:hAnsi="Arial"/>
          <w:sz w:val="17"/>
          <w:szCs w:val="17"/>
          <w:b w:val="1"/>
          <w:bCs w:val="1"/>
          <w:u w:val="single" w:color="auto"/>
          <w:color w:val="auto"/>
        </w:rPr>
        <w:t>Use of Proceeds</w:t>
      </w:r>
      <w:r>
        <w:rPr>
          <w:rFonts w:ascii="Arial" w:cs="Arial" w:eastAsia="Arial" w:hAnsi="Arial"/>
          <w:sz w:val="17"/>
          <w:szCs w:val="17"/>
          <w:color w:val="auto"/>
        </w:rPr>
        <w:t>. Use the proceeds of any Credit Extension, whether directly or indirectly to purchase or carry margin stock (in a manner</w:t>
      </w:r>
      <w:r>
        <w:rPr>
          <w:rFonts w:ascii="Arial" w:cs="Arial" w:eastAsia="Arial" w:hAnsi="Arial"/>
          <w:sz w:val="20"/>
          <w:szCs w:val="20"/>
          <w:b w:val="1"/>
          <w:bCs w:val="1"/>
          <w:color w:val="auto"/>
        </w:rPr>
        <w:t xml:space="preserve"> </w:t>
      </w:r>
      <w:r>
        <w:rPr>
          <w:rFonts w:ascii="Arial" w:cs="Arial" w:eastAsia="Arial" w:hAnsi="Arial"/>
          <w:sz w:val="17"/>
          <w:szCs w:val="17"/>
          <w:color w:val="auto"/>
        </w:rPr>
        <w:t>that would violate Regulation U of the FRB) or to extend credit to others for the purpose of purchasing or carrying margin stock or to refund indebtedness originally incurred for such purpose. The Borrowers will not request any Borrowing or Letter of Credit, and the Borrowers shall not use, and shall procure that their respective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6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7.12</w:t>
      </w:r>
      <w:r>
        <w:rPr>
          <w:sz w:val="20"/>
          <w:szCs w:val="20"/>
          <w:color w:val="auto"/>
        </w:rPr>
        <w:tab/>
      </w:r>
      <w:r>
        <w:rPr>
          <w:rFonts w:ascii="Arial" w:cs="Arial" w:eastAsia="Arial" w:hAnsi="Arial"/>
          <w:sz w:val="16"/>
          <w:szCs w:val="16"/>
          <w:b w:val="1"/>
          <w:bCs w:val="1"/>
          <w:u w:val="single" w:color="auto"/>
          <w:color w:val="auto"/>
        </w:rPr>
        <w:t>Financial Covenants</w:t>
      </w:r>
      <w:r>
        <w:rPr>
          <w:rFonts w:ascii="Arial" w:cs="Arial" w:eastAsia="Arial" w:hAnsi="Arial"/>
          <w:sz w:val="16"/>
          <w:szCs w:val="16"/>
          <w:color w:val="auto"/>
        </w:rPr>
        <w:t>.</w:t>
      </w:r>
    </w:p>
    <w:p>
      <w:pPr>
        <w:spacing w:after="0" w:line="238" w:lineRule="exact"/>
        <w:rPr>
          <w:sz w:val="20"/>
          <w:szCs w:val="20"/>
          <w:color w:val="auto"/>
        </w:rPr>
      </w:pPr>
    </w:p>
    <w:p>
      <w:pPr>
        <w:ind w:right="40" w:firstLine="656"/>
        <w:spacing w:after="0" w:line="282" w:lineRule="auto"/>
        <w:tabs>
          <w:tab w:leader="none" w:pos="1048" w:val="left"/>
        </w:tabs>
        <w:numPr>
          <w:ilvl w:val="1"/>
          <w:numId w:val="183"/>
        </w:numPr>
        <w:rPr>
          <w:rFonts w:ascii="Arial" w:cs="Arial" w:eastAsia="Arial" w:hAnsi="Arial"/>
          <w:sz w:val="18"/>
          <w:szCs w:val="18"/>
          <w:color w:val="auto"/>
        </w:rPr>
      </w:pPr>
      <w:r>
        <w:rPr>
          <w:rFonts w:ascii="Arial" w:cs="Arial" w:eastAsia="Arial" w:hAnsi="Arial"/>
          <w:sz w:val="16"/>
          <w:szCs w:val="16"/>
          <w:u w:val="single" w:color="auto"/>
          <w:color w:val="auto"/>
        </w:rPr>
        <w:t>Lease Adjusted Leverage Ratio</w:t>
      </w:r>
      <w:r>
        <w:rPr>
          <w:rFonts w:ascii="Arial" w:cs="Arial" w:eastAsia="Arial" w:hAnsi="Arial"/>
          <w:sz w:val="16"/>
          <w:szCs w:val="16"/>
          <w:color w:val="auto"/>
        </w:rPr>
        <w:t>. Permit the Lease Adjusted Leverage Ratio, as of the last day of any Test Period</w:t>
      </w:r>
      <w:r>
        <w:rPr>
          <w:rFonts w:ascii="Arial" w:cs="Arial" w:eastAsia="Arial" w:hAnsi="Arial"/>
          <w:sz w:val="16"/>
          <w:szCs w:val="16"/>
          <w:color w:val="auto"/>
          <w:strike w:val="1"/>
        </w:rPr>
        <w:t>, to exceed 4.00:1.00</w:t>
      </w:r>
      <w:r>
        <w:rPr>
          <w:rFonts w:ascii="Arial" w:cs="Arial" w:eastAsia="Arial" w:hAnsi="Arial"/>
          <w:sz w:val="16"/>
          <w:szCs w:val="16"/>
          <w:color w:val="auto"/>
        </w:rPr>
        <w:t xml:space="preserve">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than a Specified Test Period), to exceed with respect to the Test Period ending on (A) the last day of the first fiscal quarter of fiscal year 2020, 4.00:1.00,</w:t>
      </w:r>
    </w:p>
    <w:p>
      <w:pPr>
        <w:ind w:right="220" w:firstLine="8"/>
        <w:spacing w:after="0" w:line="292" w:lineRule="auto"/>
        <w:tabs>
          <w:tab w:leader="none" w:pos="285" w:val="left"/>
        </w:tabs>
        <w:numPr>
          <w:ilvl w:val="0"/>
          <w:numId w:val="18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the last day of the first fiscal quarter of fiscal year 2021, 5.50:1.00, (C) the last day of the second fiscal quarter of fiscal year 2021, 5.00:1.00, (D) the last day of the third fiscal quarter of fiscal year 2021, 4.50:1.00 and (E) the last day of the fourth fiscal quarter of fiscal year 2021 or thereafter, 4.00 to 1:00;* provided</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*other than during the Restricted Period,*</w:t>
      </w:r>
      <w:r>
        <w:rPr>
          <w:rFonts w:ascii="Arial" w:cs="Arial" w:eastAsia="Arial" w:hAnsi="Arial"/>
          <w:sz w:val="17"/>
          <w:szCs w:val="17"/>
          <w:color w:val="auto"/>
        </w:rPr>
        <w:t xml:space="preserve"> if any Material Acquisition shall occur and the Lease Adjusted Leverage Ratio, on a Pro forma Basis giving effect to the consummation of such Material Acquisition, shall be less than 4.00:1.00, then the maximum Lease Adjusted Leverage Ratio required under this Section shall be increased to 4.50:1.00 for the fiscal quarter of the U.S. Borrower</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557" w:right="359" w:bottom="1440" w:gutter="0" w:footer="0" w:header="0"/>
        </w:sectPr>
      </w:pPr>
    </w:p>
    <w:bookmarkStart w:id="191" w:name="page192"/>
    <w:bookmarkEnd w:id="191"/>
    <w:p>
      <w:pPr>
        <w:ind w:right="260"/>
        <w:spacing w:after="0" w:line="263" w:lineRule="auto"/>
        <w:rPr>
          <w:sz w:val="20"/>
          <w:szCs w:val="20"/>
          <w:color w:val="auto"/>
        </w:rPr>
      </w:pPr>
      <w:r>
        <w:rPr>
          <w:rFonts w:ascii="Arial" w:cs="Arial" w:eastAsia="Arial" w:hAnsi="Arial"/>
          <w:sz w:val="18"/>
          <w:szCs w:val="18"/>
          <w:color w:val="auto"/>
        </w:rPr>
        <w:t xml:space="preserve">in which such Material Acquisition is consummated and the three (3) fiscal quarters of the U.S. Borrower immediately following such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successive Material Acquisitions, the maximum Lease Adjusted Leverage Ratio required under this Section shall not step up to 4.50:1.00 for more than four (4) fiscal quarters in any six (6) fiscal quarter period.</w:t>
      </w:r>
    </w:p>
    <w:p>
      <w:pPr>
        <w:spacing w:after="0" w:line="197" w:lineRule="exact"/>
        <w:rPr>
          <w:sz w:val="20"/>
          <w:szCs w:val="20"/>
          <w:color w:val="auto"/>
        </w:rPr>
      </w:pPr>
    </w:p>
    <w:p>
      <w:pPr>
        <w:ind w:firstLine="656"/>
        <w:spacing w:after="0" w:line="296" w:lineRule="auto"/>
        <w:tabs>
          <w:tab w:leader="none" w:pos="1058" w:val="left"/>
        </w:tabs>
        <w:numPr>
          <w:ilvl w:val="1"/>
          <w:numId w:val="185"/>
        </w:numPr>
        <w:rPr>
          <w:rFonts w:ascii="Arial" w:cs="Arial" w:eastAsia="Arial" w:hAnsi="Arial"/>
          <w:sz w:val="18"/>
          <w:szCs w:val="18"/>
          <w:color w:val="auto"/>
        </w:rPr>
      </w:pPr>
      <w:r>
        <w:rPr>
          <w:rFonts w:ascii="Arial" w:cs="Arial" w:eastAsia="Arial" w:hAnsi="Arial"/>
          <w:sz w:val="16"/>
          <w:szCs w:val="16"/>
          <w:u w:val="single" w:color="auto"/>
          <w:color w:val="auto"/>
        </w:rPr>
        <w:t>Consolidated Fixed Charge Coverage Ratio</w:t>
      </w:r>
      <w:r>
        <w:rPr>
          <w:rFonts w:ascii="Arial" w:cs="Arial" w:eastAsia="Arial" w:hAnsi="Arial"/>
          <w:sz w:val="16"/>
          <w:szCs w:val="16"/>
          <w:color w:val="auto"/>
        </w:rPr>
        <w:t xml:space="preserve">. Permit the Consolidated Fixed Charge Coverage Ratio, for any Test Period </w:t>
      </w:r>
      <w:r>
        <w:rPr>
          <w:rFonts w:ascii="Arial" w:cs="Arial" w:eastAsia="Arial" w:hAnsi="Arial"/>
          <w:sz w:val="16"/>
          <w:szCs w:val="16"/>
          <w:u w:val="single" w:color="auto"/>
          <w:color w:val="auto"/>
        </w:rPr>
        <w:t>*(other than a</w:t>
      </w:r>
      <w:r>
        <w:rPr>
          <w:rFonts w:ascii="Arial" w:cs="Arial" w:eastAsia="Arial" w:hAnsi="Arial"/>
          <w:sz w:val="16"/>
          <w:szCs w:val="16"/>
          <w:color w:val="auto"/>
        </w:rPr>
        <w:t xml:space="preserve"> </w:t>
      </w:r>
      <w:r>
        <w:rPr>
          <w:rFonts w:ascii="Arial" w:cs="Arial" w:eastAsia="Arial" w:hAnsi="Arial"/>
          <w:sz w:val="16"/>
          <w:szCs w:val="16"/>
          <w:u w:val="single" w:color="auto"/>
          <w:color w:val="auto"/>
        </w:rPr>
        <w:t>Specified Test Period),*</w:t>
      </w:r>
      <w:r>
        <w:rPr>
          <w:rFonts w:ascii="Arial" w:cs="Arial" w:eastAsia="Arial" w:hAnsi="Arial"/>
          <w:sz w:val="16"/>
          <w:szCs w:val="16"/>
          <w:color w:val="auto"/>
        </w:rPr>
        <w:t xml:space="preserve"> to be less than </w:t>
      </w:r>
      <w:r>
        <w:rPr>
          <w:rFonts w:ascii="Arial" w:cs="Arial" w:eastAsia="Arial" w:hAnsi="Arial"/>
          <w:sz w:val="16"/>
          <w:szCs w:val="16"/>
          <w:color w:val="auto"/>
          <w:strike w:val="1"/>
        </w:rPr>
        <w:t>2.25:1.00</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 the Test Period ending on (A) the last day of the first fiscal quarter of fiscal year 2020, 2.25:1.00, (B)</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last day of the first fiscal quarter of fiscal year 2021, 1.25:1.00, (C) the last day of the second fiscal quarter of fiscal year 2021, 1.50:1.00, (D) the last day of the third fiscal quarter of fiscal year 2021, 1.75:1.00, (E) the last day of the fourth fiscal quarter of fiscal year 2021 and the last day of the first fiscal quarter of fiscal year 2022, 1.85:1.00 and (F) the last day of the second fiscal quarter of fiscal year 2022 or thereafter, either (x) 2.25:1.00 or (y) if prior to the last day of such fiscal quarter, the Post-Amendment No. 2 Bond Issuance shall have occurred resulting in an issuance of debt securities by U.S. Borrower in an aggregate principal amount of no less than $400,000,000, 1.85:1.00 (such level, the “Adjusted FCCR Level”);* provided</w:t>
      </w:r>
      <w:r>
        <w:rPr>
          <w:rFonts w:ascii="Arial" w:cs="Arial" w:eastAsia="Arial" w:hAnsi="Arial"/>
          <w:sz w:val="16"/>
          <w:szCs w:val="16"/>
          <w:color w:val="auto"/>
        </w:rPr>
        <w:t xml:space="preserve"> that, notwithstanding the foregoing, </w:t>
      </w:r>
      <w:r>
        <w:rPr>
          <w:rFonts w:ascii="Arial" w:cs="Arial" w:eastAsia="Arial" w:hAnsi="Arial"/>
          <w:sz w:val="16"/>
          <w:szCs w:val="16"/>
          <w:u w:val="single" w:color="auto"/>
          <w:color w:val="auto"/>
        </w:rPr>
        <w:t>*other than during the Restricted Period,*</w:t>
      </w:r>
      <w:r>
        <w:rPr>
          <w:rFonts w:ascii="Arial" w:cs="Arial" w:eastAsia="Arial" w:hAnsi="Arial"/>
          <w:sz w:val="16"/>
          <w:szCs w:val="16"/>
          <w:color w:val="auto"/>
        </w:rPr>
        <w:t xml:space="preserve"> if any Material Acquisition shall occur and the minimum Consolidated Fixed Charge Coverage Ratio, on a Pro forma Basis giving effect to the consummation of such Material Acquisition, shall be at least 2.25:</w:t>
      </w:r>
      <w:r>
        <w:rPr>
          <w:rFonts w:ascii="Arial" w:cs="Arial" w:eastAsia="Arial" w:hAnsi="Arial"/>
          <w:sz w:val="16"/>
          <w:szCs w:val="16"/>
          <w:color w:val="auto"/>
          <w:strike w:val="1"/>
        </w:rPr>
        <w:t>1.00</w:t>
      </w:r>
      <w:r>
        <w:rPr>
          <w:rFonts w:ascii="Arial" w:cs="Arial" w:eastAsia="Arial" w:hAnsi="Arial"/>
          <w:sz w:val="16"/>
          <w:szCs w:val="16"/>
          <w:color w:val="auto"/>
        </w:rPr>
        <w:t>,</w:t>
      </w:r>
      <w:r>
        <w:rPr>
          <w:rFonts w:ascii="Arial" w:cs="Arial" w:eastAsia="Arial" w:hAnsi="Arial"/>
          <w:sz w:val="16"/>
          <w:szCs w:val="16"/>
          <w:u w:val="single" w:color="auto"/>
          <w:color w:val="auto"/>
        </w:rPr>
        <w:t>*1.00 (or, if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Adjusted FCCR Level is in effect, 1.85:1.00),*</w:t>
      </w:r>
      <w:r>
        <w:rPr>
          <w:rFonts w:ascii="Arial" w:cs="Arial" w:eastAsia="Arial" w:hAnsi="Arial"/>
          <w:sz w:val="16"/>
          <w:szCs w:val="16"/>
          <w:color w:val="auto"/>
        </w:rPr>
        <w:t xml:space="preserve"> then the minimum Consolidated Fixed Charge Coverage Ratio required under this Section shall be decreased to 2.00:1.00 </w:t>
      </w:r>
      <w:r>
        <w:rPr>
          <w:rFonts w:ascii="Arial" w:cs="Arial" w:eastAsia="Arial" w:hAnsi="Arial"/>
          <w:sz w:val="16"/>
          <w:szCs w:val="16"/>
          <w:u w:val="single" w:color="auto"/>
          <w:color w:val="auto"/>
        </w:rPr>
        <w:t>*(or, if the Adjusted FCCR Level is in effect, 1.60:1.00)*</w:t>
      </w:r>
      <w:r>
        <w:rPr>
          <w:rFonts w:ascii="Arial" w:cs="Arial" w:eastAsia="Arial" w:hAnsi="Arial"/>
          <w:sz w:val="16"/>
          <w:szCs w:val="16"/>
          <w:color w:val="auto"/>
        </w:rPr>
        <w:t xml:space="preserve"> for the fiscal quarter of the U.S. Borrower in which such Material Acquisition is consummated and the three (3) fiscal quarters of the U.S. Borrower immediately following such fiscal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than during the Restricted Period and*</w:t>
      </w:r>
      <w:r>
        <w:rPr>
          <w:rFonts w:ascii="Arial" w:cs="Arial" w:eastAsia="Arial" w:hAnsi="Arial"/>
          <w:sz w:val="16"/>
          <w:szCs w:val="16"/>
          <w:color w:val="auto"/>
        </w:rPr>
        <w:t xml:space="preserve"> notwithstanding successive Material Acquisitions, the minimum Consolidated Fixed Charge Coverage Ratio required under this Section shall not step down to </w:t>
      </w:r>
      <w:r>
        <w:rPr>
          <w:rFonts w:ascii="Arial" w:cs="Arial" w:eastAsia="Arial" w:hAnsi="Arial"/>
          <w:sz w:val="16"/>
          <w:szCs w:val="16"/>
          <w:u w:val="single" w:color="auto"/>
          <w:color w:val="auto"/>
        </w:rPr>
        <w:t>*(x) if the Adjusted FCCR Level is in effect, 1.60:1.00 or (y) otherwise,*</w:t>
      </w:r>
      <w:r>
        <w:rPr>
          <w:rFonts w:ascii="Arial" w:cs="Arial" w:eastAsia="Arial" w:hAnsi="Arial"/>
          <w:sz w:val="16"/>
          <w:szCs w:val="16"/>
          <w:color w:val="auto"/>
        </w:rPr>
        <w:t xml:space="preserve"> 2.00:1.00 for more than four</w:t>
      </w:r>
    </w:p>
    <w:p>
      <w:pPr>
        <w:spacing w:after="0" w:line="8" w:lineRule="exact"/>
        <w:rPr>
          <w:rFonts w:ascii="Arial" w:cs="Arial" w:eastAsia="Arial" w:hAnsi="Arial"/>
          <w:sz w:val="18"/>
          <w:szCs w:val="18"/>
          <w:color w:val="auto"/>
        </w:rPr>
      </w:pPr>
    </w:p>
    <w:p>
      <w:pPr>
        <w:ind w:left="260" w:hanging="252"/>
        <w:spacing w:after="0"/>
        <w:tabs>
          <w:tab w:leader="none" w:pos="2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fiscal quarters in any six (6) fiscal quarter period.</w:t>
      </w:r>
    </w:p>
    <w:p>
      <w:pPr>
        <w:spacing w:after="0" w:line="237" w:lineRule="exact"/>
        <w:rPr>
          <w:rFonts w:ascii="Arial" w:cs="Arial" w:eastAsia="Arial" w:hAnsi="Arial"/>
          <w:sz w:val="18"/>
          <w:szCs w:val="18"/>
          <w:color w:val="auto"/>
        </w:rPr>
      </w:pPr>
    </w:p>
    <w:p>
      <w:pPr>
        <w:ind w:left="1060" w:hanging="404"/>
        <w:spacing w:after="0"/>
        <w:tabs>
          <w:tab w:leader="none" w:pos="1060" w:val="left"/>
        </w:tabs>
        <w:numPr>
          <w:ilvl w:val="1"/>
          <w:numId w:val="186"/>
        </w:numPr>
        <w:rPr>
          <w:rFonts w:ascii="Arial" w:cs="Arial" w:eastAsia="Arial" w:hAnsi="Arial"/>
          <w:sz w:val="19"/>
          <w:szCs w:val="19"/>
          <w:color w:val="auto"/>
        </w:rPr>
      </w:pPr>
      <w:r>
        <w:rPr>
          <w:rFonts w:ascii="Arial" w:cs="Arial" w:eastAsia="Arial" w:hAnsi="Arial"/>
          <w:sz w:val="17"/>
          <w:szCs w:val="17"/>
          <w:u w:val="single" w:color="auto"/>
          <w:color w:val="auto"/>
        </w:rPr>
        <w:t>*Minimum Liquidity. As of the last day of each fiscal month during the Restricted Period, permit Liquidity to be less than the sum of (x)</w:t>
      </w:r>
    </w:p>
    <w:p>
      <w:pPr>
        <w:spacing w:after="0" w:line="1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u w:val="single" w:color="auto"/>
          <w:color w:val="auto"/>
        </w:rPr>
        <w:t>$450,000,000 plus (y) from and after the date of the Post-Amendment No. 2 Bond Issuance occurs, an amount equal to 50% of the aggregate principal amount of the debt securities issued in connection with the Post-Amendment No. 2 Bond Issuance.*</w:t>
      </w:r>
    </w:p>
    <w:p>
      <w:pPr>
        <w:spacing w:after="0" w:line="175" w:lineRule="exact"/>
        <w:rPr>
          <w:sz w:val="20"/>
          <w:szCs w:val="20"/>
          <w:color w:val="auto"/>
        </w:rPr>
      </w:pPr>
    </w:p>
    <w:p>
      <w:pPr>
        <w:ind w:right="40" w:firstLine="656"/>
        <w:spacing w:after="0" w:line="265" w:lineRule="auto"/>
        <w:tabs>
          <w:tab w:leader="none" w:pos="1058" w:val="left"/>
        </w:tabs>
        <w:numPr>
          <w:ilvl w:val="0"/>
          <w:numId w:val="187"/>
        </w:numPr>
        <w:rPr>
          <w:rFonts w:ascii="Arial" w:cs="Arial" w:eastAsia="Arial" w:hAnsi="Arial"/>
          <w:sz w:val="20"/>
          <w:szCs w:val="20"/>
          <w:color w:val="auto"/>
        </w:rPr>
      </w:pPr>
      <w:r>
        <w:rPr>
          <w:rFonts w:ascii="Arial" w:cs="Arial" w:eastAsia="Arial" w:hAnsi="Arial"/>
          <w:sz w:val="18"/>
          <w:szCs w:val="18"/>
          <w:u w:val="single" w:color="auto"/>
          <w:color w:val="auto"/>
        </w:rPr>
        <w:t>*Minimum Consolidated EBITDA. Permit Consolidated EBITDA, for any Specified Test Period the last fiscal quarter of which is set forth below, to be less than the amount set forth below opposite such fiscal quarter (unless, prior to the last day of such fiscal quarter, the Post-Amendment No. 2 Bond Issuance shall have occurred resulting in an issuance of debt securities by U.S. Borrower in an aggregate gross principal amount of no less than $400,000,000):*</w:t>
      </w:r>
    </w:p>
    <w:p>
      <w:pPr>
        <w:spacing w:after="0" w:line="16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*Fiscal Quarter  Consolidated EBITDA*</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2"/>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*Second fiscal quarter of fiscal year 2020</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247,100,000*</w:t>
            </w:r>
          </w:p>
        </w:tc>
      </w:tr>
      <w:tr>
        <w:trPr>
          <w:trHeight w:val="412"/>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*Third fiscal quarter of fiscal year 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220,600,000*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*Fourth fiscal quarter of fiscal year 2020</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204,650,000*</w:t>
            </w:r>
          </w:p>
        </w:tc>
        <w:tc>
          <w:tcPr>
            <w:tcW w:w="40" w:type="dxa"/>
            <w:vAlign w:val="bottom"/>
          </w:tcPr>
          <w:p>
            <w:pPr>
              <w:spacing w:after="0"/>
              <w:rPr>
                <w:sz w:val="24"/>
                <w:szCs w:val="24"/>
                <w:color w:val="auto"/>
              </w:rPr>
            </w:pPr>
          </w:p>
        </w:tc>
      </w:tr>
    </w:tbl>
    <w:p>
      <w:pPr>
        <w:spacing w:after="0" w:line="220" w:lineRule="exact"/>
        <w:rPr>
          <w:sz w:val="20"/>
          <w:szCs w:val="20"/>
          <w:color w:val="auto"/>
        </w:rPr>
      </w:pPr>
    </w:p>
    <w:p>
      <w:pPr>
        <w:ind w:right="160" w:firstLine="648"/>
        <w:spacing w:after="0" w:line="272" w:lineRule="auto"/>
        <w:rPr>
          <w:sz w:val="20"/>
          <w:szCs w:val="20"/>
          <w:color w:val="auto"/>
        </w:rPr>
      </w:pPr>
      <w:r>
        <w:rPr>
          <w:rFonts w:ascii="Arial" w:cs="Arial" w:eastAsia="Arial" w:hAnsi="Arial"/>
          <w:sz w:val="20"/>
          <w:szCs w:val="20"/>
          <w:b w:val="1"/>
          <w:bCs w:val="1"/>
          <w:color w:val="auto"/>
        </w:rPr>
        <w:t xml:space="preserve">7.13 </w:t>
      </w:r>
      <w:r>
        <w:rPr>
          <w:rFonts w:ascii="Arial" w:cs="Arial" w:eastAsia="Arial" w:hAnsi="Arial"/>
          <w:sz w:val="17"/>
          <w:szCs w:val="17"/>
          <w:b w:val="1"/>
          <w:bCs w:val="1"/>
          <w:u w:val="single" w:color="auto"/>
          <w:color w:val="auto"/>
        </w:rPr>
        <w:t>Negative Pledges During Collateral and Covenant Release Periods</w:t>
      </w:r>
      <w:r>
        <w:rPr>
          <w:rFonts w:ascii="Arial" w:cs="Arial" w:eastAsia="Arial" w:hAnsi="Arial"/>
          <w:sz w:val="17"/>
          <w:szCs w:val="17"/>
          <w:color w:val="auto"/>
        </w:rPr>
        <w:t>. Enter into or suffer to exist or become effective any consensual</w:t>
      </w:r>
      <w:r>
        <w:rPr>
          <w:rFonts w:ascii="Arial" w:cs="Arial" w:eastAsia="Arial" w:hAnsi="Arial"/>
          <w:sz w:val="20"/>
          <w:szCs w:val="20"/>
          <w:b w:val="1"/>
          <w:bCs w:val="1"/>
          <w:color w:val="auto"/>
        </w:rPr>
        <w:t xml:space="preserve"> </w:t>
      </w:r>
      <w:r>
        <w:rPr>
          <w:rFonts w:ascii="Arial" w:cs="Arial" w:eastAsia="Arial" w:hAnsi="Arial"/>
          <w:sz w:val="17"/>
          <w:szCs w:val="17"/>
          <w:color w:val="auto"/>
        </w:rPr>
        <w:t>encumbrance or restriction on the ability of the U.S. Borrower or any other Loan Party (other than the Canadian Borrower and the Dutch Borrower) to re-grant the security interests in the Collateral (taken as a whole and not in any specific Collateral) pursuant to documents substantially identical to the Security Documents within 30 days after the occurrence of any Collateral and Covenant Trigger Date.</w:t>
      </w:r>
    </w:p>
    <w:p>
      <w:pPr>
        <w:spacing w:after="0" w:line="170" w:lineRule="exact"/>
        <w:rPr>
          <w:sz w:val="20"/>
          <w:szCs w:val="20"/>
          <w:color w:val="auto"/>
        </w:rPr>
      </w:pPr>
    </w:p>
    <w:p>
      <w:pPr>
        <w:ind w:right="560" w:firstLine="648"/>
        <w:spacing w:after="0" w:line="262" w:lineRule="auto"/>
        <w:rPr>
          <w:sz w:val="20"/>
          <w:szCs w:val="20"/>
          <w:color w:val="auto"/>
        </w:rPr>
      </w:pPr>
      <w:r>
        <w:rPr>
          <w:rFonts w:ascii="Arial" w:cs="Arial" w:eastAsia="Arial" w:hAnsi="Arial"/>
          <w:sz w:val="20"/>
          <w:szCs w:val="20"/>
          <w:b w:val="1"/>
          <w:bCs w:val="1"/>
          <w:color w:val="auto"/>
        </w:rPr>
        <w:t xml:space="preserve">7.14 </w:t>
      </w:r>
      <w:r>
        <w:rPr>
          <w:rFonts w:ascii="Arial" w:cs="Arial" w:eastAsia="Arial" w:hAnsi="Arial"/>
          <w:sz w:val="17"/>
          <w:szCs w:val="17"/>
          <w:b w:val="1"/>
          <w:bCs w:val="1"/>
          <w:u w:val="single" w:color="auto"/>
          <w:color w:val="auto"/>
        </w:rPr>
        <w:t>Modifications of Organization Documents and Other Documents, Etc.</w:t>
      </w:r>
      <w:r>
        <w:rPr>
          <w:rFonts w:ascii="Arial" w:cs="Arial" w:eastAsia="Arial" w:hAnsi="Arial"/>
          <w:sz w:val="20"/>
          <w:szCs w:val="20"/>
          <w:b w:val="1"/>
          <w:bCs w:val="1"/>
          <w:color w:val="auto"/>
        </w:rPr>
        <w:t xml:space="preserve"> </w:t>
      </w:r>
      <w:r>
        <w:rPr>
          <w:rFonts w:ascii="Arial" w:cs="Arial" w:eastAsia="Arial" w:hAnsi="Arial"/>
          <w:sz w:val="17"/>
          <w:szCs w:val="17"/>
          <w:color w:val="auto"/>
        </w:rPr>
        <w:t>Except during a Collateral and Covenant Release Period,</w:t>
      </w:r>
      <w:r>
        <w:rPr>
          <w:rFonts w:ascii="Arial" w:cs="Arial" w:eastAsia="Arial" w:hAnsi="Arial"/>
          <w:sz w:val="20"/>
          <w:szCs w:val="20"/>
          <w:b w:val="1"/>
          <w:bCs w:val="1"/>
          <w:color w:val="auto"/>
        </w:rPr>
        <w:t xml:space="preserve"> </w:t>
      </w:r>
      <w:r>
        <w:rPr>
          <w:rFonts w:ascii="Arial" w:cs="Arial" w:eastAsia="Arial" w:hAnsi="Arial"/>
          <w:sz w:val="17"/>
          <w:szCs w:val="17"/>
          <w:color w:val="auto"/>
        </w:rPr>
        <w:t>directly or indirectly: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773" w:right="339" w:bottom="1440" w:gutter="0" w:footer="0" w:header="0"/>
        </w:sectPr>
      </w:pPr>
    </w:p>
    <w:bookmarkStart w:id="192" w:name="page193"/>
    <w:bookmarkEnd w:id="192"/>
    <w:p>
      <w:pPr>
        <w:ind w:left="660" w:right="320" w:firstLine="644"/>
        <w:spacing w:after="0" w:line="329" w:lineRule="auto"/>
        <w:tabs>
          <w:tab w:leader="none" w:pos="1708" w:val="left"/>
        </w:tabs>
        <w:numPr>
          <w:ilvl w:val="0"/>
          <w:numId w:val="188"/>
        </w:numPr>
        <w:rPr>
          <w:rFonts w:ascii="Arial" w:cs="Arial" w:eastAsia="Arial" w:hAnsi="Arial"/>
          <w:sz w:val="18"/>
          <w:szCs w:val="18"/>
          <w:color w:val="auto"/>
        </w:rPr>
      </w:pPr>
      <w:r>
        <w:rPr>
          <w:rFonts w:ascii="Arial" w:cs="Arial" w:eastAsia="Arial" w:hAnsi="Arial"/>
          <w:sz w:val="16"/>
          <w:szCs w:val="16"/>
          <w:color w:val="auto"/>
        </w:rPr>
        <w:t xml:space="preserve">amend or modify, or permit the amendment or modification of, any provision of any documents governing any Indebtedness incurred pursuant to </w:t>
      </w:r>
      <w:r>
        <w:rPr>
          <w:rFonts w:ascii="Arial" w:cs="Arial" w:eastAsia="Arial" w:hAnsi="Arial"/>
          <w:sz w:val="16"/>
          <w:szCs w:val="16"/>
          <w:u w:val="single" w:color="auto"/>
          <w:color w:val="auto"/>
        </w:rPr>
        <w:t>Section 7.03(d)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w:t>
      </w:r>
      <w:r>
        <w:rPr>
          <w:rFonts w:ascii="Arial" w:cs="Arial" w:eastAsia="Arial" w:hAnsi="Arial"/>
          <w:sz w:val="16"/>
          <w:szCs w:val="16"/>
          <w:color w:val="auto"/>
        </w:rPr>
        <w:t>), in each case in any manner that is adverse in any material respect to the interests of the Lenders; or</w:t>
      </w:r>
    </w:p>
    <w:p>
      <w:pPr>
        <w:spacing w:after="0" w:line="139" w:lineRule="exact"/>
        <w:rPr>
          <w:rFonts w:ascii="Arial" w:cs="Arial" w:eastAsia="Arial" w:hAnsi="Arial"/>
          <w:sz w:val="18"/>
          <w:szCs w:val="18"/>
          <w:color w:val="auto"/>
        </w:rPr>
      </w:pPr>
    </w:p>
    <w:p>
      <w:pPr>
        <w:ind w:left="660" w:firstLine="644"/>
        <w:spacing w:after="0" w:line="265" w:lineRule="auto"/>
        <w:tabs>
          <w:tab w:leader="none" w:pos="1718" w:val="left"/>
        </w:tabs>
        <w:numPr>
          <w:ilvl w:val="0"/>
          <w:numId w:val="188"/>
        </w:numPr>
        <w:rPr>
          <w:rFonts w:ascii="Arial" w:cs="Arial" w:eastAsia="Arial" w:hAnsi="Arial"/>
          <w:sz w:val="20"/>
          <w:szCs w:val="20"/>
          <w:color w:val="auto"/>
        </w:rPr>
      </w:pPr>
      <w:r>
        <w:rPr>
          <w:rFonts w:ascii="Arial" w:cs="Arial" w:eastAsia="Arial" w:hAnsi="Arial"/>
          <w:sz w:val="18"/>
          <w:szCs w:val="18"/>
          <w:color w:val="auto"/>
        </w:rPr>
        <w:t xml:space="preserve">terminate, amend, modify or change any of its Organization Documents (including (x) by the filing or modification of any certificate of designation and (y) any election to treat any Pledged Interests (as defined in the Security Agreement) as a “security” under Section 8-103 of the UCC other than concurrently with the delivery of certificates representing such Pledged Interests to the Collateral Agent) or any agreement to which it is a party with respect to its Equity Interests (including any stockholders’ agreement), other than any such amendments, modifications or changes which are not adverse in any material respect to the interests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U.S. Borrower may issue Qualified Capital Stock, so long as such issuance is not prohibited by any provision of this Agreement, and may amend its Organization Documents to authorize any such Qualified Capital Stock.</w:t>
      </w:r>
    </w:p>
    <w:p>
      <w:pPr>
        <w:spacing w:after="0" w:line="175" w:lineRule="exact"/>
        <w:rPr>
          <w:sz w:val="20"/>
          <w:szCs w:val="20"/>
          <w:color w:val="auto"/>
        </w:rPr>
      </w:pPr>
    </w:p>
    <w:p>
      <w:pPr>
        <w:ind w:firstLine="648"/>
        <w:spacing w:after="0" w:line="273" w:lineRule="auto"/>
        <w:rPr>
          <w:sz w:val="20"/>
          <w:szCs w:val="20"/>
          <w:color w:val="auto"/>
        </w:rPr>
      </w:pPr>
      <w:r>
        <w:rPr>
          <w:rFonts w:ascii="Arial" w:cs="Arial" w:eastAsia="Arial" w:hAnsi="Arial"/>
          <w:sz w:val="20"/>
          <w:szCs w:val="20"/>
          <w:b w:val="1"/>
          <w:bCs w:val="1"/>
          <w:color w:val="auto"/>
        </w:rPr>
        <w:t xml:space="preserve">7.15 </w:t>
      </w:r>
      <w:r>
        <w:rPr>
          <w:rFonts w:ascii="Arial" w:cs="Arial" w:eastAsia="Arial" w:hAnsi="Arial"/>
          <w:sz w:val="17"/>
          <w:szCs w:val="17"/>
          <w:b w:val="1"/>
          <w:bCs w:val="1"/>
          <w:u w:val="single" w:color="auto"/>
          <w:color w:val="auto"/>
        </w:rPr>
        <w:t>Prepayments, Etc. of Indebtedness</w:t>
      </w:r>
      <w:r>
        <w:rPr>
          <w:rFonts w:ascii="Arial" w:cs="Arial" w:eastAsia="Arial" w:hAnsi="Arial"/>
          <w:sz w:val="17"/>
          <w:szCs w:val="17"/>
          <w:color w:val="auto"/>
        </w:rPr>
        <w:t>. Prepay, redeem, purchase, defease or otherwise satisfy prior to the scheduled maturity thereof in any</w:t>
      </w:r>
      <w:r>
        <w:rPr>
          <w:rFonts w:ascii="Arial" w:cs="Arial" w:eastAsia="Arial" w:hAnsi="Arial"/>
          <w:sz w:val="20"/>
          <w:szCs w:val="20"/>
          <w:b w:val="1"/>
          <w:bCs w:val="1"/>
          <w:color w:val="auto"/>
        </w:rPr>
        <w:t xml:space="preserve"> </w:t>
      </w:r>
      <w:r>
        <w:rPr>
          <w:rFonts w:ascii="Arial" w:cs="Arial" w:eastAsia="Arial" w:hAnsi="Arial"/>
          <w:sz w:val="17"/>
          <w:szCs w:val="17"/>
          <w:color w:val="auto"/>
        </w:rPr>
        <w:t>manner (it being understood that payments of regularly scheduled interest shall be permitted, subject to the terms of the subordination provisions applicable thereto) any Subordinated Indebtedness (“</w:t>
      </w:r>
      <w:r>
        <w:rPr>
          <w:rFonts w:ascii="Arial" w:cs="Arial" w:eastAsia="Arial" w:hAnsi="Arial"/>
          <w:sz w:val="17"/>
          <w:szCs w:val="17"/>
          <w:u w:val="single" w:color="auto"/>
          <w:color w:val="auto"/>
        </w:rPr>
        <w:t>Junior Financing</w:t>
      </w:r>
      <w:r>
        <w:rPr>
          <w:rFonts w:ascii="Arial" w:cs="Arial" w:eastAsia="Arial" w:hAnsi="Arial"/>
          <w:sz w:val="17"/>
          <w:szCs w:val="17"/>
          <w:color w:val="auto"/>
        </w:rPr>
        <w:t xml:space="preserve">”), except (i) so long as no Default or Event of Default shall have occurred and be continuing or would result therefrom, (x) </w:t>
      </w:r>
      <w:r>
        <w:rPr>
          <w:rFonts w:ascii="Arial" w:cs="Arial" w:eastAsia="Arial" w:hAnsi="Arial"/>
          <w:sz w:val="17"/>
          <w:szCs w:val="17"/>
          <w:u w:val="single" w:color="auto"/>
          <w:color w:val="auto"/>
        </w:rPr>
        <w:t>*except during the Restricted Period,*</w:t>
      </w:r>
      <w:r>
        <w:rPr>
          <w:rFonts w:ascii="Arial" w:cs="Arial" w:eastAsia="Arial" w:hAnsi="Arial"/>
          <w:sz w:val="17"/>
          <w:szCs w:val="17"/>
          <w:color w:val="auto"/>
        </w:rPr>
        <w:t xml:space="preserve"> such prepayments, redemptions, purchases, defeasances or satisfactions may be made if at the time thereof the Lease Adjusted Leverage Ratio calculated on a Pro forma Basis after giving effect to such prepayment, redemption, repurchase, defeasance or satisfaction is less than or equal to 3.75:1.00, or (y) for the refinancing thereof in exchange for, or with the Net Cash Proceeds of, any (1) Subordinated Indebtedness that (A) does not have an earlier maturity date or a shorter weighted average life to maturity than the Subordinated Indebtedness being refinanced, have any interim amortization or</w:t>
      </w:r>
    </w:p>
    <w:p>
      <w:pPr>
        <w:spacing w:after="0" w:line="2"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 xml:space="preserve">prepayment or redemption offers or events other than change of control and asset sale events that are customary for high yield subordinated notes and does not contain (I) any financial maintenance covenants or (II) covenants or events of default that are, taken as a whole, more onerous to the U.S. Borrower and its Restricted Subsidiaries than those contained herein or (2) an Excluded Issuance that are not used for any other purpose, (ii) for the conversion of any Junior Financing to Equity Interests (other than Disqualified Capital Stock) of Holdings and (iii) the U.S. Borrower and its Restricted Subsidiaries may prepay, redeem, purchase, defease or otherwise satisfy prior to the scheduled maturity thereof any Subordinated Indebtedness during a Collateral and Covenant Release Period so long as the U.S. Borrower and its Restricted Subsidiaries shall be in pro forma compliance (giving effect to such prepayment, redemption, purchase, defeasance or other satisfaction and each other prepayment, redemption, purchase, defeasance or other satisfaction, if any, made in reliance on this clause after the end of the most recently ended Test Period) with the financial covenants set forth in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as of the last day of the most recently ended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termination of such Collateral and Covenant Release Period, all prepayments, redemptions, purchases, defeasances and other satisfactions made in reliance on this exception shall be deemed to have been made under one or more other exceptions contained in this </w:t>
      </w:r>
      <w:r>
        <w:rPr>
          <w:rFonts w:ascii="Arial" w:cs="Arial" w:eastAsia="Arial" w:hAnsi="Arial"/>
          <w:sz w:val="16"/>
          <w:szCs w:val="16"/>
          <w:u w:val="single" w:color="auto"/>
          <w:color w:val="auto"/>
        </w:rPr>
        <w:t>Section 7.15</w:t>
      </w:r>
      <w:r>
        <w:rPr>
          <w:rFonts w:ascii="Arial" w:cs="Arial" w:eastAsia="Arial" w:hAnsi="Arial"/>
          <w:sz w:val="16"/>
          <w:szCs w:val="16"/>
          <w:color w:val="auto"/>
        </w:rPr>
        <w:t xml:space="preserve"> for purposes of determining the U.S. Borrowers’ and its Restricted Subsidiaries’ ability to utilize any basket, threshold, cap or similar exception to make additional prepayments, redemptions, purchases, defeasances or other satisfactions of any Subordinated Indebtedness following the termination of such Collateral and Covenant Release Period (with such prepayments, redemptions, purchases, defeasances and other satisfactions being allocated by the U.S. Borrower in good faith to minimize any potential overages).</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ARTICLE VIII</w:t>
      </w:r>
    </w:p>
    <w:p>
      <w:pPr>
        <w:spacing w:after="0" w:line="24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EVENTS OF DEFAULT AND REMEDIES</w:t>
      </w:r>
    </w:p>
    <w:p>
      <w:pPr>
        <w:spacing w:after="0" w:line="22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color w:val="auto"/>
        </w:rPr>
        <w:t>. Any of the following shall constitute an “</w:t>
      </w:r>
      <w:r>
        <w:rPr>
          <w:rFonts w:ascii="Arial" w:cs="Arial" w:eastAsia="Arial" w:hAnsi="Arial"/>
          <w:sz w:val="16"/>
          <w:szCs w:val="16"/>
          <w:u w:val="single" w:color="auto"/>
          <w:color w:val="auto"/>
        </w:rPr>
        <w:t>Event of Default</w:t>
      </w:r>
      <w:r>
        <w:rPr>
          <w:rFonts w:ascii="Arial" w:cs="Arial" w:eastAsia="Arial" w:hAnsi="Arial"/>
          <w:sz w:val="16"/>
          <w:szCs w:val="16"/>
          <w:color w:val="auto"/>
        </w:rPr>
        <w:t>”:</w:t>
      </w:r>
    </w:p>
    <w:p>
      <w:pPr>
        <w:spacing w:after="0" w:line="238" w:lineRule="exact"/>
        <w:rPr>
          <w:sz w:val="20"/>
          <w:szCs w:val="20"/>
          <w:color w:val="auto"/>
        </w:rPr>
      </w:pPr>
    </w:p>
    <w:p>
      <w:pPr>
        <w:ind w:left="660" w:right="20" w:firstLine="644"/>
        <w:spacing w:after="0" w:line="284" w:lineRule="auto"/>
        <w:tabs>
          <w:tab w:leader="none" w:pos="1708" w:val="left"/>
        </w:tabs>
        <w:numPr>
          <w:ilvl w:val="0"/>
          <w:numId w:val="189"/>
        </w:numPr>
        <w:rPr>
          <w:rFonts w:ascii="Arial" w:cs="Arial" w:eastAsia="Arial" w:hAnsi="Arial"/>
          <w:sz w:val="19"/>
          <w:szCs w:val="19"/>
          <w:color w:val="auto"/>
        </w:rPr>
      </w:pPr>
      <w:r>
        <w:rPr>
          <w:rFonts w:ascii="Arial" w:cs="Arial" w:eastAsia="Arial" w:hAnsi="Arial"/>
          <w:sz w:val="17"/>
          <w:szCs w:val="17"/>
          <w:u w:val="single" w:color="auto"/>
          <w:color w:val="auto"/>
        </w:rPr>
        <w:t>Non-Payment</w:t>
      </w:r>
      <w:r>
        <w:rPr>
          <w:rFonts w:ascii="Arial" w:cs="Arial" w:eastAsia="Arial" w:hAnsi="Arial"/>
          <w:sz w:val="17"/>
          <w:szCs w:val="17"/>
          <w:color w:val="auto"/>
        </w:rPr>
        <w:t>. The U.S. Borrower, the Canadian Borrower, the Dutch Borrower or any other Loan Party fails to pay (i) when and as required to be paid herein, any amount of principal of or premium (if any) on any Loan or any L/C Obligation, or (ii) within five Business Days after the same becomes due, any interest on any Loan or on any L/C Obligation, or any fee due hereunder, or (iii) within five Business Days after the same becomes due, any other amount payable hereunder or under any other Loan Document; or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787" w:right="359" w:bottom="1440" w:gutter="0" w:footer="0" w:header="0"/>
        </w:sectPr>
      </w:pPr>
    </w:p>
    <w:bookmarkStart w:id="193" w:name="page194"/>
    <w:bookmarkEnd w:id="193"/>
    <w:p>
      <w:pPr>
        <w:ind w:left="-460" w:right="500" w:firstLine="644"/>
        <w:spacing w:after="0" w:line="266" w:lineRule="auto"/>
        <w:tabs>
          <w:tab w:leader="none" w:pos="598" w:val="left"/>
        </w:tabs>
        <w:numPr>
          <w:ilvl w:val="0"/>
          <w:numId w:val="190"/>
        </w:numPr>
        <w:rPr>
          <w:rFonts w:ascii="Arial" w:cs="Arial" w:eastAsia="Arial" w:hAnsi="Arial"/>
          <w:sz w:val="20"/>
          <w:szCs w:val="20"/>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Any Loan Party fails to perform or observe any term, covenant or agreement contained in any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of this Agreement; or</w:t>
      </w:r>
    </w:p>
    <w:p>
      <w:pPr>
        <w:spacing w:after="0" w:line="190" w:lineRule="exact"/>
        <w:rPr>
          <w:rFonts w:ascii="Arial" w:cs="Arial" w:eastAsia="Arial" w:hAnsi="Arial"/>
          <w:sz w:val="20"/>
          <w:szCs w:val="20"/>
          <w:color w:val="auto"/>
        </w:rPr>
      </w:pPr>
    </w:p>
    <w:p>
      <w:pPr>
        <w:jc w:val="both"/>
        <w:ind w:left="-460" w:right="120" w:firstLine="644"/>
        <w:spacing w:after="0" w:line="264" w:lineRule="auto"/>
        <w:tabs>
          <w:tab w:leader="none" w:pos="588" w:val="left"/>
        </w:tabs>
        <w:numPr>
          <w:ilvl w:val="0"/>
          <w:numId w:val="190"/>
        </w:numPr>
        <w:rPr>
          <w:rFonts w:ascii="Arial" w:cs="Arial" w:eastAsia="Arial" w:hAnsi="Arial"/>
          <w:sz w:val="20"/>
          <w:szCs w:val="20"/>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observe any other covenant or agreement (not specified in subsection (a) or (b) above) contained in any Loan Document on its part to be performed or observed and such failure continues for 30 days after notice thereof by the Administrative Agent or any Lender to the U.S. Borrower; or</w:t>
      </w:r>
    </w:p>
    <w:p>
      <w:pPr>
        <w:spacing w:after="0" w:line="196" w:lineRule="exact"/>
        <w:rPr>
          <w:rFonts w:ascii="Arial" w:cs="Arial" w:eastAsia="Arial" w:hAnsi="Arial"/>
          <w:sz w:val="20"/>
          <w:szCs w:val="20"/>
          <w:color w:val="auto"/>
        </w:rPr>
      </w:pPr>
    </w:p>
    <w:p>
      <w:pPr>
        <w:ind w:left="-460" w:right="300" w:firstLine="644"/>
        <w:spacing w:after="0" w:line="264" w:lineRule="auto"/>
        <w:tabs>
          <w:tab w:leader="none" w:pos="598" w:val="left"/>
        </w:tabs>
        <w:numPr>
          <w:ilvl w:val="0"/>
          <w:numId w:val="190"/>
        </w:numPr>
        <w:rPr>
          <w:rFonts w:ascii="Arial" w:cs="Arial" w:eastAsia="Arial" w:hAnsi="Arial"/>
          <w:sz w:val="20"/>
          <w:szCs w:val="20"/>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or certification or other statement made or deemed made by or on behalf of any Loan Party herein, in any other Loan Document or in any statement or document delivered in writing in connection herewith or therewith shall be incorrect or misleading in any material respect when made or deemed made; or</w:t>
      </w:r>
    </w:p>
    <w:p>
      <w:pPr>
        <w:spacing w:after="0" w:line="196" w:lineRule="exact"/>
        <w:rPr>
          <w:rFonts w:ascii="Arial" w:cs="Arial" w:eastAsia="Arial" w:hAnsi="Arial"/>
          <w:sz w:val="20"/>
          <w:szCs w:val="20"/>
          <w:color w:val="auto"/>
        </w:rPr>
      </w:pPr>
    </w:p>
    <w:p>
      <w:pPr>
        <w:ind w:left="-460" w:right="20" w:firstLine="644"/>
        <w:spacing w:after="0" w:line="301" w:lineRule="auto"/>
        <w:tabs>
          <w:tab w:leader="none" w:pos="588" w:val="left"/>
        </w:tabs>
        <w:numPr>
          <w:ilvl w:val="0"/>
          <w:numId w:val="190"/>
        </w:numPr>
        <w:rPr>
          <w:rFonts w:ascii="Arial" w:cs="Arial" w:eastAsia="Arial" w:hAnsi="Arial"/>
          <w:sz w:val="18"/>
          <w:szCs w:val="18"/>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xml:space="preserve">. Any Loan Party or any of its Restricted Subsidiaries (A) fails to make any payment when due (whether by scheduled maturity, required prepayment, acceleration, demand or otherwise, and giving effect to any applicable grace period) in respect of any Indebtedness (other than Indebtedness hereunder or under the Guarantee) having an aggregate principal amount (including amounts owing to all creditors under any combined or syndicated credit arrangement) equal to or greater than the Threshold Amount, or (B) fails to observe or perform any other material agreement or condition relating to any such Indebtedness beyond any applicable cure period or contained in any instrument or agreement evidencing, securing or relating thereto, or any other event occurs, the effect of which default or other event in the case of this clause (B) is to cause, or to permit the holder or holders of such Indebtedness (or a trustee or agent on behalf of such holder or holders or beneficiary or beneficiaries) to cause, with the giving of notice if required, such Indebtedness to be demanded or to become due or to be repurchased, prepaid, defeased or redeemed (automatically or otherwise) prior to its stated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(e)(B) shall not apply to secured Indebtedness that became due as a result of the voluntary sale or transfer of the property or assets securing such Indebtedness, if such sale or transfer is permitted hereunder and under the documents providing for such Indebtedness; or</w:t>
      </w:r>
    </w:p>
    <w:p>
      <w:pPr>
        <w:spacing w:after="0" w:line="173" w:lineRule="exact"/>
        <w:rPr>
          <w:rFonts w:ascii="Arial" w:cs="Arial" w:eastAsia="Arial" w:hAnsi="Arial"/>
          <w:sz w:val="18"/>
          <w:szCs w:val="18"/>
          <w:color w:val="auto"/>
        </w:rPr>
      </w:pPr>
    </w:p>
    <w:p>
      <w:pPr>
        <w:ind w:left="-460" w:firstLine="644"/>
        <w:spacing w:after="0" w:line="300" w:lineRule="auto"/>
        <w:tabs>
          <w:tab w:leader="none" w:pos="566" w:val="left"/>
        </w:tabs>
        <w:numPr>
          <w:ilvl w:val="0"/>
          <w:numId w:val="190"/>
        </w:numPr>
        <w:rPr>
          <w:rFonts w:ascii="Arial" w:cs="Arial" w:eastAsia="Arial" w:hAnsi="Arial"/>
          <w:sz w:val="18"/>
          <w:szCs w:val="18"/>
          <w:color w:val="auto"/>
        </w:rPr>
      </w:pPr>
      <w:r>
        <w:rPr>
          <w:rFonts w:ascii="Arial" w:cs="Arial" w:eastAsia="Arial" w:hAnsi="Arial"/>
          <w:sz w:val="16"/>
          <w:szCs w:val="16"/>
          <w:u w:val="single" w:color="auto"/>
          <w:color w:val="auto"/>
        </w:rPr>
        <w:t>Insolvency Proceedings, Etc</w:t>
      </w:r>
      <w:r>
        <w:rPr>
          <w:rFonts w:ascii="Arial" w:cs="Arial" w:eastAsia="Arial" w:hAnsi="Arial"/>
          <w:sz w:val="16"/>
          <w:szCs w:val="16"/>
          <w:color w:val="auto"/>
        </w:rPr>
        <w:t>. Any Loan Party or any of their respective Restricted Subsidiaries (other than an Immaterial Subsidiary) institutes or consents to the institution of any proceeding under any Debtor Relief Law, or makes an assignment for the benefit of creditors; or applies for or consents to the appointment of any interim receiver, receiver, trustee, custodian, conservator, liquidator, rehabilitator, administrator or similar officer for it or for all or any material part of its property; or any interim receiver, receiver, trustee, custodian, conservator, liquidator, rehabilitator, administrator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(including, for the avoidance of doubt, any commencement by the Canadian Borrower or the Dutch Borrower of, or acquiescence by the Canadian Borrower or the Dutch Borrower, to any proceedings for substantive relief with respect to the Canadian Borrower or the Dutch Borrower in any bankruptcy, insolvency, debt restructuring, reorganization, readjustment of debt or other similar proceedings (including, without limitation, proceedings under the BIA, the Winding-up and Restructuring Act (Canada), the Companies’ Creditors Arrangement Act (Canada), or other similar federal or provincial legislation) including, without limitation, the filing by the Canadian Borrower or the Dutch Borrower of a proposal or plan of arrangement or a notice of intention to file same, or proceedings initiated by the Canadian Borrower or the Dutch Borrower for the appointment of a trustee, interim receiver, receiver, receiver and manager, custodian, administrator, sequestrator or other like official with respect to the Canadian Borrower or the Dutch Borrower or all or any substantial part of the assets of Canadian Borrower or the Dutch Borrower, or any similar relief, and in the case of any such proceeding instituted against the Canadian Borrower or the Dutch Borrower (but not instituted by it), either the proceeding remains undismissed or unstayed for a period of 60 calendar days, or the Canadian Borrower or the Dutch Borrower fails to diligently and actively oppose such proceeding or any of the actions sought in such proceeding, in each case, for a period of 60 calendar days); 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120"/>
          </w:cols>
          <w:pgMar w:left="1440" w:top="787" w:right="339" w:bottom="1440" w:gutter="0" w:footer="0" w:header="0"/>
        </w:sectPr>
      </w:pPr>
    </w:p>
    <w:bookmarkStart w:id="194" w:name="page195"/>
    <w:bookmarkEnd w:id="194"/>
    <w:p>
      <w:pPr>
        <w:ind w:left="660" w:right="20" w:firstLine="644"/>
        <w:spacing w:after="0" w:line="265" w:lineRule="auto"/>
        <w:tabs>
          <w:tab w:leader="none" w:pos="1718" w:val="left"/>
        </w:tabs>
        <w:numPr>
          <w:ilvl w:val="0"/>
          <w:numId w:val="191"/>
        </w:numPr>
        <w:rPr>
          <w:rFonts w:ascii="Arial" w:cs="Arial" w:eastAsia="Arial" w:hAnsi="Arial"/>
          <w:sz w:val="20"/>
          <w:szCs w:val="20"/>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or any of its Restricted Subsidiaries (other than an Immaterial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60 days after its issue or levy; or</w:t>
      </w:r>
    </w:p>
    <w:p>
      <w:pPr>
        <w:spacing w:after="0" w:line="194" w:lineRule="exact"/>
        <w:rPr>
          <w:rFonts w:ascii="Arial" w:cs="Arial" w:eastAsia="Arial" w:hAnsi="Arial"/>
          <w:sz w:val="20"/>
          <w:szCs w:val="20"/>
          <w:color w:val="auto"/>
        </w:rPr>
      </w:pPr>
    </w:p>
    <w:p>
      <w:pPr>
        <w:ind w:left="660" w:firstLine="644"/>
        <w:spacing w:after="0" w:line="265" w:lineRule="auto"/>
        <w:tabs>
          <w:tab w:leader="none" w:pos="1718" w:val="left"/>
        </w:tabs>
        <w:numPr>
          <w:ilvl w:val="0"/>
          <w:numId w:val="191"/>
        </w:numPr>
        <w:rPr>
          <w:rFonts w:ascii="Arial" w:cs="Arial" w:eastAsia="Arial" w:hAnsi="Arial"/>
          <w:sz w:val="20"/>
          <w:szCs w:val="20"/>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of its Restricted Subsidiaries (other than an Immaterial Subsidiary) one or more final judgments or orders by a court or Governmental Authority for the payment of money in an amount that individually or in the aggregate is equal to or greater than the Threshold Amount (to the extent not adequately covered by insurance issued by a solvent and unaffiliated insurer that has not disclaimed coverage), and all such judgments or orders shall not have been vacated, discharged, stayed or fully bonded pending appeal within 60 days from the entry thereof; or</w:t>
      </w:r>
    </w:p>
    <w:p>
      <w:pPr>
        <w:spacing w:after="0" w:line="195" w:lineRule="exact"/>
        <w:rPr>
          <w:rFonts w:ascii="Arial" w:cs="Arial" w:eastAsia="Arial" w:hAnsi="Arial"/>
          <w:sz w:val="20"/>
          <w:szCs w:val="20"/>
          <w:color w:val="auto"/>
        </w:rPr>
      </w:pPr>
    </w:p>
    <w:p>
      <w:pPr>
        <w:ind w:left="660" w:right="40" w:firstLine="644"/>
        <w:spacing w:after="0" w:line="284" w:lineRule="auto"/>
        <w:tabs>
          <w:tab w:leader="none" w:pos="1675" w:val="left"/>
        </w:tabs>
        <w:numPr>
          <w:ilvl w:val="0"/>
          <w:numId w:val="191"/>
        </w:numPr>
        <w:rPr>
          <w:rFonts w:ascii="Arial" w:cs="Arial" w:eastAsia="Arial" w:hAnsi="Arial"/>
          <w:sz w:val="19"/>
          <w:szCs w:val="19"/>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(i) An ERISA Event, or termination, withdrawal or noncompliance with applicable laws or plan terms with respect to Foreign Plans occurs which has resulted or could reasonably be expected to result in a Material Adverse Effect, or (ii) any Loan Party or any ERISA Affiliate fails to pay when due, after the expiration of any applicable grace period, any installment payment with respect to its withdrawal liability to a Multiemployer Plan in an aggregate amount in excess of the Threshold Amount; or</w:t>
      </w:r>
    </w:p>
    <w:p>
      <w:pPr>
        <w:spacing w:after="0" w:line="181" w:lineRule="exact"/>
        <w:rPr>
          <w:rFonts w:ascii="Arial" w:cs="Arial" w:eastAsia="Arial" w:hAnsi="Arial"/>
          <w:sz w:val="19"/>
          <w:szCs w:val="19"/>
          <w:color w:val="auto"/>
        </w:rPr>
      </w:pPr>
    </w:p>
    <w:p>
      <w:pPr>
        <w:ind w:left="660" w:right="120" w:firstLine="644"/>
        <w:spacing w:after="0" w:line="304" w:lineRule="auto"/>
        <w:tabs>
          <w:tab w:leader="none" w:pos="1675" w:val="left"/>
        </w:tabs>
        <w:numPr>
          <w:ilvl w:val="0"/>
          <w:numId w:val="191"/>
        </w:numPr>
        <w:rPr>
          <w:rFonts w:ascii="Arial" w:cs="Arial" w:eastAsia="Arial" w:hAnsi="Arial"/>
          <w:sz w:val="18"/>
          <w:szCs w:val="18"/>
          <w:color w:val="auto"/>
        </w:rPr>
      </w:pPr>
      <w:r>
        <w:rPr>
          <w:rFonts w:ascii="Arial" w:cs="Arial" w:eastAsia="Arial" w:hAnsi="Arial"/>
          <w:sz w:val="16"/>
          <w:szCs w:val="16"/>
          <w:u w:val="single" w:color="auto"/>
          <w:color w:val="auto"/>
        </w:rPr>
        <w:t>Invalidity of Loan Documents</w:t>
      </w:r>
      <w:r>
        <w:rPr>
          <w:rFonts w:ascii="Arial" w:cs="Arial" w:eastAsia="Arial" w:hAnsi="Arial"/>
          <w:sz w:val="16"/>
          <w:szCs w:val="16"/>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contests in any manner in writing the validity or enforceability of any provision of any Loan Document; or any Loan Party denies that it has any or further liability or obligation under any Loan Document except by reason of payment in full of all Obligations, or purports to revoke, terminate or rescind any provision of any Loan Document except pursuant to the express terms thereof; or</w:t>
      </w:r>
    </w:p>
    <w:p>
      <w:pPr>
        <w:spacing w:after="0" w:line="169" w:lineRule="exact"/>
        <w:rPr>
          <w:rFonts w:ascii="Arial" w:cs="Arial" w:eastAsia="Arial" w:hAnsi="Arial"/>
          <w:sz w:val="18"/>
          <w:szCs w:val="18"/>
          <w:color w:val="auto"/>
        </w:rPr>
      </w:pPr>
    </w:p>
    <w:p>
      <w:pPr>
        <w:ind w:left="1720" w:hanging="416"/>
        <w:spacing w:after="0"/>
        <w:tabs>
          <w:tab w:leader="none" w:pos="1720" w:val="left"/>
        </w:tabs>
        <w:numPr>
          <w:ilvl w:val="0"/>
          <w:numId w:val="191"/>
        </w:numPr>
        <w:rPr>
          <w:rFonts w:ascii="Arial" w:cs="Arial" w:eastAsia="Arial" w:hAnsi="Arial"/>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15" w:lineRule="exact"/>
        <w:rPr>
          <w:rFonts w:ascii="Arial" w:cs="Arial" w:eastAsia="Arial" w:hAnsi="Arial"/>
          <w:sz w:val="20"/>
          <w:szCs w:val="20"/>
          <w:color w:val="auto"/>
        </w:rPr>
      </w:pPr>
    </w:p>
    <w:p>
      <w:pPr>
        <w:ind w:left="660" w:firstLine="644"/>
        <w:spacing w:after="0" w:line="301" w:lineRule="auto"/>
        <w:tabs>
          <w:tab w:leader="none" w:pos="1675" w:val="left"/>
        </w:tabs>
        <w:numPr>
          <w:ilvl w:val="0"/>
          <w:numId w:val="191"/>
        </w:numPr>
        <w:rPr>
          <w:rFonts w:ascii="Arial" w:cs="Arial" w:eastAsia="Arial" w:hAnsi="Arial"/>
          <w:sz w:val="18"/>
          <w:szCs w:val="18"/>
          <w:color w:val="auto"/>
        </w:rPr>
      </w:pPr>
      <w:r>
        <w:rPr>
          <w:rFonts w:ascii="Arial" w:cs="Arial" w:eastAsia="Arial" w:hAnsi="Arial"/>
          <w:sz w:val="16"/>
          <w:szCs w:val="16"/>
          <w:u w:val="single" w:color="auto"/>
          <w:color w:val="auto"/>
        </w:rPr>
        <w:t>Collateral</w:t>
      </w:r>
      <w:r>
        <w:rPr>
          <w:rFonts w:ascii="Arial" w:cs="Arial" w:eastAsia="Arial" w:hAnsi="Arial"/>
          <w:sz w:val="16"/>
          <w:szCs w:val="16"/>
          <w:color w:val="auto"/>
        </w:rPr>
        <w:t>. Except during a Collateral and Covenant Release Period, any security interest and Lien purported to be created by any Security Document as to any material portion of the Collateral of the Loan Parties (other than the Canadian Borrower and the Dutch Borrower) (other than by reason of a release of Collateral in accordance with the terms hereof or thereof or the satisfaction in full of the Obligations in accordance with the terms hereof) shall cease to give the Collateral Agent, for the benefit of the Secured Parties a perfected First Priority security interest in and Lien on a material portion of the Collateral thereunder (except as otherwise expressly provided in this Agreement or such Security Document and subject to Permitted Liens) in favor of the Collateral Agent, or any security interest and Lien purported to be created by any Security Document on such property shall be asserted by any Loan Party not to be a valid, perfected, First Priority (except as otherwise expressly provided in this Agreement or such Security Document and subject to Permitted Liens) security interest in or Lien on the Collateral covered thereby, in each case other than to the extent that any such loss of perfection or priority results from the failure of the Collateral Agent to maintain possession of certificates or instruments actually delivered to it representing securities or notes pledged under the Security Documents or to file UCC continuation statements and except, as to Collateral consisting of real property to the extent that such losses are covered by a lender’s title insurance policy and the Collateral Agent shall be reasonably satisfied with the credit of such insurer.</w:t>
      </w:r>
    </w:p>
    <w:p>
      <w:pPr>
        <w:spacing w:after="0" w:line="150" w:lineRule="exact"/>
        <w:rPr>
          <w:sz w:val="20"/>
          <w:szCs w:val="20"/>
          <w:color w:val="auto"/>
        </w:rPr>
      </w:pPr>
    </w:p>
    <w:p>
      <w:pPr>
        <w:ind w:right="160" w:firstLine="648"/>
        <w:spacing w:after="0" w:line="262" w:lineRule="auto"/>
        <w:rPr>
          <w:sz w:val="20"/>
          <w:szCs w:val="20"/>
          <w:color w:val="auto"/>
        </w:rPr>
      </w:pPr>
      <w:r>
        <w:rPr>
          <w:rFonts w:ascii="Arial" w:cs="Arial" w:eastAsia="Arial" w:hAnsi="Arial"/>
          <w:sz w:val="20"/>
          <w:szCs w:val="20"/>
          <w:b w:val="1"/>
          <w:bCs w:val="1"/>
          <w:color w:val="auto"/>
        </w:rPr>
        <w:t xml:space="preserve">8.02 </w:t>
      </w:r>
      <w:r>
        <w:rPr>
          <w:rFonts w:ascii="Arial" w:cs="Arial" w:eastAsia="Arial" w:hAnsi="Arial"/>
          <w:sz w:val="17"/>
          <w:szCs w:val="17"/>
          <w:b w:val="1"/>
          <w:bCs w:val="1"/>
          <w:u w:val="single" w:color="auto"/>
          <w:color w:val="auto"/>
        </w:rPr>
        <w:t>Remedies upon Event of Default</w:t>
      </w:r>
      <w:r>
        <w:rPr>
          <w:rFonts w:ascii="Arial" w:cs="Arial" w:eastAsia="Arial" w:hAnsi="Arial"/>
          <w:sz w:val="17"/>
          <w:szCs w:val="17"/>
          <w:color w:val="auto"/>
        </w:rPr>
        <w:t>. If any Event of Default occurs and is continuing, the Administrative Agent shall, at the request of, or</w:t>
      </w:r>
      <w:r>
        <w:rPr>
          <w:rFonts w:ascii="Arial" w:cs="Arial" w:eastAsia="Arial" w:hAnsi="Arial"/>
          <w:sz w:val="20"/>
          <w:szCs w:val="20"/>
          <w:b w:val="1"/>
          <w:bCs w:val="1"/>
          <w:color w:val="auto"/>
        </w:rPr>
        <w:t xml:space="preserve"> </w:t>
      </w:r>
      <w:r>
        <w:rPr>
          <w:rFonts w:ascii="Arial" w:cs="Arial" w:eastAsia="Arial" w:hAnsi="Arial"/>
          <w:sz w:val="17"/>
          <w:szCs w:val="17"/>
          <w:color w:val="auto"/>
        </w:rPr>
        <w:t>may, with the consent of, the Required Lenders, take any or all of the following actions:</w:t>
      </w:r>
    </w:p>
    <w:p>
      <w:pPr>
        <w:spacing w:after="0" w:line="195" w:lineRule="exact"/>
        <w:rPr>
          <w:sz w:val="20"/>
          <w:szCs w:val="20"/>
          <w:color w:val="auto"/>
        </w:rPr>
      </w:pPr>
    </w:p>
    <w:p>
      <w:pPr>
        <w:ind w:left="660" w:right="140" w:firstLine="644"/>
        <w:spacing w:after="0" w:line="266" w:lineRule="auto"/>
        <w:tabs>
          <w:tab w:leader="none" w:pos="1675" w:val="left"/>
        </w:tabs>
        <w:numPr>
          <w:ilvl w:val="0"/>
          <w:numId w:val="192"/>
        </w:numPr>
        <w:rPr>
          <w:rFonts w:ascii="Arial" w:cs="Arial" w:eastAsia="Arial" w:hAnsi="Arial"/>
          <w:sz w:val="20"/>
          <w:szCs w:val="20"/>
          <w:color w:val="auto"/>
        </w:rPr>
      </w:pPr>
      <w:r>
        <w:rPr>
          <w:rFonts w:ascii="Arial" w:cs="Arial" w:eastAsia="Arial" w:hAnsi="Arial"/>
          <w:sz w:val="18"/>
          <w:szCs w:val="18"/>
          <w:color w:val="auto"/>
        </w:rPr>
        <w:t>declare the commitment of each Lender to make Loans and any obligation of the L/C Issuers to make L/C Credit Extensions to be terminated, whereupon such commitments and obligation shall be terminated;</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60"/>
          </w:cols>
          <w:pgMar w:left="320" w:top="787" w:right="419" w:bottom="1440" w:gutter="0" w:footer="0" w:header="0"/>
        </w:sectPr>
      </w:pPr>
    </w:p>
    <w:bookmarkStart w:id="195" w:name="page196"/>
    <w:bookmarkEnd w:id="195"/>
    <w:p>
      <w:pPr>
        <w:ind w:left="660" w:right="40" w:firstLine="644"/>
        <w:spacing w:after="0" w:line="264" w:lineRule="auto"/>
        <w:tabs>
          <w:tab w:leader="none" w:pos="1729" w:val="left"/>
        </w:tabs>
        <w:numPr>
          <w:ilvl w:val="0"/>
          <w:numId w:val="193"/>
        </w:numPr>
        <w:rPr>
          <w:rFonts w:ascii="Arial" w:cs="Arial" w:eastAsia="Arial" w:hAnsi="Arial"/>
          <w:sz w:val="20"/>
          <w:szCs w:val="20"/>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96" w:lineRule="exact"/>
        <w:rPr>
          <w:rFonts w:ascii="Arial" w:cs="Arial" w:eastAsia="Arial" w:hAnsi="Arial"/>
          <w:sz w:val="20"/>
          <w:szCs w:val="20"/>
          <w:color w:val="auto"/>
        </w:rPr>
      </w:pPr>
    </w:p>
    <w:p>
      <w:pPr>
        <w:ind w:left="1780" w:hanging="476"/>
        <w:spacing w:after="0"/>
        <w:tabs>
          <w:tab w:leader="none" w:pos="1780" w:val="left"/>
        </w:tabs>
        <w:numPr>
          <w:ilvl w:val="0"/>
          <w:numId w:val="193"/>
        </w:numPr>
        <w:rPr>
          <w:rFonts w:ascii="Arial" w:cs="Arial" w:eastAsia="Arial" w:hAnsi="Arial"/>
          <w:sz w:val="19"/>
          <w:szCs w:val="19"/>
          <w:color w:val="auto"/>
        </w:rPr>
      </w:pPr>
      <w:r>
        <w:rPr>
          <w:rFonts w:ascii="Arial" w:cs="Arial" w:eastAsia="Arial" w:hAnsi="Arial"/>
          <w:sz w:val="17"/>
          <w:szCs w:val="17"/>
          <w:color w:val="auto"/>
        </w:rPr>
        <w:t>require that the U.S. Borrower Cash Collateralize the L/C Obligations (in an amount equal to the then Outstanding Amount</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8"/>
          <w:szCs w:val="18"/>
          <w:color w:val="auto"/>
        </w:rPr>
        <w:t>thereof); and</w:t>
      </w:r>
    </w:p>
    <w:p>
      <w:pPr>
        <w:spacing w:after="0" w:line="233" w:lineRule="exact"/>
        <w:rPr>
          <w:rFonts w:ascii="Arial" w:cs="Arial" w:eastAsia="Arial" w:hAnsi="Arial"/>
          <w:sz w:val="19"/>
          <w:szCs w:val="19"/>
          <w:color w:val="auto"/>
        </w:rPr>
      </w:pPr>
    </w:p>
    <w:p>
      <w:pPr>
        <w:ind w:left="1760" w:hanging="456"/>
        <w:spacing w:after="0"/>
        <w:tabs>
          <w:tab w:leader="none" w:pos="1760" w:val="left"/>
        </w:tabs>
        <w:numPr>
          <w:ilvl w:val="0"/>
          <w:numId w:val="193"/>
        </w:numPr>
        <w:rPr>
          <w:rFonts w:ascii="Arial" w:cs="Arial" w:eastAsia="Arial" w:hAnsi="Arial"/>
          <w:sz w:val="19"/>
          <w:szCs w:val="19"/>
          <w:color w:val="auto"/>
        </w:rPr>
      </w:pPr>
      <w:r>
        <w:rPr>
          <w:rFonts w:ascii="Arial" w:cs="Arial" w:eastAsia="Arial" w:hAnsi="Arial"/>
          <w:sz w:val="17"/>
          <w:szCs w:val="17"/>
          <w:color w:val="auto"/>
        </w:rPr>
        <w:t>exercise on behalf of itself and the Lenders all rights and remedies available to it and the Lenders under the Loan Documents;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an actual or deemed entry of an order for relief with respect to the U.S.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U.S. Borrower to Cash Collateralize the L/C Obligations as aforesaid shall automatically become effective, in each case without further act of the Administrative Agent or any Lender.</w:t>
      </w:r>
    </w:p>
    <w:p>
      <w:pPr>
        <w:spacing w:after="0" w:line="17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9"/>
          <w:szCs w:val="19"/>
          <w:b w:val="1"/>
          <w:bCs w:val="1"/>
          <w:color w:val="auto"/>
        </w:rPr>
        <w:t xml:space="preserve">8.03 </w:t>
      </w:r>
      <w:r>
        <w:rPr>
          <w:rFonts w:ascii="Arial" w:cs="Arial" w:eastAsia="Arial" w:hAnsi="Arial"/>
          <w:sz w:val="16"/>
          <w:szCs w:val="16"/>
          <w:b w:val="1"/>
          <w:bCs w:val="1"/>
          <w:u w:val="single" w:color="auto"/>
          <w:color w:val="auto"/>
        </w:rPr>
        <w:t>Application of Funds</w:t>
      </w:r>
      <w:r>
        <w:rPr>
          <w:rFonts w:ascii="Arial" w:cs="Arial" w:eastAsia="Arial" w:hAnsi="Arial"/>
          <w:sz w:val="16"/>
          <w:szCs w:val="16"/>
          <w:color w:val="auto"/>
        </w:rPr>
        <w:t>. After the exercise of remedies provided for in</w:t>
      </w:r>
      <w:r>
        <w:rPr>
          <w:rFonts w:ascii="Arial" w:cs="Arial" w:eastAsia="Arial" w:hAnsi="Arial"/>
          <w:sz w:val="19"/>
          <w:szCs w:val="19"/>
          <w:b w:val="1"/>
          <w:bCs w:val="1"/>
          <w:color w:val="auto"/>
        </w:rPr>
        <w:t xml:space="preserve"> </w:t>
      </w:r>
      <w:r>
        <w:rPr>
          <w:rFonts w:ascii="Arial" w:cs="Arial" w:eastAsia="Arial" w:hAnsi="Arial"/>
          <w:sz w:val="16"/>
          <w:szCs w:val="16"/>
          <w:u w:val="single" w:color="auto"/>
          <w:color w:val="auto"/>
        </w:rPr>
        <w:t>Section 8.02</w:t>
      </w:r>
      <w:r>
        <w:rPr>
          <w:rFonts w:ascii="Arial" w:cs="Arial" w:eastAsia="Arial" w:hAnsi="Arial"/>
          <w:sz w:val="19"/>
          <w:szCs w:val="19"/>
          <w:b w:val="1"/>
          <w:bCs w:val="1"/>
          <w:color w:val="auto"/>
        </w:rPr>
        <w:t xml:space="preserve"> </w:t>
      </w:r>
      <w:r>
        <w:rPr>
          <w:rFonts w:ascii="Arial" w:cs="Arial" w:eastAsia="Arial" w:hAnsi="Arial"/>
          <w:sz w:val="16"/>
          <w:szCs w:val="16"/>
          <w:color w:val="auto"/>
        </w:rPr>
        <w:t>(or after the Loans have automatically become</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immediately due and payable and the L/C Obligations have automatically been required to be Cash Collateralized as set forth in the proviso to </w:t>
      </w:r>
      <w:r>
        <w:rPr>
          <w:rFonts w:ascii="Arial" w:cs="Arial" w:eastAsia="Arial" w:hAnsi="Arial"/>
          <w:sz w:val="16"/>
          <w:szCs w:val="16"/>
          <w:u w:val="single" w:color="auto"/>
          <w:color w:val="auto"/>
        </w:rPr>
        <w:t>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8.02</w:t>
      </w:r>
      <w:r>
        <w:rPr>
          <w:rFonts w:ascii="Arial" w:cs="Arial" w:eastAsia="Arial" w:hAnsi="Arial"/>
          <w:sz w:val="18"/>
          <w:szCs w:val="18"/>
          <w:color w:val="auto"/>
        </w:rPr>
        <w:t>), any amounts received on account of the Secured Obligations shall be applied by the Administrative Agent in the following order:</w:t>
      </w:r>
    </w:p>
    <w:p>
      <w:pPr>
        <w:spacing w:after="0" w:line="238" w:lineRule="exact"/>
        <w:rPr>
          <w:sz w:val="20"/>
          <w:szCs w:val="20"/>
          <w:color w:val="auto"/>
        </w:rPr>
      </w:pPr>
    </w:p>
    <w:p>
      <w:pPr>
        <w:ind w:left="660" w:right="160" w:firstLine="644"/>
        <w:spacing w:after="0" w:line="264" w:lineRule="auto"/>
        <w:tabs>
          <w:tab w:leader="none" w:pos="1708" w:val="left"/>
        </w:tabs>
        <w:numPr>
          <w:ilvl w:val="0"/>
          <w:numId w:val="194"/>
        </w:numPr>
        <w:rPr>
          <w:rFonts w:ascii="Arial" w:cs="Arial" w:eastAsia="Arial" w:hAnsi="Arial"/>
          <w:sz w:val="20"/>
          <w:szCs w:val="20"/>
          <w:color w:val="auto"/>
        </w:rPr>
      </w:pPr>
      <w:r>
        <w:rPr>
          <w:rFonts w:ascii="Arial" w:cs="Arial" w:eastAsia="Arial" w:hAnsi="Arial"/>
          <w:sz w:val="18"/>
          <w:szCs w:val="18"/>
          <w:color w:val="auto"/>
        </w:rPr>
        <w:t xml:space="preserve">First, to payment of that portion of the Secured Obligations constituting fees, indemnities, expenses and other amounts (other than principal and interest, but including fees, charges and disbursements of counsel to the Administrative Agent and amounts payable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payable to the Administrative Agent and the Collateral Agent in their capacities as such;</w:t>
      </w:r>
    </w:p>
    <w:p>
      <w:pPr>
        <w:spacing w:after="0" w:line="196" w:lineRule="exact"/>
        <w:rPr>
          <w:rFonts w:ascii="Arial" w:cs="Arial" w:eastAsia="Arial" w:hAnsi="Arial"/>
          <w:sz w:val="20"/>
          <w:szCs w:val="20"/>
          <w:color w:val="auto"/>
        </w:rPr>
      </w:pPr>
    </w:p>
    <w:p>
      <w:pPr>
        <w:ind w:left="660" w:right="200" w:firstLine="644"/>
        <w:spacing w:after="0" w:line="265" w:lineRule="auto"/>
        <w:tabs>
          <w:tab w:leader="none" w:pos="1718" w:val="left"/>
        </w:tabs>
        <w:numPr>
          <w:ilvl w:val="0"/>
          <w:numId w:val="194"/>
        </w:numPr>
        <w:rPr>
          <w:rFonts w:ascii="Arial" w:cs="Arial" w:eastAsia="Arial" w:hAnsi="Arial"/>
          <w:sz w:val="20"/>
          <w:szCs w:val="20"/>
          <w:color w:val="auto"/>
        </w:rPr>
      </w:pPr>
      <w:r>
        <w:rPr>
          <w:rFonts w:ascii="Arial" w:cs="Arial" w:eastAsia="Arial" w:hAnsi="Arial"/>
          <w:sz w:val="18"/>
          <w:szCs w:val="18"/>
          <w:color w:val="auto"/>
        </w:rPr>
        <w:t xml:space="preserve">Second, to payment of that portion of the Secured Obligations constituting fees, indemnities and other amounts (other than principal, interest, commitment fees and Letter of Credit Fees) payable to the Lenders and the L/C Issuers (including fees, charges and disbursements of counsel payable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ratably among them in proportion to the amounts described in this clause (b) payable to them;</w:t>
      </w:r>
    </w:p>
    <w:p>
      <w:pPr>
        <w:spacing w:after="0" w:line="194" w:lineRule="exact"/>
        <w:rPr>
          <w:rFonts w:ascii="Arial" w:cs="Arial" w:eastAsia="Arial" w:hAnsi="Arial"/>
          <w:sz w:val="20"/>
          <w:szCs w:val="20"/>
          <w:color w:val="auto"/>
        </w:rPr>
      </w:pPr>
    </w:p>
    <w:p>
      <w:pPr>
        <w:ind w:left="660" w:right="360" w:firstLine="644"/>
        <w:spacing w:after="0" w:line="264" w:lineRule="auto"/>
        <w:tabs>
          <w:tab w:leader="none" w:pos="1704" w:val="left"/>
        </w:tabs>
        <w:numPr>
          <w:ilvl w:val="0"/>
          <w:numId w:val="194"/>
        </w:numPr>
        <w:rPr>
          <w:rFonts w:ascii="Arial" w:cs="Arial" w:eastAsia="Arial" w:hAnsi="Arial"/>
          <w:sz w:val="20"/>
          <w:szCs w:val="20"/>
          <w:color w:val="auto"/>
        </w:rPr>
      </w:pPr>
      <w:r>
        <w:rPr>
          <w:rFonts w:ascii="Arial" w:cs="Arial" w:eastAsia="Arial" w:hAnsi="Arial"/>
          <w:sz w:val="18"/>
          <w:szCs w:val="18"/>
          <w:color w:val="auto"/>
        </w:rPr>
        <w:t>Third, to payment of that portion of the Secured Obligations constituting accrued and unpaid commitment fees, Letter of Credit Fees and interest on the Loans, L/C Borrowings and other Obligations, ratably among the Lenders and the L/C Issuers in proportion to the respective amounts described in this clause (c) payable to them;</w:t>
      </w:r>
    </w:p>
    <w:p>
      <w:pPr>
        <w:spacing w:after="0" w:line="196" w:lineRule="exact"/>
        <w:rPr>
          <w:rFonts w:ascii="Arial" w:cs="Arial" w:eastAsia="Arial" w:hAnsi="Arial"/>
          <w:sz w:val="20"/>
          <w:szCs w:val="20"/>
          <w:color w:val="auto"/>
        </w:rPr>
      </w:pPr>
    </w:p>
    <w:p>
      <w:pPr>
        <w:ind w:left="660" w:firstLine="644"/>
        <w:spacing w:after="0" w:line="304" w:lineRule="auto"/>
        <w:tabs>
          <w:tab w:leader="none" w:pos="1718" w:val="left"/>
        </w:tabs>
        <w:numPr>
          <w:ilvl w:val="0"/>
          <w:numId w:val="194"/>
        </w:numPr>
        <w:rPr>
          <w:rFonts w:ascii="Arial" w:cs="Arial" w:eastAsia="Arial" w:hAnsi="Arial"/>
          <w:sz w:val="18"/>
          <w:szCs w:val="18"/>
          <w:color w:val="auto"/>
        </w:rPr>
      </w:pPr>
      <w:r>
        <w:rPr>
          <w:rFonts w:ascii="Arial" w:cs="Arial" w:eastAsia="Arial" w:hAnsi="Arial"/>
          <w:sz w:val="16"/>
          <w:szCs w:val="16"/>
          <w:color w:val="auto"/>
        </w:rPr>
        <w:t>Fourth, (i) to payment of that portion of the Secured Obligations constituting unpaid principal of the Loans and L/C Borrowings, (ii) to Cash Collateralize that portion of L/C Obligations comprised of the aggregate undrawn amount of Letters of Credit, (iii) to payment of amounts due under any Treasury Management Agreement between any Loan Party and any Secured Party and (iv) to payment of breakage, termination or other amounts owing in respect of any Swap Contract between any Loan Party and any Secured Party, to the extent such Swap Contract is permitted hereunder, ratably among the Secured Parties in proportion to the respective amounts described in this clause (d) held by them; and</w:t>
      </w:r>
    </w:p>
    <w:p>
      <w:pPr>
        <w:spacing w:after="0" w:line="169" w:lineRule="exact"/>
        <w:rPr>
          <w:rFonts w:ascii="Arial" w:cs="Arial" w:eastAsia="Arial" w:hAnsi="Arial"/>
          <w:sz w:val="18"/>
          <w:szCs w:val="18"/>
          <w:color w:val="auto"/>
        </w:rPr>
      </w:pPr>
    </w:p>
    <w:p>
      <w:pPr>
        <w:ind w:left="660" w:firstLine="644"/>
        <w:spacing w:after="0" w:line="303" w:lineRule="auto"/>
        <w:tabs>
          <w:tab w:leader="none" w:pos="1708" w:val="left"/>
        </w:tabs>
        <w:numPr>
          <w:ilvl w:val="0"/>
          <w:numId w:val="194"/>
        </w:numPr>
        <w:rPr>
          <w:rFonts w:ascii="Arial" w:cs="Arial" w:eastAsia="Arial" w:hAnsi="Arial"/>
          <w:sz w:val="18"/>
          <w:szCs w:val="18"/>
          <w:color w:val="auto"/>
        </w:rPr>
      </w:pPr>
      <w:r>
        <w:rPr>
          <w:rFonts w:ascii="Arial" w:cs="Arial" w:eastAsia="Arial" w:hAnsi="Arial"/>
          <w:sz w:val="16"/>
          <w:szCs w:val="16"/>
          <w:color w:val="auto"/>
        </w:rPr>
        <w:t xml:space="preserve">Last, the balance, if any, after all of the Secured Obligations have been paid in full, to the Borrowers or as otherwise required by Law.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amounts used to Cash Collateralize the aggregate undrawn amount of Letters of Credit pursuant to clause (d)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U.S. Borrower. Excluded Swap Obligations with respect to any Guarantor shall not be paid with amounts received from such Guarantor or its assets, but appropriate adjustments shall be made with respect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355"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payments from other Loan Parties to preserve the allocation to Secured Obligations otherwise set forth above in this Section.</w:t>
      </w:r>
    </w:p>
    <w:p>
      <w:pPr>
        <w:spacing w:after="0" w:line="217"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IX</w:t>
      </w:r>
    </w:p>
    <w:p>
      <w:pPr>
        <w:spacing w:after="0" w:line="24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ADMINISTRATIVE AGENT, CANADIAN AGENT, EUROPEAN AGENT AND COLLATERAL AGENT</w:t>
      </w:r>
    </w:p>
    <w:p>
      <w:pPr>
        <w:spacing w:after="0" w:line="22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9.01</w:t>
      </w:r>
      <w:r>
        <w:rPr>
          <w:sz w:val="20"/>
          <w:szCs w:val="20"/>
          <w:color w:val="auto"/>
        </w:rPr>
        <w:tab/>
      </w:r>
      <w:r>
        <w:rPr>
          <w:rFonts w:ascii="Arial" w:cs="Arial" w:eastAsia="Arial" w:hAnsi="Arial"/>
          <w:sz w:val="16"/>
          <w:szCs w:val="16"/>
          <w:b w:val="1"/>
          <w:bCs w:val="1"/>
          <w:u w:val="single" w:color="auto"/>
          <w:color w:val="auto"/>
        </w:rPr>
        <w:t>Appointment and Authority</w:t>
      </w:r>
      <w:r>
        <w:rPr>
          <w:rFonts w:ascii="Arial" w:cs="Arial" w:eastAsia="Arial" w:hAnsi="Arial"/>
          <w:sz w:val="16"/>
          <w:szCs w:val="16"/>
          <w:color w:val="auto"/>
        </w:rPr>
        <w:t>.</w:t>
      </w:r>
    </w:p>
    <w:p>
      <w:pPr>
        <w:spacing w:after="0" w:line="238" w:lineRule="exact"/>
        <w:rPr>
          <w:sz w:val="20"/>
          <w:szCs w:val="20"/>
          <w:color w:val="auto"/>
        </w:rPr>
      </w:pPr>
    </w:p>
    <w:p>
      <w:pPr>
        <w:ind w:right="40" w:firstLine="656"/>
        <w:spacing w:after="0" w:line="302" w:lineRule="auto"/>
        <w:tabs>
          <w:tab w:leader="none" w:pos="1048" w:val="left"/>
        </w:tabs>
        <w:numPr>
          <w:ilvl w:val="0"/>
          <w:numId w:val="195"/>
        </w:numPr>
        <w:rPr>
          <w:rFonts w:ascii="Arial" w:cs="Arial" w:eastAsia="Arial" w:hAnsi="Arial"/>
          <w:sz w:val="18"/>
          <w:szCs w:val="18"/>
          <w:color w:val="auto"/>
        </w:rPr>
      </w:pPr>
      <w:r>
        <w:rPr>
          <w:rFonts w:ascii="Arial" w:cs="Arial" w:eastAsia="Arial" w:hAnsi="Arial"/>
          <w:sz w:val="16"/>
          <w:szCs w:val="16"/>
          <w:color w:val="auto"/>
        </w:rPr>
        <w:t xml:space="preserve">Each of the Lenders and the L/C Issuers hereby irrevocably appoints (x) JPMCB to act on its behalf as the Administrative Agent and Collateral Agent hereunder and under the other Loan Documents, (y) JPMorgan Chase Bank, N.A., Toronto Branch to act on behalf of the Multicurrency Facility Lenders as the Canadian Agent hereunder and under the other Loan Documents and (z) J.P. Morgan Europe Limited to act on behalf of the Multicurrency Facility Lenders as the European Agent hereunder and under the other Loan Documents and authorizes the Administrative Agent, the Canadian Agent, the European Agent and Collateral Agent to take such actions on its behalf and to exercise such powers as are delegated to the Administrative Agent, the Canadian Agent, the European Agent and Collateral Agent by the terms hereof or thereof, together with such actions and powers as are reasonably incidental thereto. The provisions of this Article are solely for the benefit of the Administrative Agent, Canadian Agent, the European Agent, any other applicable Facility Agent and Collateral Agent, the Lenders and the L/C Issuers, and no Loan Party shall have rights as a third party beneficiary of any of such provisions, except for </w:t>
      </w:r>
      <w:r>
        <w:rPr>
          <w:rFonts w:ascii="Arial" w:cs="Arial" w:eastAsia="Arial" w:hAnsi="Arial"/>
          <w:sz w:val="16"/>
          <w:szCs w:val="16"/>
          <w:u w:val="single" w:color="auto"/>
          <w:color w:val="auto"/>
        </w:rPr>
        <w:t>Sections 9.06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9.10</w:t>
      </w:r>
      <w:r>
        <w:rPr>
          <w:rFonts w:ascii="Arial" w:cs="Arial" w:eastAsia="Arial" w:hAnsi="Arial"/>
          <w:sz w:val="16"/>
          <w:szCs w:val="16"/>
          <w:color w:val="auto"/>
        </w:rPr>
        <w:t xml:space="preserve"> (but solely to the extent explicitly set forth in </w:t>
      </w:r>
      <w:r>
        <w:rPr>
          <w:rFonts w:ascii="Arial" w:cs="Arial" w:eastAsia="Arial" w:hAnsi="Arial"/>
          <w:sz w:val="16"/>
          <w:szCs w:val="16"/>
          <w:u w:val="single" w:color="auto"/>
          <w:color w:val="auto"/>
        </w:rPr>
        <w:t>Sections 9.06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9.10</w:t>
      </w:r>
      <w:r>
        <w:rPr>
          <w:rFonts w:ascii="Arial" w:cs="Arial" w:eastAsia="Arial" w:hAnsi="Arial"/>
          <w:sz w:val="16"/>
          <w:szCs w:val="16"/>
          <w:color w:val="auto"/>
        </w:rPr>
        <w:t>).</w:t>
      </w:r>
    </w:p>
    <w:p>
      <w:pPr>
        <w:spacing w:after="0" w:line="168" w:lineRule="exact"/>
        <w:rPr>
          <w:rFonts w:ascii="Arial" w:cs="Arial" w:eastAsia="Arial" w:hAnsi="Arial"/>
          <w:sz w:val="18"/>
          <w:szCs w:val="18"/>
          <w:color w:val="auto"/>
        </w:rPr>
      </w:pPr>
    </w:p>
    <w:p>
      <w:pPr>
        <w:ind w:right="60" w:firstLine="656"/>
        <w:spacing w:after="0" w:line="282" w:lineRule="auto"/>
        <w:tabs>
          <w:tab w:leader="none" w:pos="1055" w:val="left"/>
        </w:tabs>
        <w:numPr>
          <w:ilvl w:val="0"/>
          <w:numId w:val="195"/>
        </w:numPr>
        <w:rPr>
          <w:rFonts w:ascii="Arial" w:cs="Arial" w:eastAsia="Arial" w:hAnsi="Arial"/>
          <w:sz w:val="19"/>
          <w:szCs w:val="19"/>
          <w:color w:val="auto"/>
        </w:rPr>
      </w:pPr>
      <w:r>
        <w:rPr>
          <w:rFonts w:ascii="Arial" w:cs="Arial" w:eastAsia="Arial" w:hAnsi="Arial"/>
          <w:sz w:val="17"/>
          <w:szCs w:val="17"/>
          <w:color w:val="auto"/>
        </w:rPr>
        <w:t xml:space="preserve">The Collateral Agent shall act as the “collateral agent” under the Loan Documents, and each of the Lenders (including in its capacities as a potential Hedge Bank or Treasury Management Bank) and each L/C Issuer hereby irrevocably appoints and authorizes the Collateral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Collateral Agent, as “collateral agent” and any co-agents, sub-agents and attorneys-in-fact appointed by the Administrative Agent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10.04(c)</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165" w:lineRule="exact"/>
        <w:rPr>
          <w:sz w:val="20"/>
          <w:szCs w:val="20"/>
          <w:color w:val="auto"/>
        </w:rPr>
      </w:pPr>
    </w:p>
    <w:p>
      <w:pPr>
        <w:ind w:right="20" w:firstLine="648"/>
        <w:spacing w:after="0" w:line="278" w:lineRule="auto"/>
        <w:rPr>
          <w:sz w:val="20"/>
          <w:szCs w:val="20"/>
          <w:color w:val="auto"/>
        </w:rPr>
      </w:pPr>
      <w:r>
        <w:rPr>
          <w:rFonts w:ascii="Arial" w:cs="Arial" w:eastAsia="Arial" w:hAnsi="Arial"/>
          <w:sz w:val="20"/>
          <w:szCs w:val="20"/>
          <w:b w:val="1"/>
          <w:bCs w:val="1"/>
          <w:color w:val="auto"/>
        </w:rPr>
        <w:t xml:space="preserve">9.02 </w:t>
      </w:r>
      <w:r>
        <w:rPr>
          <w:rFonts w:ascii="Arial" w:cs="Arial" w:eastAsia="Arial" w:hAnsi="Arial"/>
          <w:sz w:val="17"/>
          <w:szCs w:val="17"/>
          <w:b w:val="1"/>
          <w:bCs w:val="1"/>
          <w:u w:val="single" w:color="auto"/>
          <w:color w:val="auto"/>
        </w:rPr>
        <w:t>Rights as a Lender</w:t>
      </w:r>
      <w:r>
        <w:rPr>
          <w:rFonts w:ascii="Arial" w:cs="Arial" w:eastAsia="Arial" w:hAnsi="Arial"/>
          <w:sz w:val="17"/>
          <w:szCs w:val="17"/>
          <w:color w:val="auto"/>
        </w:rPr>
        <w:t>. The Persons serving as the Administrative Agent, the Canadian Agent, the European Agent, any other applicable</w:t>
      </w:r>
      <w:r>
        <w:rPr>
          <w:rFonts w:ascii="Arial" w:cs="Arial" w:eastAsia="Arial" w:hAnsi="Arial"/>
          <w:sz w:val="20"/>
          <w:szCs w:val="20"/>
          <w:b w:val="1"/>
          <w:bCs w:val="1"/>
          <w:color w:val="auto"/>
        </w:rPr>
        <w:t xml:space="preserve"> </w:t>
      </w:r>
      <w:r>
        <w:rPr>
          <w:rFonts w:ascii="Arial" w:cs="Arial" w:eastAsia="Arial" w:hAnsi="Arial"/>
          <w:sz w:val="17"/>
          <w:szCs w:val="17"/>
          <w:color w:val="auto"/>
        </w:rPr>
        <w:t>Facility Agent and Collateral Agent hereunder shall have the same rights and powers in its capacity as a Lender as any other Lender and may exercise the same as though they were not the Administrative Agent, the Canadian Agent, the European Agent, any other applicable Facility Agent and/or the Collateral Agent and the term “Lender” or “Lenders” shall, unless otherwise expressly indicated or unless the context otherwise requires, include the Person serving as the Administrative Agent, Canadian Agent, European Agent, any other applicable Facility Agent and/or Collateral Agent hereunder in its individual capacity. Such Person and its Affiliates may accept deposits from, lend money to, act as the financial advisor or in any other advisory capacity for and generally engage in any kind of business with the U.S. Borrower or any Subsidiary or other Affiliate thereof as if such Person were not the Administrative Agent, Canadian Agent, European Agent any other applicable Facility Agent and/or Collateral Agent hereunder and without any duty to account therefor to the Lenders.</w:t>
      </w:r>
    </w:p>
    <w:p>
      <w:pPr>
        <w:spacing w:after="0" w:line="164" w:lineRule="exact"/>
        <w:rPr>
          <w:sz w:val="20"/>
          <w:szCs w:val="20"/>
          <w:color w:val="auto"/>
        </w:rPr>
      </w:pPr>
    </w:p>
    <w:p>
      <w:pPr>
        <w:ind w:right="500" w:firstLine="648"/>
        <w:spacing w:after="0" w:line="262" w:lineRule="auto"/>
        <w:rPr>
          <w:sz w:val="20"/>
          <w:szCs w:val="20"/>
          <w:color w:val="auto"/>
        </w:rPr>
      </w:pPr>
      <w:r>
        <w:rPr>
          <w:rFonts w:ascii="Arial" w:cs="Arial" w:eastAsia="Arial" w:hAnsi="Arial"/>
          <w:sz w:val="20"/>
          <w:szCs w:val="20"/>
          <w:b w:val="1"/>
          <w:bCs w:val="1"/>
          <w:color w:val="auto"/>
        </w:rPr>
        <w:t xml:space="preserve">9.03 </w:t>
      </w:r>
      <w:r>
        <w:rPr>
          <w:rFonts w:ascii="Arial" w:cs="Arial" w:eastAsia="Arial" w:hAnsi="Arial"/>
          <w:sz w:val="17"/>
          <w:szCs w:val="17"/>
          <w:b w:val="1"/>
          <w:bCs w:val="1"/>
          <w:u w:val="single" w:color="auto"/>
          <w:color w:val="auto"/>
        </w:rPr>
        <w:t>Exculpatory Provisions</w:t>
      </w:r>
      <w:r>
        <w:rPr>
          <w:rFonts w:ascii="Arial" w:cs="Arial" w:eastAsia="Arial" w:hAnsi="Arial"/>
          <w:sz w:val="17"/>
          <w:szCs w:val="17"/>
          <w:color w:val="auto"/>
        </w:rPr>
        <w:t>. No Agent shall have any duties or obligations except those expressly set forth herein and in the other Loan</w:t>
      </w:r>
      <w:r>
        <w:rPr>
          <w:rFonts w:ascii="Arial" w:cs="Arial" w:eastAsia="Arial" w:hAnsi="Arial"/>
          <w:sz w:val="20"/>
          <w:szCs w:val="20"/>
          <w:b w:val="1"/>
          <w:bCs w:val="1"/>
          <w:color w:val="auto"/>
        </w:rPr>
        <w:t xml:space="preserve"> </w:t>
      </w:r>
      <w:r>
        <w:rPr>
          <w:rFonts w:ascii="Arial" w:cs="Arial" w:eastAsia="Arial" w:hAnsi="Arial"/>
          <w:sz w:val="17"/>
          <w:szCs w:val="17"/>
          <w:color w:val="auto"/>
        </w:rPr>
        <w:t>Documents. Without limiting the generality of the foregoing, the Agents:</w:t>
      </w:r>
    </w:p>
    <w:p>
      <w:pPr>
        <w:spacing w:after="0" w:line="195" w:lineRule="exact"/>
        <w:rPr>
          <w:sz w:val="20"/>
          <w:szCs w:val="20"/>
          <w:color w:val="auto"/>
        </w:rPr>
      </w:pPr>
    </w:p>
    <w:p>
      <w:pPr>
        <w:ind w:left="1700" w:hanging="396"/>
        <w:spacing w:after="0"/>
        <w:tabs>
          <w:tab w:leader="none" w:pos="1700" w:val="left"/>
        </w:tabs>
        <w:numPr>
          <w:ilvl w:val="0"/>
          <w:numId w:val="196"/>
        </w:numPr>
        <w:rPr>
          <w:rFonts w:ascii="Arial" w:cs="Arial" w:eastAsia="Arial" w:hAnsi="Arial"/>
          <w:sz w:val="19"/>
          <w:szCs w:val="19"/>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27" w:lineRule="exact"/>
        <w:rPr>
          <w:rFonts w:ascii="Arial" w:cs="Arial" w:eastAsia="Arial" w:hAnsi="Arial"/>
          <w:sz w:val="19"/>
          <w:szCs w:val="19"/>
          <w:color w:val="auto"/>
        </w:rPr>
      </w:pPr>
    </w:p>
    <w:p>
      <w:pPr>
        <w:ind w:left="660" w:firstLine="644"/>
        <w:spacing w:after="0" w:line="264" w:lineRule="auto"/>
        <w:tabs>
          <w:tab w:leader="none" w:pos="1718" w:val="left"/>
        </w:tabs>
        <w:numPr>
          <w:ilvl w:val="0"/>
          <w:numId w:val="196"/>
        </w:numPr>
        <w:rPr>
          <w:rFonts w:ascii="Arial" w:cs="Arial" w:eastAsia="Arial" w:hAnsi="Arial"/>
          <w:sz w:val="20"/>
          <w:szCs w:val="20"/>
          <w:color w:val="auto"/>
        </w:rPr>
      </w:pPr>
      <w:r>
        <w:rPr>
          <w:rFonts w:ascii="Arial" w:cs="Arial" w:eastAsia="Arial" w:hAnsi="Arial"/>
          <w:sz w:val="18"/>
          <w:szCs w:val="18"/>
          <w:color w:val="auto"/>
        </w:rPr>
        <w:t>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341" w:right="339" w:bottom="1440" w:gutter="0" w:footer="0" w:header="0"/>
        </w:sectPr>
      </w:pPr>
    </w:p>
    <w:bookmarkStart w:id="197" w:name="page198"/>
    <w:bookmarkEnd w:id="197"/>
    <w:p>
      <w:pPr>
        <w:ind w:right="260"/>
        <w:spacing w:after="0" w:line="263" w:lineRule="auto"/>
        <w:rPr>
          <w:sz w:val="20"/>
          <w:szCs w:val="20"/>
          <w:color w:val="auto"/>
        </w:rPr>
      </w:pPr>
      <w:r>
        <w:rPr>
          <w:rFonts w:ascii="Arial" w:cs="Arial" w:eastAsia="Arial" w:hAnsi="Arial"/>
          <w:sz w:val="18"/>
          <w:szCs w:val="18"/>
          <w:color w:val="auto"/>
        </w:rPr>
        <w:t xml:space="preserve">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the Agent shall not be required to take any action that, in its opinion or the opinion of its counsel, may expose such Agent to liability or that is contrary to any Loan Document or applicable Law; and</w:t>
      </w:r>
    </w:p>
    <w:p>
      <w:pPr>
        <w:spacing w:after="0" w:line="197" w:lineRule="exact"/>
        <w:rPr>
          <w:sz w:val="20"/>
          <w:szCs w:val="20"/>
          <w:color w:val="auto"/>
        </w:rPr>
      </w:pPr>
    </w:p>
    <w:p>
      <w:pPr>
        <w:ind w:left="660" w:right="20" w:firstLine="644"/>
        <w:spacing w:after="0" w:line="264" w:lineRule="auto"/>
        <w:tabs>
          <w:tab w:leader="none" w:pos="1708" w:val="left"/>
        </w:tabs>
        <w:numPr>
          <w:ilvl w:val="0"/>
          <w:numId w:val="197"/>
        </w:numPr>
        <w:rPr>
          <w:rFonts w:ascii="Arial" w:cs="Arial" w:eastAsia="Arial" w:hAnsi="Arial"/>
          <w:sz w:val="20"/>
          <w:szCs w:val="20"/>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U.S. Borrower or any of their Affiliates that is communicated to or obtained by the Person serving as an Agent or any of its Affiliates in any capacity.</w:t>
      </w:r>
    </w:p>
    <w:p>
      <w:pPr>
        <w:spacing w:after="0" w:line="18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No Agent shall be liable for any action taken or not taken by it (i) with the consent or at the request of the Required Lenders (or such other number or percentage of the Lenders as shall be necessary, or as such Agent shall believe in good faith shall be necessary, under the circumstances as provided in </w:t>
      </w:r>
      <w:r>
        <w:rPr>
          <w:rFonts w:ascii="Arial" w:cs="Arial" w:eastAsia="Arial" w:hAnsi="Arial"/>
          <w:sz w:val="17"/>
          <w:szCs w:val="17"/>
          <w:u w:val="single" w:color="auto"/>
          <w:color w:val="auto"/>
        </w:rPr>
        <w:t>Sections 10.01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8.02</w:t>
      </w:r>
      <w:r>
        <w:rPr>
          <w:rFonts w:ascii="Arial" w:cs="Arial" w:eastAsia="Arial" w:hAnsi="Arial"/>
          <w:sz w:val="17"/>
          <w:szCs w:val="17"/>
          <w:color w:val="auto"/>
        </w:rPr>
        <w:t>) or (ii) in the absence of its own gross negligence or willful misconduct. No Agent shall be deemed to have knowledge of any Default unless and until notice describing such Default is given to such Agent by the U.S. Borrower, a Lender or an L/C Issuer.</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No Agent shall be responsible to the Lenders, the L/C Issuers or any of their respective Related Parties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such Agent.</w:t>
      </w:r>
    </w:p>
    <w:p>
      <w:pPr>
        <w:spacing w:after="0" w:line="156" w:lineRule="exact"/>
        <w:rPr>
          <w:sz w:val="20"/>
          <w:szCs w:val="20"/>
          <w:color w:val="auto"/>
        </w:rPr>
      </w:pPr>
    </w:p>
    <w:p>
      <w:pPr>
        <w:ind w:firstLine="648"/>
        <w:spacing w:after="0" w:line="278" w:lineRule="auto"/>
        <w:rPr>
          <w:sz w:val="20"/>
          <w:szCs w:val="20"/>
          <w:color w:val="auto"/>
        </w:rPr>
      </w:pPr>
      <w:r>
        <w:rPr>
          <w:rFonts w:ascii="Arial" w:cs="Arial" w:eastAsia="Arial" w:hAnsi="Arial"/>
          <w:sz w:val="20"/>
          <w:szCs w:val="20"/>
          <w:b w:val="1"/>
          <w:bCs w:val="1"/>
          <w:color w:val="auto"/>
        </w:rPr>
        <w:t xml:space="preserve">9.04 </w:t>
      </w:r>
      <w:r>
        <w:rPr>
          <w:rFonts w:ascii="Arial" w:cs="Arial" w:eastAsia="Arial" w:hAnsi="Arial"/>
          <w:sz w:val="17"/>
          <w:szCs w:val="17"/>
          <w:b w:val="1"/>
          <w:bCs w:val="1"/>
          <w:u w:val="single" w:color="auto"/>
          <w:color w:val="auto"/>
        </w:rPr>
        <w:t>Reliance by Agents</w:t>
      </w:r>
      <w:r>
        <w:rPr>
          <w:rFonts w:ascii="Arial" w:cs="Arial" w:eastAsia="Arial" w:hAnsi="Arial"/>
          <w:sz w:val="17"/>
          <w:szCs w:val="17"/>
          <w:color w:val="auto"/>
        </w:rPr>
        <w:t>. Each Agent shall be entitled to rely upon, and shall not incur any liability for relying upon, any notice, request,</w:t>
      </w:r>
      <w:r>
        <w:rPr>
          <w:rFonts w:ascii="Arial" w:cs="Arial" w:eastAsia="Arial" w:hAnsi="Arial"/>
          <w:sz w:val="20"/>
          <w:szCs w:val="20"/>
          <w:b w:val="1"/>
          <w:bCs w:val="1"/>
          <w:color w:val="auto"/>
        </w:rPr>
        <w:t xml:space="preserve"> </w:t>
      </w:r>
      <w:r>
        <w:rPr>
          <w:rFonts w:ascii="Arial" w:cs="Arial" w:eastAsia="Arial" w:hAnsi="Arial"/>
          <w:sz w:val="17"/>
          <w:szCs w:val="17"/>
          <w:color w:val="auto"/>
        </w:rPr>
        <w:t>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each Agent may presume that such condition is satisfactory to such Lender or such L/C Issuer unless such Agent shall have received notice to the contrary from such Lender or such L/C Issuer prior to the making of such Loan or the issuance of such Letter of Credit. Each Agent may consult with legal counsel (who may be counsel for the U.S. Borrower), independent accountants and other experts selected by it, and shall not be liable to the Lenders, the L/C Issuers or any of their respective Related Parties for any action taken or not taken by it in accordance with the advice of any such counsel, accountants or experts.</w:t>
      </w:r>
    </w:p>
    <w:p>
      <w:pPr>
        <w:spacing w:after="0" w:line="167" w:lineRule="exact"/>
        <w:rPr>
          <w:sz w:val="20"/>
          <w:szCs w:val="20"/>
          <w:color w:val="auto"/>
        </w:rPr>
      </w:pPr>
    </w:p>
    <w:p>
      <w:pPr>
        <w:ind w:right="100" w:firstLine="648"/>
        <w:spacing w:after="0" w:line="274" w:lineRule="auto"/>
        <w:rPr>
          <w:sz w:val="20"/>
          <w:szCs w:val="20"/>
          <w:color w:val="auto"/>
        </w:rPr>
      </w:pPr>
      <w:r>
        <w:rPr>
          <w:rFonts w:ascii="Arial" w:cs="Arial" w:eastAsia="Arial" w:hAnsi="Arial"/>
          <w:sz w:val="20"/>
          <w:szCs w:val="20"/>
          <w:b w:val="1"/>
          <w:bCs w:val="1"/>
          <w:color w:val="auto"/>
        </w:rPr>
        <w:t xml:space="preserve">9.05 </w:t>
      </w:r>
      <w:r>
        <w:rPr>
          <w:rFonts w:ascii="Arial" w:cs="Arial" w:eastAsia="Arial" w:hAnsi="Arial"/>
          <w:sz w:val="17"/>
          <w:szCs w:val="17"/>
          <w:b w:val="1"/>
          <w:bCs w:val="1"/>
          <w:u w:val="single" w:color="auto"/>
          <w:color w:val="auto"/>
        </w:rPr>
        <w:t>Delegation of Duties</w:t>
      </w:r>
      <w:r>
        <w:rPr>
          <w:rFonts w:ascii="Arial" w:cs="Arial" w:eastAsia="Arial" w:hAnsi="Arial"/>
          <w:sz w:val="17"/>
          <w:szCs w:val="17"/>
          <w:color w:val="auto"/>
        </w:rPr>
        <w:t>. Each Agent may perform any and all of its duties and exercise its rights and powers hereunder or under any other</w:t>
      </w:r>
      <w:r>
        <w:rPr>
          <w:rFonts w:ascii="Arial" w:cs="Arial" w:eastAsia="Arial" w:hAnsi="Arial"/>
          <w:sz w:val="20"/>
          <w:szCs w:val="20"/>
          <w:b w:val="1"/>
          <w:bCs w:val="1"/>
          <w:color w:val="auto"/>
        </w:rPr>
        <w:t xml:space="preserve"> </w:t>
      </w:r>
      <w:r>
        <w:rPr>
          <w:rFonts w:ascii="Arial" w:cs="Arial" w:eastAsia="Arial" w:hAnsi="Arial"/>
          <w:sz w:val="17"/>
          <w:szCs w:val="17"/>
          <w:color w:val="auto"/>
        </w:rPr>
        <w:t>Loan Document by or through any one or more sub-agents appointed by the applicable Facility Agent. The applicable Facility Agent and any such sub-agent may perform any and all of its duties and exercise its rights and powers by or through their respective Related Parties. The exculpatory provisions of this Article shall apply to any such sub-agent and to the Related Parties of each Agent and any such sub-agent, and shall apply to their respective activities in connection with the syndication of the credit facilities provided for herein as well as activities as the Agents.</w:t>
      </w:r>
    </w:p>
    <w:p>
      <w:pPr>
        <w:spacing w:after="0" w:line="169" w:lineRule="exact"/>
        <w:rPr>
          <w:sz w:val="20"/>
          <w:szCs w:val="20"/>
          <w:color w:val="auto"/>
        </w:rPr>
      </w:pPr>
    </w:p>
    <w:p>
      <w:pPr>
        <w:ind w:right="100" w:firstLine="648"/>
        <w:spacing w:after="0" w:line="276" w:lineRule="auto"/>
        <w:rPr>
          <w:sz w:val="20"/>
          <w:szCs w:val="20"/>
          <w:color w:val="auto"/>
        </w:rPr>
      </w:pPr>
      <w:r>
        <w:rPr>
          <w:rFonts w:ascii="Arial" w:cs="Arial" w:eastAsia="Arial" w:hAnsi="Arial"/>
          <w:sz w:val="20"/>
          <w:szCs w:val="20"/>
          <w:b w:val="1"/>
          <w:bCs w:val="1"/>
          <w:color w:val="auto"/>
        </w:rPr>
        <w:t xml:space="preserve">9.06 </w:t>
      </w:r>
      <w:r>
        <w:rPr>
          <w:rFonts w:ascii="Arial" w:cs="Arial" w:eastAsia="Arial" w:hAnsi="Arial"/>
          <w:sz w:val="17"/>
          <w:szCs w:val="17"/>
          <w:b w:val="1"/>
          <w:bCs w:val="1"/>
          <w:u w:val="single" w:color="auto"/>
          <w:color w:val="auto"/>
        </w:rPr>
        <w:t>Resignation of Agent</w:t>
      </w:r>
      <w:r>
        <w:rPr>
          <w:rFonts w:ascii="Arial" w:cs="Arial" w:eastAsia="Arial" w:hAnsi="Arial"/>
          <w:sz w:val="17"/>
          <w:szCs w:val="17"/>
          <w:color w:val="auto"/>
        </w:rPr>
        <w:t>. Each Agent may at any time give notice of its resignation to the Lenders, the L/C Issuers and the Borrowers. Upon</w:t>
      </w:r>
      <w:r>
        <w:rPr>
          <w:rFonts w:ascii="Arial" w:cs="Arial" w:eastAsia="Arial" w:hAnsi="Arial"/>
          <w:sz w:val="20"/>
          <w:szCs w:val="20"/>
          <w:b w:val="1"/>
          <w:bCs w:val="1"/>
          <w:color w:val="auto"/>
        </w:rPr>
        <w:t xml:space="preserve"> </w:t>
      </w:r>
      <w:r>
        <w:rPr>
          <w:rFonts w:ascii="Arial" w:cs="Arial" w:eastAsia="Arial" w:hAnsi="Arial"/>
          <w:sz w:val="17"/>
          <w:szCs w:val="17"/>
          <w:color w:val="auto"/>
        </w:rPr>
        <w:t>receipt of any such notice of resignation, the Required Lenders shall have the right, with the consent of the U.S. Borrower so long as no Event of Default has occurred and is continuing, to appoint a successor, which shall be a “bank” or other “financial institution” with an office in the United States, or an Affiliate of any such bank or other financial institution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L/C</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341" w:right="339" w:bottom="1440" w:gutter="0" w:footer="0" w:header="0"/>
        </w:sectPr>
      </w:pPr>
    </w:p>
    <w:bookmarkStart w:id="198" w:name="page199"/>
    <w:bookmarkEnd w:id="198"/>
    <w:p>
      <w:pPr>
        <w:spacing w:after="0" w:line="286" w:lineRule="auto"/>
        <w:rPr>
          <w:sz w:val="20"/>
          <w:szCs w:val="20"/>
          <w:color w:val="auto"/>
        </w:rPr>
      </w:pPr>
      <w:r>
        <w:rPr>
          <w:rFonts w:ascii="Arial" w:cs="Arial" w:eastAsia="Arial" w:hAnsi="Arial"/>
          <w:sz w:val="16"/>
          <w:szCs w:val="16"/>
          <w:color w:val="auto"/>
        </w:rPr>
        <w:t xml:space="preserve">Issuers, appoint a successor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Agent shall notify the Borrowers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security held by the Collateral Agent on behalf of the Lenders or the L/C Issuers under any of the Loan Documents, the retiring Collateral Agent shall continue to hold such collateral security until such time as a successor Collateral Agent is appointed) and (2) all payments, communications and determinations provided to be made by, to or through the Agent shall instead be made by or to each Lender and each L/C Issuer directly, until such time as the Required Lenders appoint a successor Agent as provided for above in this Section.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U.S. Borrower to a successor Agent shall be the same as those payable to its predecessor unless otherwise agreed between the U.S. Borrower and such successor. After the retiring Agent’s resignation hereunder and under the other Loan Documents, the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Agent, its sub-agents and their respective Related Parties in respect of any actions taken or omitted to be taken by any of them while the retiring Agent was acting as Agent.</w:t>
      </w:r>
    </w:p>
    <w:p>
      <w:pPr>
        <w:spacing w:after="0" w:line="174" w:lineRule="exact"/>
        <w:rPr>
          <w:sz w:val="20"/>
          <w:szCs w:val="20"/>
          <w:color w:val="auto"/>
        </w:rPr>
      </w:pPr>
    </w:p>
    <w:p>
      <w:pPr>
        <w:ind w:right="100" w:firstLine="648"/>
        <w:spacing w:after="0" w:line="267" w:lineRule="auto"/>
        <w:rPr>
          <w:sz w:val="20"/>
          <w:szCs w:val="20"/>
          <w:color w:val="auto"/>
        </w:rPr>
      </w:pPr>
      <w:r>
        <w:rPr>
          <w:rFonts w:ascii="Arial" w:cs="Arial" w:eastAsia="Arial" w:hAnsi="Arial"/>
          <w:sz w:val="17"/>
          <w:szCs w:val="17"/>
          <w:color w:val="auto"/>
        </w:rPr>
        <w:t>Any resignation by JPMCN, JPMorgan Chase Bank, N.A., Toronto Branch or J.P. Morgan Europe Limited, as Administrative Agent, Canadian Agent or European Agent pursuant to this section shall also constitute its resignation as L/C Issuer and Swing Line Lender. Upon the acceptance of a successor’s appointment as Administrative Agent, Canadian Agent or European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the successor L/C Issuer shall issue letters of credit in substitution for the Letters of Credit, if any, outstaoding at the time of such succession or make other arrangements satisfactory to the retiring L/C Issuer to effectively assume the obligations of the retiring L/C Issuer with respect to such Letters of Credit. Any resignation by JPMCB as Administrative Agent pursuant to this section shall also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constitute the resignation of JPMorgan Chase Bank, N.A., Toronto Branch as Canadian Agent and J.P. Morgan Europe Limited as European Agent.</w:t>
      </w:r>
    </w:p>
    <w:p>
      <w:pPr>
        <w:spacing w:after="0" w:line="214" w:lineRule="exact"/>
        <w:rPr>
          <w:sz w:val="20"/>
          <w:szCs w:val="20"/>
          <w:color w:val="auto"/>
        </w:rPr>
      </w:pPr>
    </w:p>
    <w:p>
      <w:pPr>
        <w:ind w:firstLine="648"/>
        <w:spacing w:after="0" w:line="276" w:lineRule="auto"/>
        <w:rPr>
          <w:sz w:val="20"/>
          <w:szCs w:val="20"/>
          <w:color w:val="auto"/>
        </w:rPr>
      </w:pPr>
      <w:r>
        <w:rPr>
          <w:rFonts w:ascii="Arial" w:cs="Arial" w:eastAsia="Arial" w:hAnsi="Arial"/>
          <w:sz w:val="20"/>
          <w:szCs w:val="20"/>
          <w:b w:val="1"/>
          <w:bCs w:val="1"/>
          <w:color w:val="auto"/>
        </w:rPr>
        <w:t xml:space="preserve">9.07 </w:t>
      </w:r>
      <w:r>
        <w:rPr>
          <w:rFonts w:ascii="Arial" w:cs="Arial" w:eastAsia="Arial" w:hAnsi="Arial"/>
          <w:sz w:val="17"/>
          <w:szCs w:val="17"/>
          <w:b w:val="1"/>
          <w:bCs w:val="1"/>
          <w:u w:val="single" w:color="auto"/>
          <w:color w:val="auto"/>
        </w:rPr>
        <w:t>Non-Reliance on Agent and Other Lenders</w:t>
      </w:r>
      <w:r>
        <w:rPr>
          <w:rFonts w:ascii="Arial" w:cs="Arial" w:eastAsia="Arial" w:hAnsi="Arial"/>
          <w:sz w:val="17"/>
          <w:szCs w:val="17"/>
          <w:color w:val="auto"/>
        </w:rPr>
        <w:t>. Each Lender and each L/C Issuer acknowledges that it has, independently and without</w:t>
      </w:r>
      <w:r>
        <w:rPr>
          <w:rFonts w:ascii="Arial" w:cs="Arial" w:eastAsia="Arial" w:hAnsi="Arial"/>
          <w:sz w:val="20"/>
          <w:szCs w:val="20"/>
          <w:b w:val="1"/>
          <w:bCs w:val="1"/>
          <w:color w:val="auto"/>
        </w:rPr>
        <w:t xml:space="preserve"> </w:t>
      </w:r>
      <w:r>
        <w:rPr>
          <w:rFonts w:ascii="Arial" w:cs="Arial" w:eastAsia="Arial" w:hAnsi="Arial"/>
          <w:sz w:val="17"/>
          <w:szCs w:val="17"/>
          <w:color w:val="auto"/>
        </w:rPr>
        <w:t>reliance upon any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ind w:right="40" w:firstLine="648"/>
        <w:spacing w:after="0" w:line="272" w:lineRule="auto"/>
        <w:rPr>
          <w:sz w:val="20"/>
          <w:szCs w:val="20"/>
          <w:color w:val="auto"/>
        </w:rPr>
      </w:pPr>
      <w:r>
        <w:rPr>
          <w:rFonts w:ascii="Arial" w:cs="Arial" w:eastAsia="Arial" w:hAnsi="Arial"/>
          <w:sz w:val="20"/>
          <w:szCs w:val="20"/>
          <w:b w:val="1"/>
          <w:bCs w:val="1"/>
          <w:color w:val="auto"/>
        </w:rPr>
        <w:t xml:space="preserve">9.08 </w:t>
      </w:r>
      <w:r>
        <w:rPr>
          <w:rFonts w:ascii="Arial" w:cs="Arial" w:eastAsia="Arial" w:hAnsi="Arial"/>
          <w:sz w:val="17"/>
          <w:szCs w:val="17"/>
          <w:b w:val="1"/>
          <w:bCs w:val="1"/>
          <w:u w:val="single" w:color="auto"/>
          <w:color w:val="auto"/>
        </w:rPr>
        <w:t>No Other Duties, Etc.</w:t>
      </w:r>
      <w:r>
        <w:rPr>
          <w:rFonts w:ascii="Arial" w:cs="Arial" w:eastAsia="Arial" w:hAnsi="Arial"/>
          <w:sz w:val="20"/>
          <w:szCs w:val="20"/>
          <w:b w:val="1"/>
          <w:bCs w:val="1"/>
          <w:color w:val="auto"/>
        </w:rPr>
        <w:t xml:space="preserve"> </w:t>
      </w:r>
      <w:r>
        <w:rPr>
          <w:rFonts w:ascii="Arial" w:cs="Arial" w:eastAsia="Arial" w:hAnsi="Arial"/>
          <w:sz w:val="17"/>
          <w:szCs w:val="17"/>
          <w:color w:val="auto"/>
        </w:rPr>
        <w:t>Anything herein to the contrary notwithstanding, none of the Administrative Agent, Canadian Agent, the European</w:t>
      </w:r>
      <w:r>
        <w:rPr>
          <w:rFonts w:ascii="Arial" w:cs="Arial" w:eastAsia="Arial" w:hAnsi="Arial"/>
          <w:sz w:val="20"/>
          <w:szCs w:val="20"/>
          <w:b w:val="1"/>
          <w:bCs w:val="1"/>
          <w:color w:val="auto"/>
        </w:rPr>
        <w:t xml:space="preserve"> </w:t>
      </w:r>
      <w:r>
        <w:rPr>
          <w:rFonts w:ascii="Arial" w:cs="Arial" w:eastAsia="Arial" w:hAnsi="Arial"/>
          <w:sz w:val="17"/>
          <w:szCs w:val="17"/>
          <w:color w:val="auto"/>
        </w:rPr>
        <w:t>Agent, any other applicable Facility Agent, Collateral Agent, Swing Line Lender, L/C Issuer, Syndication Agent, Co-Documentation Agent and Arrangers listed on the cover page hereof shall have any powers, duties or responsibilities under this Agreement or any of the other Loan Documents, except in its capacity, as applicable, as an Agent, a Lender, a Swing Line Lender or an L/C Issuer hereunder.</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20"/>
          <w:szCs w:val="20"/>
          <w:b w:val="1"/>
          <w:bCs w:val="1"/>
          <w:color w:val="auto"/>
        </w:rPr>
        <w:t xml:space="preserve">9.09 </w:t>
      </w:r>
      <w:r>
        <w:rPr>
          <w:rFonts w:ascii="Arial" w:cs="Arial" w:eastAsia="Arial" w:hAnsi="Arial"/>
          <w:sz w:val="17"/>
          <w:szCs w:val="17"/>
          <w:b w:val="1"/>
          <w:bCs w:val="1"/>
          <w:u w:val="single" w:color="auto"/>
          <w:color w:val="auto"/>
        </w:rPr>
        <w:t>Agent May File Proofs of Claim</w:t>
      </w:r>
      <w:r>
        <w:rPr>
          <w:rFonts w:ascii="Arial" w:cs="Arial" w:eastAsia="Arial" w:hAnsi="Arial"/>
          <w:sz w:val="17"/>
          <w:szCs w:val="17"/>
          <w:color w:val="auto"/>
        </w:rPr>
        <w:t>. In case of the pendency of any receivership, insolvency, liquidation, bankruptcy, reorganization,</w:t>
      </w:r>
      <w:r>
        <w:rPr>
          <w:rFonts w:ascii="Arial" w:cs="Arial" w:eastAsia="Arial" w:hAnsi="Arial"/>
          <w:sz w:val="20"/>
          <w:szCs w:val="20"/>
          <w:b w:val="1"/>
          <w:bCs w:val="1"/>
          <w:color w:val="auto"/>
        </w:rPr>
        <w:t xml:space="preserve"> </w:t>
      </w:r>
      <w:r>
        <w:rPr>
          <w:rFonts w:ascii="Arial" w:cs="Arial" w:eastAsia="Arial" w:hAnsi="Arial"/>
          <w:sz w:val="17"/>
          <w:szCs w:val="17"/>
          <w:color w:val="auto"/>
        </w:rPr>
        <w:t>arrangement, adjustment, composition or other judicial proceeding relative to any Loan Party, any Agent (irrespective of whether the principal of any Loan or L/C Obligation shall then be due and payable as herein expressed or by declaration or otherwise and irrespective of whether such Agent shall have made any demand on any Loan Party) shall be entitled and empowered, by intervention in such proceeding or otherwise</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557" w:right="379" w:bottom="1440" w:gutter="0" w:footer="0" w:header="0"/>
        </w:sectPr>
      </w:pPr>
    </w:p>
    <w:bookmarkStart w:id="199" w:name="page200"/>
    <w:bookmarkEnd w:id="199"/>
    <w:p>
      <w:pPr>
        <w:ind w:left="660" w:firstLine="644"/>
        <w:spacing w:after="0" w:line="283" w:lineRule="auto"/>
        <w:tabs>
          <w:tab w:leader="none" w:pos="1708" w:val="left"/>
        </w:tabs>
        <w:numPr>
          <w:ilvl w:val="0"/>
          <w:numId w:val="198"/>
        </w:numPr>
        <w:rPr>
          <w:rFonts w:ascii="Arial" w:cs="Arial" w:eastAsia="Arial" w:hAnsi="Arial"/>
          <w:sz w:val="19"/>
          <w:szCs w:val="19"/>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the European Agent, the Canadian Agent, the Administrative Agent and any other applicable Facility Agent (including any claim for the reasonable compensation, expenses, disbursements and advances of the Lenders, the L/C Issuers, the European Agent, the Canadian Agent, the Administrative Agent and any other applicable Facility Agent and their respective agents and counsel and all other amounts due the Lenders, the L/C Issuers, the European Agent, the Canadian Agent, the Administrative Agent and any other applicable Facility Agent under </w:t>
      </w:r>
      <w:r>
        <w:rPr>
          <w:rFonts w:ascii="Arial" w:cs="Arial" w:eastAsia="Arial" w:hAnsi="Arial"/>
          <w:sz w:val="17"/>
          <w:szCs w:val="17"/>
          <w:u w:val="single" w:color="auto"/>
          <w:color w:val="auto"/>
        </w:rPr>
        <w:t>Sections 2.03(i)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allowed in such judicial proceeding; and</w:t>
      </w:r>
    </w:p>
    <w:p>
      <w:pPr>
        <w:spacing w:after="0" w:line="181" w:lineRule="exact"/>
        <w:rPr>
          <w:rFonts w:ascii="Arial" w:cs="Arial" w:eastAsia="Arial" w:hAnsi="Arial"/>
          <w:sz w:val="19"/>
          <w:szCs w:val="19"/>
          <w:color w:val="auto"/>
        </w:rPr>
      </w:pPr>
    </w:p>
    <w:p>
      <w:pPr>
        <w:ind w:left="660" w:right="460" w:firstLine="644"/>
        <w:spacing w:after="0" w:line="266" w:lineRule="auto"/>
        <w:tabs>
          <w:tab w:leader="none" w:pos="1718" w:val="left"/>
        </w:tabs>
        <w:numPr>
          <w:ilvl w:val="0"/>
          <w:numId w:val="198"/>
        </w:numPr>
        <w:rPr>
          <w:rFonts w:ascii="Arial" w:cs="Arial" w:eastAsia="Arial" w:hAnsi="Arial"/>
          <w:sz w:val="20"/>
          <w:szCs w:val="20"/>
          <w:color w:val="auto"/>
        </w:rPr>
      </w:pPr>
      <w:r>
        <w:rPr>
          <w:rFonts w:ascii="Arial" w:cs="Arial" w:eastAsia="Arial" w:hAnsi="Arial"/>
          <w:sz w:val="18"/>
          <w:szCs w:val="18"/>
          <w:color w:val="auto"/>
        </w:rPr>
        <w:t xml:space="preserve">to collect and receive any monies or other property payable or deliverable on any such claims and to distribute the same in the manner set forth in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any applicable Facility Agent and, in the event that any applicable Facility Agent shall consent to the making of such payments directly to the Lenders and the L/C Issuers, to pay to the applicable Facility Agent any amount due for the reasonable compensation, expenses, disbursements and advances of any applicable Facility Agent and their agents and counsel, and any other amounts due any applicable Facility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8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Nothing contained herein shall be deemed to authorize any applicable Facility Agent to authorize or consent to or accept or adopt on behalf of any Lender or any L/C Issuer any plan of reorganization, arrangement, adjustment or composition affecting the Secured Obligations or the rights of any Lender or to authorize any applicable Facility Agent to vote in respect of the claim of any Lender in any such proceeding.</w:t>
      </w:r>
    </w:p>
    <w:p>
      <w:pPr>
        <w:spacing w:after="0" w:line="157" w:lineRule="exact"/>
        <w:rPr>
          <w:sz w:val="20"/>
          <w:szCs w:val="20"/>
          <w:color w:val="auto"/>
        </w:rPr>
      </w:pPr>
    </w:p>
    <w:p>
      <w:pPr>
        <w:ind w:right="680" w:firstLine="648"/>
        <w:spacing w:after="0" w:line="262" w:lineRule="auto"/>
        <w:rPr>
          <w:sz w:val="20"/>
          <w:szCs w:val="20"/>
          <w:color w:val="auto"/>
        </w:rPr>
      </w:pPr>
      <w:r>
        <w:rPr>
          <w:rFonts w:ascii="Arial" w:cs="Arial" w:eastAsia="Arial" w:hAnsi="Arial"/>
          <w:sz w:val="20"/>
          <w:szCs w:val="20"/>
          <w:b w:val="1"/>
          <w:bCs w:val="1"/>
          <w:color w:val="auto"/>
        </w:rPr>
        <w:t xml:space="preserve">9.10 </w:t>
      </w:r>
      <w:r>
        <w:rPr>
          <w:rFonts w:ascii="Arial" w:cs="Arial" w:eastAsia="Arial" w:hAnsi="Arial"/>
          <w:sz w:val="17"/>
          <w:szCs w:val="17"/>
          <w:b w:val="1"/>
          <w:bCs w:val="1"/>
          <w:u w:val="single" w:color="auto"/>
          <w:color w:val="auto"/>
        </w:rPr>
        <w:t>Collateral and Guarantee Matters</w:t>
      </w:r>
      <w:r>
        <w:rPr>
          <w:rFonts w:ascii="Arial" w:cs="Arial" w:eastAsia="Arial" w:hAnsi="Arial"/>
          <w:sz w:val="17"/>
          <w:szCs w:val="17"/>
          <w:color w:val="auto"/>
        </w:rPr>
        <w:t>. The Lenders and the L/C Issuers irrevocably authorize each of the Administrative Agent and</w:t>
      </w:r>
      <w:r>
        <w:rPr>
          <w:rFonts w:ascii="Arial" w:cs="Arial" w:eastAsia="Arial" w:hAnsi="Arial"/>
          <w:sz w:val="20"/>
          <w:szCs w:val="20"/>
          <w:b w:val="1"/>
          <w:bCs w:val="1"/>
          <w:color w:val="auto"/>
        </w:rPr>
        <w:t xml:space="preserve"> </w:t>
      </w:r>
      <w:r>
        <w:rPr>
          <w:rFonts w:ascii="Arial" w:cs="Arial" w:eastAsia="Arial" w:hAnsi="Arial"/>
          <w:sz w:val="17"/>
          <w:szCs w:val="17"/>
          <w:color w:val="auto"/>
        </w:rPr>
        <w:t>Collateral Agent, at its option and in its discretion,</w:t>
      </w:r>
    </w:p>
    <w:p>
      <w:pPr>
        <w:spacing w:after="0" w:line="195" w:lineRule="exact"/>
        <w:rPr>
          <w:sz w:val="20"/>
          <w:szCs w:val="20"/>
          <w:color w:val="auto"/>
        </w:rPr>
      </w:pPr>
    </w:p>
    <w:p>
      <w:pPr>
        <w:ind w:right="40" w:firstLine="656"/>
        <w:spacing w:after="0" w:line="283" w:lineRule="auto"/>
        <w:tabs>
          <w:tab w:leader="none" w:pos="1048" w:val="left"/>
        </w:tabs>
        <w:numPr>
          <w:ilvl w:val="0"/>
          <w:numId w:val="199"/>
        </w:numPr>
        <w:rPr>
          <w:rFonts w:ascii="Arial" w:cs="Arial" w:eastAsia="Arial" w:hAnsi="Arial"/>
          <w:sz w:val="19"/>
          <w:szCs w:val="19"/>
          <w:color w:val="auto"/>
        </w:rPr>
      </w:pPr>
      <w:r>
        <w:rPr>
          <w:rFonts w:ascii="Arial" w:cs="Arial" w:eastAsia="Arial" w:hAnsi="Arial"/>
          <w:sz w:val="17"/>
          <w:szCs w:val="17"/>
          <w:color w:val="auto"/>
        </w:rPr>
        <w:t xml:space="preserve">to release any Lien on any property granted to or held by the Collateral Agent under any Loan Document (i) upon termination of the Aggregate Commitments and payment in full of all Secured Obligations (other than (A) contingent indemnification obligations and (B) obligations and liabilities under Swap Contracts and Treasury Management Agreements not then due and payable) and the expiration, termination or Cash Collateralization of all Letters of Credit (other than Letters of Credit as to which other arrangements reasonably satisfactory to the Administrative Agent and the L/C Issuers shall have been made), (ii) that is sold or to be sold as part of or in connection with any sale permitted hereunder or under any other Loan Document to a Person that is not a Loan Party, (iii) subject to Section 10.01, if approved, authorized or ratified in writing by the Required Lenders or (iv) upon the occurrence of a Collateral and Covenant Release Date in accordance with the terms of </w:t>
      </w:r>
      <w:r>
        <w:rPr>
          <w:rFonts w:ascii="Arial" w:cs="Arial" w:eastAsia="Arial" w:hAnsi="Arial"/>
          <w:sz w:val="17"/>
          <w:szCs w:val="17"/>
          <w:u w:val="single" w:color="auto"/>
          <w:color w:val="auto"/>
        </w:rPr>
        <w:t>Section 6.13(c)</w:t>
      </w:r>
      <w:r>
        <w:rPr>
          <w:rFonts w:ascii="Arial" w:cs="Arial" w:eastAsia="Arial" w:hAnsi="Arial"/>
          <w:sz w:val="17"/>
          <w:szCs w:val="17"/>
          <w:color w:val="auto"/>
        </w:rPr>
        <w:t>;</w:t>
      </w:r>
    </w:p>
    <w:p>
      <w:pPr>
        <w:spacing w:after="0" w:line="181" w:lineRule="exact"/>
        <w:rPr>
          <w:rFonts w:ascii="Arial" w:cs="Arial" w:eastAsia="Arial" w:hAnsi="Arial"/>
          <w:sz w:val="19"/>
          <w:szCs w:val="19"/>
          <w:color w:val="auto"/>
        </w:rPr>
      </w:pPr>
    </w:p>
    <w:p>
      <w:pPr>
        <w:ind w:right="220" w:firstLine="656"/>
        <w:spacing w:after="0" w:line="266" w:lineRule="auto"/>
        <w:tabs>
          <w:tab w:leader="none" w:pos="1058" w:val="left"/>
        </w:tabs>
        <w:numPr>
          <w:ilvl w:val="0"/>
          <w:numId w:val="199"/>
        </w:numPr>
        <w:rPr>
          <w:rFonts w:ascii="Arial" w:cs="Arial" w:eastAsia="Arial" w:hAnsi="Arial"/>
          <w:sz w:val="20"/>
          <w:szCs w:val="20"/>
          <w:color w:val="auto"/>
        </w:rPr>
      </w:pPr>
      <w:r>
        <w:rPr>
          <w:rFonts w:ascii="Arial" w:cs="Arial" w:eastAsia="Arial" w:hAnsi="Arial"/>
          <w:sz w:val="18"/>
          <w:szCs w:val="18"/>
          <w:color w:val="auto"/>
        </w:rPr>
        <w:t xml:space="preserve">to subordinate any Lien on any property granted to or held by the Collateral Agent under any Loan Document to the holder of any Lien on such property that is permitted by </w:t>
      </w:r>
      <w:r>
        <w:rPr>
          <w:rFonts w:ascii="Arial" w:cs="Arial" w:eastAsia="Arial" w:hAnsi="Arial"/>
          <w:sz w:val="18"/>
          <w:szCs w:val="18"/>
          <w:u w:val="single" w:color="auto"/>
          <w:color w:val="auto"/>
        </w:rPr>
        <w:t>Section 7.01(s)</w:t>
      </w:r>
      <w:r>
        <w:rPr>
          <w:rFonts w:ascii="Arial" w:cs="Arial" w:eastAsia="Arial" w:hAnsi="Arial"/>
          <w:sz w:val="18"/>
          <w:szCs w:val="18"/>
          <w:color w:val="auto"/>
        </w:rPr>
        <w:t>;</w:t>
      </w:r>
    </w:p>
    <w:p>
      <w:pPr>
        <w:spacing w:after="0" w:line="190" w:lineRule="exact"/>
        <w:rPr>
          <w:rFonts w:ascii="Arial" w:cs="Arial" w:eastAsia="Arial" w:hAnsi="Arial"/>
          <w:sz w:val="20"/>
          <w:szCs w:val="20"/>
          <w:color w:val="auto"/>
        </w:rPr>
      </w:pPr>
    </w:p>
    <w:p>
      <w:pPr>
        <w:ind w:right="260" w:firstLine="656"/>
        <w:spacing w:after="0" w:line="266" w:lineRule="auto"/>
        <w:tabs>
          <w:tab w:leader="none" w:pos="1048" w:val="left"/>
        </w:tabs>
        <w:numPr>
          <w:ilvl w:val="0"/>
          <w:numId w:val="199"/>
        </w:numPr>
        <w:rPr>
          <w:rFonts w:ascii="Arial" w:cs="Arial" w:eastAsia="Arial" w:hAnsi="Arial"/>
          <w:sz w:val="20"/>
          <w:szCs w:val="20"/>
          <w:color w:val="auto"/>
        </w:rPr>
      </w:pPr>
      <w:r>
        <w:rPr>
          <w:rFonts w:ascii="Arial" w:cs="Arial" w:eastAsia="Arial" w:hAnsi="Arial"/>
          <w:sz w:val="18"/>
          <w:szCs w:val="18"/>
          <w:color w:val="auto"/>
        </w:rPr>
        <w:t xml:space="preserve">to release the Lien on any property granted to or held by the Collateral Agent under any Loan Document to the extent a Lien is granted on such property pursuant to and in accordance with </w:t>
      </w:r>
      <w:r>
        <w:rPr>
          <w:rFonts w:ascii="Arial" w:cs="Arial" w:eastAsia="Arial" w:hAnsi="Arial"/>
          <w:sz w:val="18"/>
          <w:szCs w:val="18"/>
          <w:u w:val="single" w:color="auto"/>
          <w:color w:val="auto"/>
        </w:rPr>
        <w:t>Section 7.01(w)</w:t>
      </w:r>
      <w:r>
        <w:rPr>
          <w:rFonts w:ascii="Arial" w:cs="Arial" w:eastAsia="Arial" w:hAnsi="Arial"/>
          <w:sz w:val="18"/>
          <w:szCs w:val="18"/>
          <w:color w:val="auto"/>
        </w:rPr>
        <w:t>; and</w:t>
      </w:r>
    </w:p>
    <w:p>
      <w:pPr>
        <w:spacing w:after="0" w:line="190" w:lineRule="exact"/>
        <w:rPr>
          <w:rFonts w:ascii="Arial" w:cs="Arial" w:eastAsia="Arial" w:hAnsi="Arial"/>
          <w:sz w:val="20"/>
          <w:szCs w:val="20"/>
          <w:color w:val="auto"/>
        </w:rPr>
      </w:pPr>
    </w:p>
    <w:p>
      <w:pPr>
        <w:jc w:val="both"/>
        <w:ind w:right="200" w:firstLine="656"/>
        <w:spacing w:after="0" w:line="265" w:lineRule="auto"/>
        <w:tabs>
          <w:tab w:leader="none" w:pos="1058" w:val="left"/>
        </w:tabs>
        <w:numPr>
          <w:ilvl w:val="0"/>
          <w:numId w:val="199"/>
        </w:numPr>
        <w:rPr>
          <w:rFonts w:ascii="Arial" w:cs="Arial" w:eastAsia="Arial" w:hAnsi="Arial"/>
          <w:sz w:val="20"/>
          <w:szCs w:val="20"/>
          <w:color w:val="auto"/>
        </w:rPr>
      </w:pPr>
      <w:r>
        <w:rPr>
          <w:rFonts w:ascii="Arial" w:cs="Arial" w:eastAsia="Arial" w:hAnsi="Arial"/>
          <w:sz w:val="18"/>
          <w:szCs w:val="18"/>
          <w:color w:val="auto"/>
        </w:rPr>
        <w:t xml:space="preserve">to release any Subsidiary Guarantor from its obligations under the Guarantee if such Person ceases to be a Restricted Subsidiary as a result of a transaction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release shall occur if such Subsidiary Guarantor continues to be a guarantor in respect of any other Indebtedness of any Borrower unless and until such Subsidiary Guarantor is (or is being simultaneously) released from its guaranty with respect to such other Indebtedness.</w:t>
      </w:r>
    </w:p>
    <w:p>
      <w:pPr>
        <w:spacing w:after="0" w:line="18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Upon request by the Administrative Agent or Collateral Agent at any time, the Required Lenders will confirm in writing the Administrative Agent’s or Collateral Agent’s, as the case may be, authority to release or subordinate its interest in particular types or items of property, or to release any Subsidiary Guarantor from its obligations under the Guarantee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787" w:right="339" w:bottom="1440" w:gutter="0" w:footer="0" w:header="0"/>
        </w:sectPr>
      </w:pPr>
    </w:p>
    <w:bookmarkStart w:id="200" w:name="page201"/>
    <w:bookmarkEnd w:id="200"/>
    <w:p>
      <w:pPr>
        <w:ind w:right="140" w:firstLine="648"/>
        <w:spacing w:after="0" w:line="278" w:lineRule="auto"/>
        <w:rPr>
          <w:sz w:val="20"/>
          <w:szCs w:val="20"/>
          <w:color w:val="auto"/>
        </w:rPr>
      </w:pPr>
      <w:r>
        <w:rPr>
          <w:rFonts w:ascii="Arial" w:cs="Arial" w:eastAsia="Arial" w:hAnsi="Arial"/>
          <w:sz w:val="20"/>
          <w:szCs w:val="20"/>
          <w:b w:val="1"/>
          <w:bCs w:val="1"/>
          <w:color w:val="auto"/>
        </w:rPr>
        <w:t xml:space="preserve">9.11 </w:t>
      </w:r>
      <w:r>
        <w:rPr>
          <w:rFonts w:ascii="Arial" w:cs="Arial" w:eastAsia="Arial" w:hAnsi="Arial"/>
          <w:sz w:val="17"/>
          <w:szCs w:val="17"/>
          <w:b w:val="1"/>
          <w:bCs w:val="1"/>
          <w:u w:val="single" w:color="auto"/>
          <w:color w:val="auto"/>
        </w:rPr>
        <w:t>Treasury Management Agreements and Swap Contracts</w:t>
      </w:r>
      <w:r>
        <w:rPr>
          <w:rFonts w:ascii="Arial" w:cs="Arial" w:eastAsia="Arial" w:hAnsi="Arial"/>
          <w:sz w:val="17"/>
          <w:szCs w:val="17"/>
          <w:color w:val="auto"/>
        </w:rPr>
        <w:t>. No Hedge Bank or Treasury Management Bank that obtains the benefits of</w:t>
      </w:r>
      <w:r>
        <w:rPr>
          <w:rFonts w:ascii="Arial" w:cs="Arial" w:eastAsia="Arial" w:hAnsi="Arial"/>
          <w:sz w:val="20"/>
          <w:szCs w:val="20"/>
          <w:b w:val="1"/>
          <w:bCs w:val="1"/>
          <w:color w:val="auto"/>
        </w:rPr>
        <w:t xml:space="preserve">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any Guarantee or any Collateral by virtue of the provisions hereof or of any Guarantee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Secured Obligations arising under Treasury Management Agreements entered into with Treasury Management Banks and Swap Contracts entered into with Hedge Banks unless the Administrative Agent has received written notice of such Secured Obligations, together with such supporting documentation as the Administrative Agent may request, from the applicable Treasury Management Bank or Hedge Bank, as the case may be.</w:t>
      </w:r>
    </w:p>
    <w:p>
      <w:pPr>
        <w:spacing w:after="0" w:line="164" w:lineRule="exact"/>
        <w:rPr>
          <w:sz w:val="20"/>
          <w:szCs w:val="20"/>
          <w:color w:val="auto"/>
        </w:rPr>
      </w:pPr>
    </w:p>
    <w:p>
      <w:pPr>
        <w:ind w:firstLine="648"/>
        <w:spacing w:after="0" w:line="301" w:lineRule="auto"/>
        <w:rPr>
          <w:sz w:val="20"/>
          <w:szCs w:val="20"/>
          <w:color w:val="auto"/>
        </w:rPr>
      </w:pPr>
      <w:r>
        <w:rPr>
          <w:rFonts w:ascii="Arial" w:cs="Arial" w:eastAsia="Arial" w:hAnsi="Arial"/>
          <w:sz w:val="19"/>
          <w:szCs w:val="19"/>
          <w:b w:val="1"/>
          <w:bCs w:val="1"/>
          <w:color w:val="auto"/>
        </w:rPr>
        <w:t xml:space="preserve">9.12 </w:t>
      </w:r>
      <w:r>
        <w:rPr>
          <w:rFonts w:ascii="Arial" w:cs="Arial" w:eastAsia="Arial" w:hAnsi="Arial"/>
          <w:sz w:val="16"/>
          <w:szCs w:val="16"/>
          <w:b w:val="1"/>
          <w:bCs w:val="1"/>
          <w:u w:val="single" w:color="auto"/>
          <w:color w:val="auto"/>
        </w:rPr>
        <w:t>Withholding</w:t>
      </w:r>
      <w:r>
        <w:rPr>
          <w:rFonts w:ascii="Arial" w:cs="Arial" w:eastAsia="Arial" w:hAnsi="Arial"/>
          <w:sz w:val="16"/>
          <w:szCs w:val="16"/>
          <w:color w:val="auto"/>
        </w:rPr>
        <w:t>. To the extent required by any applicable Law, the Agent may withhold from any payment to any Lender, Swing Line Lender</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or L/C Issuer an amount equal to any applicable withholding Tax. If the IRS or any Governmental Authority asserts a claim that the Agent did not properly withhold Tax from any amount paid to or for the account of any Lender, Swing Line Lender or L/C Issuer for any reason (including because the appropriate form was not delivered or was not properly executed, or because such Lender, Swing Line Lender or L/C Issuer failed to notify the Agent of a change in circumstances that rendered the exemption from, or reduction of, withholding Tax ineffective), such Lender, Swing Line Lender or L/C Issuer shall indemnify and hold harmless the Agent (to the extent that the Administrative Agent has not already been reimbursed by the applicable Borrower and without limiting or expanding the obligation of the applicable Borrower to do so) for all amounts paid, directly or indirectly, by the Agent as tax or otherwise, including any penalties, additions to Tax or interest thereon, together with all expenses incurred, including legal expenses and any out-of-pocket expenses, whether or not such Tax was correctly or legally imposed or asserted by the relevant Governmental Authority. A certificate as to the amount of such payment or liability delivered to any Lender, Swing Line Lender or L/C Issuer by the Agent shall be conclusive absent manifest error. Each Lender, Swing Line Lender and L/C Issuer hereby authorizes the Agent to set off and apply any and all amounts at any time owing to such Lender, Swing Line Lender or L/C Issuer under this Agreement or any other Loan Document against any amount due to the Administrative Agent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agreements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survive the resignation and/or replacement of the Agent, any assignment of rights by, or the replacement of, a Lender, Swing Line Lender or L/C Issuer, the termination of the Loans and the repayment, satisfaction or discharge of all obligations under this Agreement. Unless required by applicable Laws, at no time shall the Agent have any obligation to file for or otherwise pursue on behalf of a Lender, Swing Line Lender or L/C Issuer any refund of Taxes withheld or deducted from funds paid for the account of such Lender, Swing Line Lender or L/C Issuer.</w:t>
      </w:r>
    </w:p>
    <w:p>
      <w:pPr>
        <w:spacing w:after="0" w:line="153" w:lineRule="exact"/>
        <w:rPr>
          <w:sz w:val="20"/>
          <w:szCs w:val="20"/>
          <w:color w:val="auto"/>
        </w:rPr>
      </w:pPr>
    </w:p>
    <w:p>
      <w:pPr>
        <w:ind w:right="140" w:firstLine="648"/>
        <w:spacing w:after="0" w:line="272" w:lineRule="auto"/>
        <w:rPr>
          <w:sz w:val="20"/>
          <w:szCs w:val="20"/>
          <w:color w:val="auto"/>
        </w:rPr>
      </w:pPr>
      <w:r>
        <w:rPr>
          <w:rFonts w:ascii="Arial" w:cs="Arial" w:eastAsia="Arial" w:hAnsi="Arial"/>
          <w:sz w:val="20"/>
          <w:szCs w:val="20"/>
          <w:b w:val="1"/>
          <w:bCs w:val="1"/>
          <w:color w:val="auto"/>
        </w:rPr>
        <w:t xml:space="preserve">9.13 </w:t>
      </w:r>
      <w:r>
        <w:rPr>
          <w:rFonts w:ascii="Arial" w:cs="Arial" w:eastAsia="Arial" w:hAnsi="Arial"/>
          <w:sz w:val="17"/>
          <w:szCs w:val="17"/>
          <w:b w:val="1"/>
          <w:bCs w:val="1"/>
          <w:u w:val="single" w:color="auto"/>
          <w:color w:val="auto"/>
        </w:rPr>
        <w:t>ERISA</w:t>
      </w:r>
      <w:r>
        <w:rPr>
          <w:rFonts w:ascii="Arial" w:cs="Arial" w:eastAsia="Arial" w:hAnsi="Arial"/>
          <w:sz w:val="17"/>
          <w:szCs w:val="17"/>
          <w:color w:val="auto"/>
        </w:rPr>
        <w:t>. Each Lender hereto represents and warrants as of the Closing Date to the Administrative Agent, each Arranger and their</w:t>
      </w:r>
      <w:r>
        <w:rPr>
          <w:rFonts w:ascii="Arial" w:cs="Arial" w:eastAsia="Arial" w:hAnsi="Arial"/>
          <w:sz w:val="20"/>
          <w:szCs w:val="20"/>
          <w:b w:val="1"/>
          <w:bCs w:val="1"/>
          <w:color w:val="auto"/>
        </w:rPr>
        <w:t xml:space="preserve"> </w:t>
      </w:r>
      <w:r>
        <w:rPr>
          <w:rFonts w:ascii="Arial" w:cs="Arial" w:eastAsia="Arial" w:hAnsi="Arial"/>
          <w:sz w:val="17"/>
          <w:szCs w:val="17"/>
          <w:color w:val="auto"/>
        </w:rPr>
        <w:t>respective Affiliates, and not, for the avoidance of doubt, for the benefit of the Borrowers, that such Lender is not and will not be (1) an employee benefit plan subject to Title I of ERISA; (2) a plan or account subject to Section 4975 of the Code; (3) an entity deemed to hold “plan assets” of any such plans or accounts for purposes of ERISA or the Code; or (4) a “governmental plan” within the meaning of ERISA.</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X</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1" w:lineRule="exact"/>
        <w:rPr>
          <w:sz w:val="20"/>
          <w:szCs w:val="20"/>
          <w:color w:val="auto"/>
        </w:rPr>
      </w:pPr>
    </w:p>
    <w:p>
      <w:pPr>
        <w:ind w:right="160" w:firstLine="648"/>
        <w:spacing w:after="0" w:line="272" w:lineRule="auto"/>
        <w:rPr>
          <w:sz w:val="20"/>
          <w:szCs w:val="20"/>
          <w:color w:val="auto"/>
        </w:rPr>
      </w:pPr>
      <w:r>
        <w:rPr>
          <w:rFonts w:ascii="Arial" w:cs="Arial" w:eastAsia="Arial" w:hAnsi="Arial"/>
          <w:sz w:val="20"/>
          <w:szCs w:val="20"/>
          <w:b w:val="1"/>
          <w:bCs w:val="1"/>
          <w:color w:val="auto"/>
        </w:rPr>
        <w:t xml:space="preserve">10.01 </w:t>
      </w:r>
      <w:r>
        <w:rPr>
          <w:rFonts w:ascii="Arial" w:cs="Arial" w:eastAsia="Arial" w:hAnsi="Arial"/>
          <w:sz w:val="17"/>
          <w:szCs w:val="17"/>
          <w:b w:val="1"/>
          <w:bCs w:val="1"/>
          <w:u w:val="single" w:color="auto"/>
          <w:color w:val="auto"/>
        </w:rPr>
        <w:t>Amendments, Etc.</w:t>
      </w:r>
      <w:r>
        <w:rPr>
          <w:rFonts w:ascii="Arial" w:cs="Arial" w:eastAsia="Arial" w:hAnsi="Arial"/>
          <w:sz w:val="20"/>
          <w:szCs w:val="20"/>
          <w:b w:val="1"/>
          <w:bCs w:val="1"/>
          <w:color w:val="auto"/>
        </w:rPr>
        <w:t xml:space="preserve"> </w:t>
      </w:r>
      <w:r>
        <w:rPr>
          <w:rFonts w:ascii="Arial" w:cs="Arial" w:eastAsia="Arial" w:hAnsi="Arial"/>
          <w:sz w:val="17"/>
          <w:szCs w:val="17"/>
          <w:color w:val="auto"/>
        </w:rPr>
        <w:t>No amendment or waiver of any provision of this Agreement or any other Loan Document, and no consent to any</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departure by any Loan Party therefrom, shall be effective unless in writing signed by the Required Lenders and the U.S.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waiver or consent shall:</w:t>
      </w:r>
    </w:p>
    <w:p>
      <w:pPr>
        <w:spacing w:after="0" w:line="192" w:lineRule="exact"/>
        <w:rPr>
          <w:sz w:val="20"/>
          <w:szCs w:val="20"/>
          <w:color w:val="auto"/>
        </w:rPr>
      </w:pPr>
    </w:p>
    <w:p>
      <w:pPr>
        <w:ind w:left="660" w:firstLine="644"/>
        <w:spacing w:after="0" w:line="264" w:lineRule="auto"/>
        <w:tabs>
          <w:tab w:leader="none" w:pos="1708" w:val="left"/>
        </w:tabs>
        <w:numPr>
          <w:ilvl w:val="0"/>
          <w:numId w:val="200"/>
        </w:numPr>
        <w:rPr>
          <w:rFonts w:ascii="Arial" w:cs="Arial" w:eastAsia="Arial" w:hAnsi="Arial"/>
          <w:sz w:val="20"/>
          <w:szCs w:val="20"/>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without the written consent of such Lender (it being understood that no amendment, modification, termination, waiver or consent with respect to any condition precedent, covenant or Default shall constitute an increase in the Commitment of any Lender);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765" w:right="339" w:bottom="1440" w:gutter="0" w:footer="0" w:header="0"/>
        </w:sectPr>
      </w:pPr>
    </w:p>
    <w:bookmarkStart w:id="201" w:name="page202"/>
    <w:bookmarkEnd w:id="201"/>
    <w:p>
      <w:pPr>
        <w:ind w:left="660" w:right="160" w:firstLine="644"/>
        <w:spacing w:after="0" w:line="310" w:lineRule="auto"/>
        <w:tabs>
          <w:tab w:leader="none" w:pos="1718" w:val="left"/>
        </w:tabs>
        <w:numPr>
          <w:ilvl w:val="0"/>
          <w:numId w:val="201"/>
        </w:numPr>
        <w:rPr>
          <w:rFonts w:ascii="Arial" w:cs="Arial" w:eastAsia="Arial" w:hAnsi="Arial"/>
          <w:sz w:val="18"/>
          <w:szCs w:val="18"/>
          <w:color w:val="auto"/>
        </w:rPr>
      </w:pPr>
      <w:r>
        <w:rPr>
          <w:rFonts w:ascii="Arial" w:cs="Arial" w:eastAsia="Arial" w:hAnsi="Arial"/>
          <w:sz w:val="16"/>
          <w:szCs w:val="16"/>
          <w:color w:val="auto"/>
        </w:rPr>
        <w:t>(A) change the scheduled final maturity of any Loan, (B) postpone the date for payment of any L/C Obligation or any interest or fees payable hereunder, (C) change the amount of, waive or excuse any such payment or (D) postpone the scheduled date of expiration of any Commitment or any Letter of Credit beyond the Maturity Date, in any case, without the written consent of each Lender directly affected thereby;</w:t>
      </w:r>
    </w:p>
    <w:p>
      <w:pPr>
        <w:spacing w:after="0" w:line="161" w:lineRule="exact"/>
        <w:rPr>
          <w:rFonts w:ascii="Arial" w:cs="Arial" w:eastAsia="Arial" w:hAnsi="Arial"/>
          <w:sz w:val="18"/>
          <w:szCs w:val="18"/>
          <w:color w:val="auto"/>
        </w:rPr>
      </w:pPr>
    </w:p>
    <w:p>
      <w:pPr>
        <w:ind w:left="1700" w:hanging="396"/>
        <w:spacing w:after="0"/>
        <w:tabs>
          <w:tab w:leader="none" w:pos="1700" w:val="left"/>
        </w:tabs>
        <w:numPr>
          <w:ilvl w:val="0"/>
          <w:numId w:val="201"/>
        </w:numPr>
        <w:rPr>
          <w:rFonts w:ascii="Arial" w:cs="Arial" w:eastAsia="Arial" w:hAnsi="Arial"/>
          <w:sz w:val="20"/>
          <w:szCs w:val="20"/>
          <w:color w:val="auto"/>
        </w:rPr>
      </w:pPr>
      <w:r>
        <w:rPr>
          <w:rFonts w:ascii="Arial" w:cs="Arial" w:eastAsia="Arial" w:hAnsi="Arial"/>
          <w:sz w:val="18"/>
          <w:szCs w:val="18"/>
          <w:color w:val="auto"/>
        </w:rPr>
        <w:t>[Reserved];</w:t>
      </w:r>
    </w:p>
    <w:p>
      <w:pPr>
        <w:spacing w:after="0" w:line="215" w:lineRule="exact"/>
        <w:rPr>
          <w:rFonts w:ascii="Arial" w:cs="Arial" w:eastAsia="Arial" w:hAnsi="Arial"/>
          <w:sz w:val="20"/>
          <w:szCs w:val="20"/>
          <w:color w:val="auto"/>
        </w:rPr>
      </w:pPr>
    </w:p>
    <w:p>
      <w:pPr>
        <w:ind w:left="660" w:right="120" w:firstLine="644"/>
        <w:spacing w:after="0" w:line="304" w:lineRule="auto"/>
        <w:tabs>
          <w:tab w:leader="none" w:pos="1718" w:val="left"/>
        </w:tabs>
        <w:numPr>
          <w:ilvl w:val="0"/>
          <w:numId w:val="201"/>
        </w:numPr>
        <w:rPr>
          <w:rFonts w:ascii="Arial" w:cs="Arial" w:eastAsia="Arial" w:hAnsi="Arial"/>
          <w:sz w:val="18"/>
          <w:szCs w:val="18"/>
          <w:color w:val="auto"/>
        </w:rPr>
      </w:pPr>
      <w:r>
        <w:rPr>
          <w:rFonts w:ascii="Arial" w:cs="Arial" w:eastAsia="Arial" w:hAnsi="Arial"/>
          <w:sz w:val="16"/>
          <w:szCs w:val="16"/>
          <w:color w:val="auto"/>
        </w:rPr>
        <w:t xml:space="preserve">reduce or forgive the principal of, or the rate of interest specified herein on, any Loan or L/C Borrowing, or any fees or other amounts payable hereunder or under any other Loan Document or change the form or currency of payment without the written consent of each Lender directly affected thereby (it being understood that any amendment or modification to the financial definitions in this Agreement shall not constitute a reduction in the rate of interest or fees for purposes of this clause (d);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the definition of “Default Rate” or to waive any obligation of the Borrowers to pay interest at the Default Rate);</w:t>
      </w:r>
    </w:p>
    <w:p>
      <w:pPr>
        <w:spacing w:after="0" w:line="169" w:lineRule="exact"/>
        <w:rPr>
          <w:rFonts w:ascii="Arial" w:cs="Arial" w:eastAsia="Arial" w:hAnsi="Arial"/>
          <w:sz w:val="18"/>
          <w:szCs w:val="18"/>
          <w:color w:val="auto"/>
        </w:rPr>
      </w:pPr>
    </w:p>
    <w:p>
      <w:pPr>
        <w:ind w:left="660" w:right="20" w:firstLine="644"/>
        <w:spacing w:after="0" w:line="264" w:lineRule="auto"/>
        <w:tabs>
          <w:tab w:leader="none" w:pos="1708" w:val="left"/>
        </w:tabs>
        <w:numPr>
          <w:ilvl w:val="0"/>
          <w:numId w:val="201"/>
        </w:numPr>
        <w:rPr>
          <w:rFonts w:ascii="Arial" w:cs="Arial" w:eastAsia="Arial" w:hAnsi="Arial"/>
          <w:sz w:val="20"/>
          <w:szCs w:val="20"/>
          <w:color w:val="auto"/>
        </w:rPr>
      </w:pPr>
      <w:r>
        <w:rPr>
          <w:rFonts w:ascii="Arial" w:cs="Arial" w:eastAsia="Arial" w:hAnsi="Arial"/>
          <w:sz w:val="18"/>
          <w:szCs w:val="18"/>
          <w:color w:val="auto"/>
        </w:rPr>
        <w:t xml:space="preserve">waive, change or consent to any departure from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or the definition of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in a manner that would alter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sharing of payments or the order of application of payments required thereby without the written consent of each Lender;</w:t>
      </w:r>
    </w:p>
    <w:p>
      <w:pPr>
        <w:spacing w:after="0" w:line="196" w:lineRule="exact"/>
        <w:rPr>
          <w:rFonts w:ascii="Arial" w:cs="Arial" w:eastAsia="Arial" w:hAnsi="Arial"/>
          <w:sz w:val="20"/>
          <w:szCs w:val="20"/>
          <w:color w:val="auto"/>
        </w:rPr>
      </w:pPr>
    </w:p>
    <w:p>
      <w:pPr>
        <w:ind w:left="660" w:right="180" w:firstLine="644"/>
        <w:spacing w:after="0" w:line="265" w:lineRule="auto"/>
        <w:tabs>
          <w:tab w:leader="none" w:pos="1686" w:val="left"/>
        </w:tabs>
        <w:numPr>
          <w:ilvl w:val="0"/>
          <w:numId w:val="201"/>
        </w:numPr>
        <w:rPr>
          <w:rFonts w:ascii="Arial" w:cs="Arial" w:eastAsia="Arial" w:hAnsi="Arial"/>
          <w:sz w:val="20"/>
          <w:szCs w:val="20"/>
          <w:color w:val="auto"/>
        </w:rPr>
      </w:pPr>
      <w:r>
        <w:rPr>
          <w:rFonts w:ascii="Arial" w:cs="Arial" w:eastAsia="Arial" w:hAnsi="Arial"/>
          <w:sz w:val="18"/>
          <w:szCs w:val="18"/>
          <w:color w:val="auto"/>
        </w:rPr>
        <w:t xml:space="preserve">waive, change or consent to any departure from any provision of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other than to increase such percentage or number or to give any additional Lender or group of Lenders such right to waive, amend or modify or make any such determination or grant any such consent;</w:t>
      </w:r>
    </w:p>
    <w:p>
      <w:pPr>
        <w:spacing w:after="0" w:line="195" w:lineRule="exact"/>
        <w:rPr>
          <w:rFonts w:ascii="Arial" w:cs="Arial" w:eastAsia="Arial" w:hAnsi="Arial"/>
          <w:sz w:val="20"/>
          <w:szCs w:val="20"/>
          <w:color w:val="auto"/>
        </w:rPr>
      </w:pPr>
    </w:p>
    <w:p>
      <w:pPr>
        <w:ind w:left="660" w:firstLine="644"/>
        <w:spacing w:after="0" w:line="264" w:lineRule="auto"/>
        <w:tabs>
          <w:tab w:leader="none" w:pos="1718" w:val="left"/>
        </w:tabs>
        <w:numPr>
          <w:ilvl w:val="0"/>
          <w:numId w:val="201"/>
        </w:numPr>
        <w:rPr>
          <w:rFonts w:ascii="Arial" w:cs="Arial" w:eastAsia="Arial" w:hAnsi="Arial"/>
          <w:sz w:val="20"/>
          <w:szCs w:val="20"/>
          <w:color w:val="auto"/>
        </w:rPr>
      </w:pPr>
      <w:r>
        <w:rPr>
          <w:rFonts w:ascii="Arial" w:cs="Arial" w:eastAsia="Arial" w:hAnsi="Arial"/>
          <w:sz w:val="18"/>
          <w:szCs w:val="18"/>
          <w:color w:val="auto"/>
        </w:rPr>
        <w:t xml:space="preserve">other than in a transaction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upon the occurrence of a Collateral and Covenant Release Date, release all or substantially all of the Collateral in any transaction or series of related transactions, without the written consent of each Lender;</w:t>
      </w:r>
    </w:p>
    <w:p>
      <w:pPr>
        <w:spacing w:after="0" w:line="196" w:lineRule="exact"/>
        <w:rPr>
          <w:rFonts w:ascii="Arial" w:cs="Arial" w:eastAsia="Arial" w:hAnsi="Arial"/>
          <w:sz w:val="20"/>
          <w:szCs w:val="20"/>
          <w:color w:val="auto"/>
        </w:rPr>
      </w:pPr>
    </w:p>
    <w:p>
      <w:pPr>
        <w:ind w:left="1720" w:hanging="416"/>
        <w:spacing w:after="0"/>
        <w:tabs>
          <w:tab w:leader="none" w:pos="1720" w:val="left"/>
        </w:tabs>
        <w:numPr>
          <w:ilvl w:val="0"/>
          <w:numId w:val="201"/>
        </w:numPr>
        <w:rPr>
          <w:rFonts w:ascii="Arial" w:cs="Arial" w:eastAsia="Arial" w:hAnsi="Arial"/>
          <w:sz w:val="19"/>
          <w:szCs w:val="19"/>
          <w:color w:val="auto"/>
        </w:rPr>
      </w:pPr>
      <w:r>
        <w:rPr>
          <w:rFonts w:ascii="Arial" w:cs="Arial" w:eastAsia="Arial" w:hAnsi="Arial"/>
          <w:sz w:val="17"/>
          <w:szCs w:val="17"/>
          <w:color w:val="auto"/>
        </w:rPr>
        <w:t xml:space="preserve">amend </w:t>
      </w:r>
      <w:r>
        <w:rPr>
          <w:rFonts w:ascii="Arial" w:cs="Arial" w:eastAsia="Arial" w:hAnsi="Arial"/>
          <w:sz w:val="17"/>
          <w:szCs w:val="17"/>
          <w:u w:val="single" w:color="auto"/>
          <w:color w:val="auto"/>
        </w:rPr>
        <w:t>Section 1.09(a)</w:t>
      </w:r>
      <w:r>
        <w:rPr>
          <w:rFonts w:ascii="Arial" w:cs="Arial" w:eastAsia="Arial" w:hAnsi="Arial"/>
          <w:sz w:val="17"/>
          <w:szCs w:val="17"/>
          <w:color w:val="auto"/>
        </w:rPr>
        <w:t xml:space="preserve"> or the definition of “Alternative Currency” without the written consent of each Multicurrency Facility</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8"/>
          <w:szCs w:val="18"/>
          <w:color w:val="auto"/>
        </w:rPr>
        <w:t>Lender; or</w:t>
      </w:r>
    </w:p>
    <w:p>
      <w:pPr>
        <w:spacing w:after="0" w:line="233" w:lineRule="exact"/>
        <w:rPr>
          <w:rFonts w:ascii="Arial" w:cs="Arial" w:eastAsia="Arial" w:hAnsi="Arial"/>
          <w:sz w:val="19"/>
          <w:szCs w:val="19"/>
          <w:color w:val="auto"/>
        </w:rPr>
      </w:pPr>
    </w:p>
    <w:p>
      <w:pPr>
        <w:ind w:left="660" w:right="140" w:firstLine="644"/>
        <w:spacing w:after="0" w:line="266" w:lineRule="auto"/>
        <w:tabs>
          <w:tab w:leader="none" w:pos="1675" w:val="left"/>
        </w:tabs>
        <w:numPr>
          <w:ilvl w:val="0"/>
          <w:numId w:val="201"/>
        </w:numPr>
        <w:rPr>
          <w:rFonts w:ascii="Arial" w:cs="Arial" w:eastAsia="Arial" w:hAnsi="Arial"/>
          <w:sz w:val="20"/>
          <w:szCs w:val="20"/>
          <w:color w:val="auto"/>
        </w:rPr>
      </w:pPr>
      <w:r>
        <w:rPr>
          <w:rFonts w:ascii="Arial" w:cs="Arial" w:eastAsia="Arial" w:hAnsi="Arial"/>
          <w:sz w:val="18"/>
          <w:szCs w:val="18"/>
          <w:color w:val="auto"/>
        </w:rPr>
        <w:t xml:space="preserve">other than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6.16</w:t>
      </w:r>
      <w:r>
        <w:rPr>
          <w:rFonts w:ascii="Arial" w:cs="Arial" w:eastAsia="Arial" w:hAnsi="Arial"/>
          <w:sz w:val="18"/>
          <w:szCs w:val="18"/>
          <w:color w:val="auto"/>
        </w:rPr>
        <w:t>, release Holdings, any Borrower or any Significant Subsidiary that is a Subsidiary Guarantor from the Guarantee without the written consent of each Lender;</w:t>
      </w:r>
    </w:p>
    <w:p>
      <w:pPr>
        <w:spacing w:after="0" w:line="17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 no amendment, waiver or consent shall, unless in writing and signed by an L/C Issuer in addition to the Lenders required above, affect the rights or duties of such L/C Issuer under this Agreement or any Issuer Document relating to any Letter of Credit issued or to be issued by it; (ii) no amendment, waiver or consent shall, unless in writing and signed by a Swing Line Lender in addition to the Lenders required above, affect the rights or duties of such Swing Line Lender under this Agreement; (iii) no amendment, waiver or consent shall, unless in writing and signed by any Agent in addition to the Lenders required above, affect the rights or duties of such Agent under this Agreement or any other Loan Document; and (iv) </w:t>
      </w:r>
      <w:r>
        <w:rPr>
          <w:rFonts w:ascii="Arial" w:cs="Arial" w:eastAsia="Arial" w:hAnsi="Arial"/>
          <w:sz w:val="17"/>
          <w:szCs w:val="17"/>
          <w:u w:val="single" w:color="auto"/>
          <w:color w:val="auto"/>
        </w:rPr>
        <w:t>Section 10.06(h)</w:t>
      </w:r>
      <w:r>
        <w:rPr>
          <w:rFonts w:ascii="Arial" w:cs="Arial" w:eastAsia="Arial" w:hAnsi="Arial"/>
          <w:sz w:val="17"/>
          <w:szCs w:val="17"/>
          <w:color w:val="auto"/>
        </w:rPr>
        <w:t xml:space="preserve"> may not be amended, waived or otherwise modified without the consent of each Granting Lender all or any part of whose Loans are being funded by an SPC at the time of such amendment, waiver or other modification.</w:t>
      </w:r>
    </w:p>
    <w:p>
      <w:pPr>
        <w:spacing w:after="0" w:line="17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787" w:right="339" w:bottom="1440" w:gutter="0" w:footer="0" w:header="0"/>
        </w:sectPr>
      </w:pPr>
    </w:p>
    <w:bookmarkStart w:id="202" w:name="page203"/>
    <w:bookmarkEnd w:id="202"/>
    <w:p>
      <w:pPr>
        <w:ind w:right="20" w:firstLine="648"/>
        <w:spacing w:after="0" w:line="257" w:lineRule="auto"/>
        <w:rPr>
          <w:sz w:val="20"/>
          <w:szCs w:val="20"/>
          <w:color w:val="auto"/>
        </w:rPr>
      </w:pPr>
      <w:r>
        <w:rPr>
          <w:rFonts w:ascii="Arial" w:cs="Arial" w:eastAsia="Arial" w:hAnsi="Arial"/>
          <w:sz w:val="18"/>
          <w:szCs w:val="18"/>
          <w:color w:val="auto"/>
        </w:rPr>
        <w:t xml:space="preserve">If, in connection with any proposed change, waiver, discharge or termination of the provisions of this Agreement as contemplated by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the consent of the Required Lenders is obtained but the consent of one or more of such other Lenders whose consent is required is not obtained, then the U.S. Borrower shall have the right to replace all non-consenting Lenders required to obtain such consent with one or more Eligible Assignees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 so long as at the time of such replacement each such new Lender consents to the proposed change, waiver, discharge or termination.</w:t>
      </w:r>
    </w:p>
    <w:p>
      <w:pPr>
        <w:spacing w:after="0" w:line="18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Notwithstanding anything to the contrary, without the consent of any other Person, the applicable Loan Party or Parties and the Administrative Agent and/or Collateral Agent may (in its or their respective sole discretion, or shall, to the extent required by any Loan Document) enter into any amendment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the foregoing, this Agreement may be amended (or amended and restated) with the written consent of the Required Lenders, the Administrative Agent and the U.S.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Loans and the accrued interest and fees in respect thereof and (b) to include appropriately the Lenders holding such credit facilities in any determination of the Required Lenders.</w:t>
      </w:r>
    </w:p>
    <w:p>
      <w:pPr>
        <w:spacing w:after="0" w:line="17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10.02</w:t>
      </w:r>
      <w:r>
        <w:rPr>
          <w:sz w:val="20"/>
          <w:szCs w:val="20"/>
          <w:color w:val="auto"/>
        </w:rPr>
        <w:tab/>
      </w:r>
      <w:r>
        <w:rPr>
          <w:rFonts w:ascii="Arial" w:cs="Arial" w:eastAsia="Arial" w:hAnsi="Arial"/>
          <w:sz w:val="16"/>
          <w:szCs w:val="16"/>
          <w:b w:val="1"/>
          <w:bCs w:val="1"/>
          <w:u w:val="single" w:color="auto"/>
          <w:color w:val="auto"/>
        </w:rPr>
        <w:t>Notices; Effectiveness; Electronic Communication</w:t>
      </w:r>
      <w:r>
        <w:rPr>
          <w:rFonts w:ascii="Arial" w:cs="Arial" w:eastAsia="Arial" w:hAnsi="Arial"/>
          <w:sz w:val="16"/>
          <w:szCs w:val="16"/>
          <w:color w:val="auto"/>
        </w:rPr>
        <w:t>.</w:t>
      </w:r>
    </w:p>
    <w:p>
      <w:pPr>
        <w:spacing w:after="0" w:line="238" w:lineRule="exact"/>
        <w:rPr>
          <w:sz w:val="20"/>
          <w:szCs w:val="20"/>
          <w:color w:val="auto"/>
        </w:rPr>
      </w:pPr>
    </w:p>
    <w:p>
      <w:pPr>
        <w:ind w:right="60" w:firstLine="656"/>
        <w:spacing w:after="0" w:line="265" w:lineRule="auto"/>
        <w:tabs>
          <w:tab w:leader="none" w:pos="1048" w:val="left"/>
        </w:tabs>
        <w:numPr>
          <w:ilvl w:val="0"/>
          <w:numId w:val="202"/>
        </w:numPr>
        <w:rPr>
          <w:rFonts w:ascii="Arial" w:cs="Arial" w:eastAsia="Arial" w:hAnsi="Arial"/>
          <w:sz w:val="20"/>
          <w:szCs w:val="20"/>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94" w:lineRule="exact"/>
        <w:rPr>
          <w:rFonts w:ascii="Arial" w:cs="Arial" w:eastAsia="Arial" w:hAnsi="Arial"/>
          <w:sz w:val="20"/>
          <w:szCs w:val="20"/>
          <w:color w:val="auto"/>
        </w:rPr>
      </w:pPr>
    </w:p>
    <w:p>
      <w:pPr>
        <w:ind w:left="660" w:right="80" w:firstLine="644"/>
        <w:spacing w:after="0" w:line="264" w:lineRule="auto"/>
        <w:tabs>
          <w:tab w:leader="none" w:pos="1675" w:val="left"/>
        </w:tabs>
        <w:numPr>
          <w:ilvl w:val="1"/>
          <w:numId w:val="202"/>
        </w:numPr>
        <w:rPr>
          <w:rFonts w:ascii="Arial" w:cs="Arial" w:eastAsia="Arial" w:hAnsi="Arial"/>
          <w:sz w:val="20"/>
          <w:szCs w:val="20"/>
          <w:color w:val="auto"/>
        </w:rPr>
      </w:pPr>
      <w:r>
        <w:rPr>
          <w:rFonts w:ascii="Arial" w:cs="Arial" w:eastAsia="Arial" w:hAnsi="Arial"/>
          <w:sz w:val="18"/>
          <w:szCs w:val="18"/>
          <w:color w:val="auto"/>
        </w:rPr>
        <w:t xml:space="preserve">if to the U.S. Borrower, the Canadian Borrower, the Dutch Borrower, the Administrative Agent, the Canadian Agent, the European Agent, the Collateral Agent, an L/C Issuer or a Swing Line Lender, to the address, facsimile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196" w:lineRule="exact"/>
        <w:rPr>
          <w:rFonts w:ascii="Arial" w:cs="Arial" w:eastAsia="Arial" w:hAnsi="Arial"/>
          <w:sz w:val="20"/>
          <w:szCs w:val="20"/>
          <w:color w:val="auto"/>
        </w:rPr>
      </w:pPr>
    </w:p>
    <w:p>
      <w:pPr>
        <w:ind w:left="1720" w:hanging="416"/>
        <w:spacing w:after="0"/>
        <w:tabs>
          <w:tab w:leader="none" w:pos="1720" w:val="left"/>
        </w:tabs>
        <w:numPr>
          <w:ilvl w:val="1"/>
          <w:numId w:val="202"/>
        </w:numPr>
        <w:rPr>
          <w:rFonts w:ascii="Arial" w:cs="Arial" w:eastAsia="Arial" w:hAnsi="Arial"/>
          <w:sz w:val="18"/>
          <w:szCs w:val="18"/>
          <w:color w:val="auto"/>
        </w:rPr>
      </w:pPr>
      <w:r>
        <w:rPr>
          <w:rFonts w:ascii="Arial" w:cs="Arial" w:eastAsia="Arial" w:hAnsi="Arial"/>
          <w:sz w:val="16"/>
          <w:szCs w:val="16"/>
          <w:color w:val="auto"/>
        </w:rPr>
        <w:t>if to any other Lender, to the address, facsimile number, electronic mail address or telephone number specified in its Administrative</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Questionnaire.</w:t>
      </w:r>
    </w:p>
    <w:p>
      <w:pPr>
        <w:spacing w:after="0" w:line="22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subsection (b) below, shall be effective as provided in such subsection (b).</w:t>
      </w:r>
    </w:p>
    <w:p>
      <w:pPr>
        <w:spacing w:after="0" w:line="185" w:lineRule="exact"/>
        <w:rPr>
          <w:sz w:val="20"/>
          <w:szCs w:val="20"/>
          <w:color w:val="auto"/>
        </w:rPr>
      </w:pPr>
    </w:p>
    <w:p>
      <w:pPr>
        <w:ind w:right="40" w:firstLine="656"/>
        <w:spacing w:after="0" w:line="283" w:lineRule="auto"/>
        <w:tabs>
          <w:tab w:leader="none" w:pos="1058" w:val="left"/>
        </w:tabs>
        <w:numPr>
          <w:ilvl w:val="0"/>
          <w:numId w:val="203"/>
        </w:numPr>
        <w:rPr>
          <w:rFonts w:ascii="Arial" w:cs="Arial" w:eastAsia="Arial" w:hAnsi="Arial"/>
          <w:sz w:val="19"/>
          <w:szCs w:val="19"/>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L/C Issuer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or L/C Issuer, as applicable, has notified the Administrative Agent that it is incapable of receiving notices under such Article by electronic communication. The Administrative Agent, the Canadian Agent, the European Agent, any other applicable Facility Agent, the Collateral Agent or the Borrowers may, in their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773" w:right="359" w:bottom="1440" w:gutter="0" w:footer="0" w:header="0"/>
        </w:sectPr>
      </w:pPr>
    </w:p>
    <w:bookmarkStart w:id="203" w:name="page204"/>
    <w:bookmarkEnd w:id="203"/>
    <w:p>
      <w:pPr>
        <w:ind w:right="40" w:firstLine="648"/>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78" w:lineRule="exact"/>
        <w:rPr>
          <w:sz w:val="20"/>
          <w:szCs w:val="20"/>
          <w:color w:val="auto"/>
        </w:rPr>
      </w:pPr>
    </w:p>
    <w:p>
      <w:pPr>
        <w:ind w:right="40" w:firstLine="656"/>
        <w:spacing w:after="0" w:line="265" w:lineRule="auto"/>
        <w:tabs>
          <w:tab w:leader="none" w:pos="1048" w:val="left"/>
        </w:tabs>
        <w:numPr>
          <w:ilvl w:val="0"/>
          <w:numId w:val="204"/>
        </w:numPr>
        <w:rPr>
          <w:rFonts w:ascii="Arial" w:cs="Arial" w:eastAsia="Arial" w:hAnsi="Arial"/>
          <w:sz w:val="20"/>
          <w:szCs w:val="20"/>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the Canadian Agent, the European Agent, any other applicable Facility Agent, or any of their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any Loan Party, any Lender or any L/C Issuer for losses, claims, damages, liabilities or expenses of any kind (whether in tort, contract or otherwise) arising out of any Borrower’s or any applicable Facility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any Loan Party, any Lender or any L/C Issuer for indirect, special, incidental, consequential or punitive damages (as opposed to direct or actual damages).</w:t>
      </w:r>
    </w:p>
    <w:p>
      <w:pPr>
        <w:spacing w:after="0" w:line="203" w:lineRule="exact"/>
        <w:rPr>
          <w:rFonts w:ascii="Arial" w:cs="Arial" w:eastAsia="Arial" w:hAnsi="Arial"/>
          <w:sz w:val="20"/>
          <w:szCs w:val="20"/>
          <w:color w:val="auto"/>
        </w:rPr>
      </w:pPr>
    </w:p>
    <w:p>
      <w:pPr>
        <w:ind w:firstLine="656"/>
        <w:spacing w:after="0" w:line="282" w:lineRule="auto"/>
        <w:tabs>
          <w:tab w:leader="none" w:pos="1058" w:val="left"/>
        </w:tabs>
        <w:numPr>
          <w:ilvl w:val="0"/>
          <w:numId w:val="204"/>
        </w:numPr>
        <w:rPr>
          <w:rFonts w:ascii="Arial" w:cs="Arial" w:eastAsia="Arial" w:hAnsi="Arial"/>
          <w:sz w:val="19"/>
          <w:szCs w:val="19"/>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Borrowers, any applicable Facility Agent, the Collateral Agent, each L/C Issuer and each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U.S. Borrower, the Administrative Agent, the Canadian Agent, the European Agent, any other applicable Facility Agent, the Collateral Agent, each L/C Issuer and each Swing Line Lender. In addition, each Lender agrees to notify the Administrative Agent, the Canadian Agent, the European Agent and any other applicable Facility Agent from time to time to ensure that the Administrative Agent, the Canadian Agent, the European Agent and any other applicable Facility Agent have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U.S. Borrower or its securities for purposes of United States Federal or state securities laws.</w:t>
      </w:r>
    </w:p>
    <w:p>
      <w:pPr>
        <w:spacing w:after="0" w:line="186" w:lineRule="exact"/>
        <w:rPr>
          <w:rFonts w:ascii="Arial" w:cs="Arial" w:eastAsia="Arial" w:hAnsi="Arial"/>
          <w:sz w:val="19"/>
          <w:szCs w:val="19"/>
          <w:color w:val="auto"/>
        </w:rPr>
      </w:pPr>
    </w:p>
    <w:p>
      <w:pPr>
        <w:ind w:right="20" w:firstLine="656"/>
        <w:spacing w:after="0" w:line="283" w:lineRule="auto"/>
        <w:tabs>
          <w:tab w:leader="none" w:pos="1048" w:val="left"/>
        </w:tabs>
        <w:numPr>
          <w:ilvl w:val="0"/>
          <w:numId w:val="204"/>
        </w:numPr>
        <w:rPr>
          <w:rFonts w:ascii="Arial" w:cs="Arial" w:eastAsia="Arial" w:hAnsi="Arial"/>
          <w:sz w:val="19"/>
          <w:szCs w:val="19"/>
          <w:color w:val="auto"/>
        </w:rPr>
      </w:pPr>
      <w:r>
        <w:rPr>
          <w:rFonts w:ascii="Arial" w:cs="Arial" w:eastAsia="Arial" w:hAnsi="Arial"/>
          <w:sz w:val="17"/>
          <w:szCs w:val="17"/>
          <w:u w:val="single" w:color="auto"/>
          <w:color w:val="auto"/>
        </w:rPr>
        <w:t>Reliance by each Applicable Facility Agent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Collateral Agent, L/C Issuer and Lenders</w:t>
      </w:r>
      <w:r>
        <w:rPr>
          <w:rFonts w:ascii="Arial" w:cs="Arial" w:eastAsia="Arial" w:hAnsi="Arial"/>
          <w:sz w:val="17"/>
          <w:szCs w:val="17"/>
          <w:color w:val="auto"/>
        </w:rPr>
        <w:t>. Each applicable Facility Agent, the Collateral Agent, the L/C Issuers and the Lenders shall be entitled to rely and act upon any notices (including telephonic Borrowing or Conversion Notices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Each Borrower shall indemnify each applicable Facility Agent, the Collateral Agent, each L/C Issuer, each Lender and the Related Parties of each of them from all losses, costs, expenses and liabilities resulting from the reliance by such Person on each notice purportedly given by or on behalf of such Borrower. All telephonic notices to and other telephonic communications with any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773" w:right="339" w:bottom="1440" w:gutter="0" w:footer="0" w:header="0"/>
        </w:sectPr>
      </w:pPr>
    </w:p>
    <w:bookmarkStart w:id="204" w:name="page205"/>
    <w:bookmarkEnd w:id="204"/>
    <w:p>
      <w:pPr>
        <w:ind w:right="60"/>
        <w:spacing w:after="0" w:line="277" w:lineRule="auto"/>
        <w:rPr>
          <w:sz w:val="20"/>
          <w:szCs w:val="20"/>
          <w:color w:val="auto"/>
        </w:rPr>
      </w:pPr>
      <w:r>
        <w:rPr>
          <w:rFonts w:ascii="Arial" w:cs="Arial" w:eastAsia="Arial" w:hAnsi="Arial"/>
          <w:sz w:val="18"/>
          <w:szCs w:val="18"/>
          <w:color w:val="auto"/>
        </w:rPr>
        <w:t>applicable Facility Agent or the Collateral Agent may be recorded by any such Facility Agent or the Collateral Agent, and each of the parties hereto hereby consents to such recording.</w:t>
      </w:r>
    </w:p>
    <w:p>
      <w:pPr>
        <w:spacing w:after="0" w:line="162" w:lineRule="exact"/>
        <w:rPr>
          <w:sz w:val="20"/>
          <w:szCs w:val="20"/>
          <w:color w:val="auto"/>
        </w:rPr>
      </w:pPr>
    </w:p>
    <w:p>
      <w:pPr>
        <w:ind w:right="40" w:firstLine="648"/>
        <w:spacing w:after="0" w:line="274" w:lineRule="auto"/>
        <w:rPr>
          <w:sz w:val="20"/>
          <w:szCs w:val="20"/>
          <w:color w:val="auto"/>
        </w:rPr>
      </w:pPr>
      <w:r>
        <w:rPr>
          <w:rFonts w:ascii="Arial" w:cs="Arial" w:eastAsia="Arial" w:hAnsi="Arial"/>
          <w:sz w:val="20"/>
          <w:szCs w:val="20"/>
          <w:b w:val="1"/>
          <w:bCs w:val="1"/>
          <w:color w:val="auto"/>
        </w:rPr>
        <w:t xml:space="preserve">10.03 </w:t>
      </w:r>
      <w:r>
        <w:rPr>
          <w:rFonts w:ascii="Arial" w:cs="Arial" w:eastAsia="Arial" w:hAnsi="Arial"/>
          <w:sz w:val="17"/>
          <w:szCs w:val="17"/>
          <w:b w:val="1"/>
          <w:bCs w:val="1"/>
          <w:u w:val="single" w:color="auto"/>
          <w:color w:val="auto"/>
        </w:rPr>
        <w:t>No Waiver; Cumulative Remedies</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No failure by any Lender, any L/C Issuer, any applicable Facility Agent or the Collateral Agent to</w:t>
      </w:r>
      <w:r>
        <w:rPr>
          <w:rFonts w:ascii="Arial" w:cs="Arial" w:eastAsia="Arial" w:hAnsi="Arial"/>
          <w:sz w:val="20"/>
          <w:szCs w:val="20"/>
          <w:b w:val="1"/>
          <w:bCs w:val="1"/>
          <w:color w:val="auto"/>
        </w:rPr>
        <w:t xml:space="preserve"> </w:t>
      </w:r>
      <w:r>
        <w:rPr>
          <w:rFonts w:ascii="Arial" w:cs="Arial" w:eastAsia="Arial" w:hAnsi="Arial"/>
          <w:sz w:val="17"/>
          <w:szCs w:val="17"/>
          <w:color w:val="auto"/>
        </w:rPr>
        <w:t>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(and, in the sole discretion of the Administrative Agent, the Canadian Agent, the European Agent or other applicable Facility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and the L/C Issuers;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Canadian Agent, the European Agent, any other applicable Facility Agent, any L/C Issuer or any Swing Line Lender from exercising the rights and remedies that inure to its benefit (solely in its capacity as Canadian Agent, European Agent, Facility Agent, L/C Issuer or Swing Line Lender, as the case may be) hereunder and under the other Loan Documents, (c) any Lender from exercising setoff rights in accordance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clauses (b), (c) and (d) of the preceding proviso and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7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10.04</w:t>
      </w:r>
      <w:r>
        <w:rPr>
          <w:sz w:val="20"/>
          <w:szCs w:val="20"/>
          <w:color w:val="auto"/>
        </w:rPr>
        <w:tab/>
      </w:r>
      <w:r>
        <w:rPr>
          <w:rFonts w:ascii="Arial" w:cs="Arial" w:eastAsia="Arial" w:hAnsi="Arial"/>
          <w:sz w:val="16"/>
          <w:szCs w:val="16"/>
          <w:b w:val="1"/>
          <w:bCs w:val="1"/>
          <w:u w:val="single" w:color="auto"/>
          <w:color w:val="auto"/>
        </w:rPr>
        <w:t>Expenses; Indemnity; Damage Waiver</w:t>
      </w:r>
      <w:r>
        <w:rPr>
          <w:rFonts w:ascii="Arial" w:cs="Arial" w:eastAsia="Arial" w:hAnsi="Arial"/>
          <w:sz w:val="16"/>
          <w:szCs w:val="16"/>
          <w:color w:val="auto"/>
        </w:rPr>
        <w:t>.</w:t>
      </w:r>
    </w:p>
    <w:p>
      <w:pPr>
        <w:spacing w:after="0" w:line="238" w:lineRule="exact"/>
        <w:rPr>
          <w:sz w:val="20"/>
          <w:szCs w:val="20"/>
          <w:color w:val="auto"/>
        </w:rPr>
      </w:pPr>
    </w:p>
    <w:p>
      <w:pPr>
        <w:ind w:firstLine="656"/>
        <w:spacing w:after="0" w:line="282" w:lineRule="auto"/>
        <w:tabs>
          <w:tab w:leader="none" w:pos="1048" w:val="left"/>
        </w:tabs>
        <w:numPr>
          <w:ilvl w:val="0"/>
          <w:numId w:val="205"/>
        </w:numPr>
        <w:rPr>
          <w:rFonts w:ascii="Arial" w:cs="Arial" w:eastAsia="Arial" w:hAnsi="Arial"/>
          <w:sz w:val="19"/>
          <w:szCs w:val="19"/>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xml:space="preserve">. The U.S. Borrower shall pay (i) all reasonable out-of-pocket expenses incurred by each Agent and its Affiliates (including the reasonable fees, charges and disbursements of counsel for any Agent), in connection with due diligence,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renewal or extension of any Letter of Credit or any demand for payment thereunder and (iii) all out-of-pocket expenses incurred by each Agent, any Lender or any L/C Issuer (including the fees, charges and disbursements of any counsel for any Agent, any Lender or any L/C Issuer), in connection with the enforcement or protection of its rights (A) in connection with this Agreement and the other Loan Documents, including its rights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or (B) in connection with the Loans made or Letters of Credit issued hereunder, including all such out-of-pocket expenses incurred during any workout, restructuring or negotiations in respect of such Loans or Letters of Credit.</w:t>
      </w:r>
    </w:p>
    <w:p>
      <w:pPr>
        <w:spacing w:after="0" w:line="187" w:lineRule="exact"/>
        <w:rPr>
          <w:rFonts w:ascii="Arial" w:cs="Arial" w:eastAsia="Arial" w:hAnsi="Arial"/>
          <w:sz w:val="19"/>
          <w:szCs w:val="19"/>
          <w:color w:val="auto"/>
        </w:rPr>
      </w:pPr>
    </w:p>
    <w:p>
      <w:pPr>
        <w:ind w:right="20" w:firstLine="656"/>
        <w:spacing w:after="0" w:line="283" w:lineRule="auto"/>
        <w:tabs>
          <w:tab w:leader="none" w:pos="1058" w:val="left"/>
        </w:tabs>
        <w:numPr>
          <w:ilvl w:val="0"/>
          <w:numId w:val="205"/>
        </w:numPr>
        <w:rPr>
          <w:rFonts w:ascii="Arial" w:cs="Arial" w:eastAsia="Arial" w:hAnsi="Arial"/>
          <w:sz w:val="19"/>
          <w:szCs w:val="19"/>
          <w:color w:val="auto"/>
        </w:rPr>
      </w:pPr>
      <w:r>
        <w:rPr>
          <w:rFonts w:ascii="Arial" w:cs="Arial" w:eastAsia="Arial" w:hAnsi="Arial"/>
          <w:sz w:val="17"/>
          <w:szCs w:val="17"/>
          <w:u w:val="single" w:color="auto"/>
          <w:color w:val="auto"/>
        </w:rPr>
        <w:t>Indemnification by the Loan Parties</w:t>
      </w:r>
      <w:r>
        <w:rPr>
          <w:rFonts w:ascii="Arial" w:cs="Arial" w:eastAsia="Arial" w:hAnsi="Arial"/>
          <w:sz w:val="17"/>
          <w:szCs w:val="17"/>
          <w:color w:val="auto"/>
        </w:rPr>
        <w:t>. The Loan Parties shall jointly and severally indemnify each Agent (and any sub-agent thereof), the Arrangers, each Lender and each L/C Issuer,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and expenses and settlement costs (but in the case of counsel to such Indemnitees, limited to the fees, charges and disbursements of a single firm of counsel for all Indemnitees and, if necessary, a single firm of local counsel to such Indemnitees in each relevant jurisdiction (and, in the case of a conflict of interest, one additional firm of counsel to each affected Indemnitee and, if reasonably necessary, one additional firm of local counsel to each affected Indemnitee in any relevant jurisdiction)), incurred by any Indemnitee or asserted against any Indemnitee by any third party or by any Loan Party arising out of, in connection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341" w:right="339" w:bottom="1440" w:gutter="0" w:footer="0" w:header="0"/>
        </w:sectPr>
      </w:pPr>
    </w:p>
    <w:bookmarkStart w:id="205" w:name="page206"/>
    <w:bookmarkEnd w:id="205"/>
    <w:p>
      <w:pPr>
        <w:spacing w:after="0" w:line="284" w:lineRule="auto"/>
        <w:rPr>
          <w:sz w:val="20"/>
          <w:szCs w:val="20"/>
          <w:color w:val="auto"/>
        </w:rPr>
      </w:pPr>
      <w:r>
        <w:rPr>
          <w:rFonts w:ascii="Arial" w:cs="Arial" w:eastAsia="Arial" w:hAnsi="Arial"/>
          <w:sz w:val="16"/>
          <w:szCs w:val="16"/>
          <w:color w:val="auto"/>
        </w:rPr>
        <w:t xml:space="preserve">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 on, at, under or from any property owned or operated by the U.S. Borrower or any of the Subsidiaries, or any Environmental Claim related in any way to the U.S. Borrower or any of the Subsidiaries, or (iv) any actual or threatened claim, litigation, investigation or proceeding relating to any of the foregoing, whether based on contract, tort or any other theory, whether brought by a third party, by any Loan Party or any equity holder or creditor of a Loan Party, and regardless of whether any Indemnitee is a party thereto; provided that such indemnity shall not, as to any Indemnitee, be available to the extent that such losses, claims, damages, liabilities, expenses or settlement costs are determined by a court of competent jurisdiction by final and nonappealable judgment to have resulted from the gross negligence or willful misconduct of such Indemnitee,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(instead of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govern indemnity with respect to the matters addressed in such Article (including, without limitation, Taxes), except that Taxes representing losses, claims, damages, etc., with respect to a non-Tax claim may be covered by this </w:t>
      </w:r>
      <w:r>
        <w:rPr>
          <w:rFonts w:ascii="Arial" w:cs="Arial" w:eastAsia="Arial" w:hAnsi="Arial"/>
          <w:sz w:val="16"/>
          <w:szCs w:val="16"/>
          <w:u w:val="single" w:color="auto"/>
          <w:color w:val="auto"/>
        </w:rPr>
        <w:t>Section 10.04(b</w:t>
      </w:r>
      <w:r>
        <w:rPr>
          <w:rFonts w:ascii="Arial" w:cs="Arial" w:eastAsia="Arial" w:hAnsi="Arial"/>
          <w:sz w:val="16"/>
          <w:szCs w:val="16"/>
          <w:color w:val="auto"/>
        </w:rPr>
        <w:t xml:space="preserve">) (without duplication of </w:t>
      </w:r>
      <w:r>
        <w:rPr>
          <w:rFonts w:ascii="Arial" w:cs="Arial" w:eastAsia="Arial" w:hAnsi="Arial"/>
          <w:sz w:val="16"/>
          <w:szCs w:val="16"/>
          <w:u w:val="single" w:color="auto"/>
          <w:color w:val="auto"/>
        </w:rPr>
        <w:t>Article III</w:t>
      </w:r>
      <w:r>
        <w:rPr>
          <w:rFonts w:ascii="Arial" w:cs="Arial" w:eastAsia="Arial" w:hAnsi="Arial"/>
          <w:sz w:val="16"/>
          <w:szCs w:val="16"/>
          <w:color w:val="auto"/>
        </w:rPr>
        <w:t>). The U.S. Borrower agrees that no Indemnitee shall have any liability (whether direct or indirect, in contract or tort or otherwise) to U.S. Borrower, its Subsidiaries or Affiliates or to U.S. Borrower’s or Holdings’ equity holders or creditors arising out of, related to or in connection with any aspect of the Transaction, the Fourth Restatement Date Transaction or the Loan Documents, except to the extent of direct (as opposed to special, indirect, consequential or punitive) damages determined in a final, non-appealable judgment by a court of competent jurisdiction to have resulted from the gross negligence or willful misconduct of such Indemnitee. It is further agreed that the Lenders shall only have liability to U.S. Borrower (as opposed to any other Person). Notwithstanding any other provision of the Loan Documents, no Indemnitee shall be liable for any damages arising from the use by others of information or other materials obtained through electronic telecommunications or other information transmission systems, other than for direct or actual damages resulting from the gross negligence or willful misconduct of such Indemnitee as determined by a final, non-appealable judgment of a court of competent jurisdiction. The Loan Parties shall not, without the prior written consent of an Indemnitee (which consent shall not be unreasonably withheld), effect any settlement of any pending or threatened proceeding against an Indemnitee in respect of which indemnity could have been sought hereunder by such Indemnitee unless (i) such settlement includes an unconditional release of such Indemnitee from all liability or claims that are the subject matter of such claim, litigation, investigation or proceeding and (ii) does not include any statement as to any admission of fault, culpability, wrong-doing or a failure to act by or on behalf of such Indemnitee. The Loan Parties shall not be liable for any settlement of any claim, litigation, investigation or</w:t>
      </w:r>
    </w:p>
    <w:p>
      <w:pPr>
        <w:spacing w:after="0" w:line="18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proceeding effected without the written consent (which consent shall not be unreasonably withheld, conditioned or delayed) of the Loan Parties, but if settled with the written consent of the Loan Parties, the Loan Parties agree to indemnify and hold harmless each Indemnitee from and against any and all claims, damages, losses, liabilities and expenses by reason of such claim, litigation, investigation or proceeding in accordance with and to the extent provided in the other provisions of this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206" w:lineRule="exact"/>
        <w:rPr>
          <w:sz w:val="20"/>
          <w:szCs w:val="20"/>
          <w:color w:val="auto"/>
        </w:rPr>
      </w:pPr>
    </w:p>
    <w:p>
      <w:pPr>
        <w:ind w:right="20" w:firstLine="656"/>
        <w:spacing w:after="0" w:line="282" w:lineRule="auto"/>
        <w:tabs>
          <w:tab w:leader="none" w:pos="1048" w:val="left"/>
        </w:tabs>
        <w:numPr>
          <w:ilvl w:val="0"/>
          <w:numId w:val="206"/>
        </w:numPr>
        <w:rPr>
          <w:rFonts w:ascii="Arial" w:cs="Arial" w:eastAsia="Arial" w:hAnsi="Arial"/>
          <w:sz w:val="19"/>
          <w:szCs w:val="19"/>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Loan Parties for any reason fail to pay any amount required under subsection (a) or (b) of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to be paid by them to the Administrative Agent (or any sub-agent thereof), the Canadian Agent, the European Agent, any other applicable Facility Agent, the Collateral Agent, any L/C Issuer, any Swing Line Lender or any Related Party of any of the foregoing, each Lender severally agrees to pay to the Administrative Agent (or any such sub-agent), the Canadian Agent, the European Agent, any other applicable Facility Agent, the Collateral Agent, (or any sub-agent thereof), each L/C Issuer, each Swing Line Lender or such Related Party, as the case may be, such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the Canadian Agent, the European Agent, any other applicable Facility Agent, the Collateral Agent (or any sub-agent thereof), any Swing Line Lender or any L/C Issuer in its capacity as such, or against any Related Party of any of the foregoing acting for the Administrative Agent (or any such sub-agent), the Canadian Agent, the European Agent, any other applicable Facility Agent, the Collateral Agent (or any sub-agent thereof), or L/C Issuer or Swing Line Lender in connection with such capacity. The obligations of the Lenders under this subsection (c) are subject to the provisions of </w:t>
      </w:r>
      <w:r>
        <w:rPr>
          <w:rFonts w:ascii="Arial" w:cs="Arial" w:eastAsia="Arial" w:hAnsi="Arial"/>
          <w:sz w:val="17"/>
          <w:szCs w:val="17"/>
          <w:u w:val="single" w:color="auto"/>
          <w:color w:val="auto"/>
        </w:rPr>
        <w:t>Section 2.12(d</w:t>
      </w:r>
      <w:r>
        <w:rPr>
          <w:rFonts w:ascii="Arial" w:cs="Arial" w:eastAsia="Arial" w:hAnsi="Arial"/>
          <w:sz w:val="17"/>
          <w:szCs w:val="17"/>
          <w:color w:val="auto"/>
        </w:rPr>
        <w: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557" w:right="359" w:bottom="1440" w:gutter="0" w:footer="0" w:header="0"/>
        </w:sectPr>
      </w:pPr>
    </w:p>
    <w:bookmarkStart w:id="206" w:name="page207"/>
    <w:bookmarkEnd w:id="206"/>
    <w:p>
      <w:pPr>
        <w:ind w:firstLine="656"/>
        <w:spacing w:after="0" w:line="265" w:lineRule="auto"/>
        <w:tabs>
          <w:tab w:leader="none" w:pos="1058" w:val="left"/>
        </w:tabs>
        <w:numPr>
          <w:ilvl w:val="0"/>
          <w:numId w:val="207"/>
        </w:numPr>
        <w:rPr>
          <w:rFonts w:ascii="Arial" w:cs="Arial" w:eastAsia="Arial" w:hAnsi="Arial"/>
          <w:sz w:val="20"/>
          <w:szCs w:val="20"/>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the Loan Parties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7" w:lineRule="exact"/>
        <w:rPr>
          <w:rFonts w:ascii="Arial" w:cs="Arial" w:eastAsia="Arial" w:hAnsi="Arial"/>
          <w:sz w:val="20"/>
          <w:szCs w:val="20"/>
          <w:color w:val="auto"/>
        </w:rPr>
      </w:pPr>
    </w:p>
    <w:p>
      <w:pPr>
        <w:ind w:left="1060" w:hanging="404"/>
        <w:spacing w:after="0"/>
        <w:tabs>
          <w:tab w:leader="none" w:pos="1060" w:val="left"/>
        </w:tabs>
        <w:numPr>
          <w:ilvl w:val="0"/>
          <w:numId w:val="207"/>
        </w:numPr>
        <w:rPr>
          <w:rFonts w:ascii="Arial" w:cs="Arial" w:eastAsia="Arial" w:hAnsi="Arial"/>
          <w:sz w:val="20"/>
          <w:szCs w:val="20"/>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amounts due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be payable not later than ten Business Days after demand therefor.</w:t>
      </w:r>
    </w:p>
    <w:p>
      <w:pPr>
        <w:spacing w:after="0" w:line="215" w:lineRule="exact"/>
        <w:rPr>
          <w:rFonts w:ascii="Arial" w:cs="Arial" w:eastAsia="Arial" w:hAnsi="Arial"/>
          <w:sz w:val="20"/>
          <w:szCs w:val="20"/>
          <w:color w:val="auto"/>
        </w:rPr>
      </w:pPr>
    </w:p>
    <w:p>
      <w:pPr>
        <w:ind w:right="140" w:firstLine="656"/>
        <w:spacing w:after="0" w:line="264" w:lineRule="auto"/>
        <w:tabs>
          <w:tab w:leader="none" w:pos="1026" w:val="left"/>
        </w:tabs>
        <w:numPr>
          <w:ilvl w:val="0"/>
          <w:numId w:val="207"/>
        </w:numPr>
        <w:rPr>
          <w:rFonts w:ascii="Arial" w:cs="Arial" w:eastAsia="Arial" w:hAnsi="Arial"/>
          <w:sz w:val="20"/>
          <w:szCs w:val="20"/>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survive the resignation of the Administrative Agent, the Canadian Agent, the European Agent, any other applicable Facility Agent, the Collateral Agent and the L/C Issuers, the replacement of any Lender, the termination of the Aggregate Commitments and the repayment, satisfaction or discharge of all the other Obligations.</w:t>
      </w:r>
    </w:p>
    <w:p>
      <w:pPr>
        <w:spacing w:after="0" w:line="174" w:lineRule="exact"/>
        <w:rPr>
          <w:sz w:val="20"/>
          <w:szCs w:val="20"/>
          <w:color w:val="auto"/>
        </w:rPr>
      </w:pPr>
    </w:p>
    <w:p>
      <w:pPr>
        <w:ind w:right="20" w:firstLine="648"/>
        <w:spacing w:after="0" w:line="279" w:lineRule="auto"/>
        <w:rPr>
          <w:sz w:val="20"/>
          <w:szCs w:val="20"/>
          <w:color w:val="auto"/>
        </w:rPr>
      </w:pPr>
      <w:r>
        <w:rPr>
          <w:rFonts w:ascii="Arial" w:cs="Arial" w:eastAsia="Arial" w:hAnsi="Arial"/>
          <w:sz w:val="20"/>
          <w:szCs w:val="20"/>
          <w:b w:val="1"/>
          <w:bCs w:val="1"/>
          <w:color w:val="auto"/>
        </w:rPr>
        <w:t xml:space="preserve">10.05 </w:t>
      </w:r>
      <w:r>
        <w:rPr>
          <w:rFonts w:ascii="Arial" w:cs="Arial" w:eastAsia="Arial" w:hAnsi="Arial"/>
          <w:sz w:val="17"/>
          <w:szCs w:val="17"/>
          <w:b w:val="1"/>
          <w:bCs w:val="1"/>
          <w:u w:val="single" w:color="auto"/>
          <w:color w:val="auto"/>
        </w:rPr>
        <w:t>Payments Set Aside</w:t>
      </w:r>
      <w:r>
        <w:rPr>
          <w:rFonts w:ascii="Arial" w:cs="Arial" w:eastAsia="Arial" w:hAnsi="Arial"/>
          <w:sz w:val="17"/>
          <w:szCs w:val="17"/>
          <w:color w:val="auto"/>
        </w:rPr>
        <w:t>. To the extent that any payment by or on behalf of any Borrower is made to any Agent, any L/C Issuer or any</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Lender, or any Agent, any L/C Issuer or any Lender exercises its right of setoff, and such payment or the proceeds of such setoff or any part thereof is subsequently invalidated, declared to be fraudulent or preferential, set aside or required (including pursuant to any settlement entered into by any Agent, any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each Agent upon demand its applicable share (without duplication) of any amount so recovered from or repaid by such Agent, plus interest thereon from the date of such demand to the date such payment is made at a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equal to (w) with respect to amounts denominated in Dollars, the Federal Funds Rate from time to time in effect, (x) with respect to amounts denominated in Canadian Dollars, the rate of interest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at which overnight deposits in any amount approximately equal to the amount with respect to which such rate is determined, would be offered for such day by JPMorgan Chase Bank, N.A., Toronto Branch, plus any administrative, processing or similar fees customarily charged by JPMorgan Chase Bank, N.A., Toronto Branch, (y) with respect to amounts denominated in Euros and Pounds Sterling, the rate determined by such Agent in accordance with banking industry rules on interbank compensation, and (z) with respect to amounts denominated in any Alternative Currency, the rate of interest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at which overnight deposits in the applicable Alternative Currency, in an amount approximately equal to the amount with respect to which such rate is being determined, would be offered for such day by a branch or Affiliate of JPMCB in the applicable offshore interbank market for such currency to major banks in such interbank market. The obligations of the Lenders and L/C Issuers under clause (b) of the preceding sentence shall survive the payment in full of the Obligations and the termination of this Agreement.</w:t>
      </w:r>
    </w:p>
    <w:p>
      <w:pPr>
        <w:spacing w:after="0" w:line="17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10.06</w:t>
      </w:r>
      <w:r>
        <w:rPr>
          <w:sz w:val="20"/>
          <w:szCs w:val="20"/>
          <w:color w:val="auto"/>
        </w:rPr>
        <w:tab/>
      </w:r>
      <w:r>
        <w:rPr>
          <w:rFonts w:ascii="Arial" w:cs="Arial" w:eastAsia="Arial" w:hAnsi="Arial"/>
          <w:sz w:val="15"/>
          <w:szCs w:val="15"/>
          <w:b w:val="1"/>
          <w:bCs w:val="1"/>
          <w:u w:val="single" w:color="auto"/>
          <w:color w:val="auto"/>
        </w:rPr>
        <w:t>Successors and Assigns</w:t>
      </w:r>
      <w:r>
        <w:rPr>
          <w:rFonts w:ascii="Arial" w:cs="Arial" w:eastAsia="Arial" w:hAnsi="Arial"/>
          <w:sz w:val="15"/>
          <w:szCs w:val="15"/>
          <w:color w:val="auto"/>
        </w:rPr>
        <w:t>.</w:t>
      </w:r>
    </w:p>
    <w:p>
      <w:pPr>
        <w:spacing w:after="0" w:line="238" w:lineRule="exact"/>
        <w:rPr>
          <w:sz w:val="20"/>
          <w:szCs w:val="20"/>
          <w:color w:val="auto"/>
        </w:rPr>
      </w:pPr>
    </w:p>
    <w:p>
      <w:pPr>
        <w:ind w:right="20" w:firstLine="656"/>
        <w:spacing w:after="0" w:line="302" w:lineRule="auto"/>
        <w:tabs>
          <w:tab w:leader="none" w:pos="1048" w:val="left"/>
        </w:tabs>
        <w:numPr>
          <w:ilvl w:val="0"/>
          <w:numId w:val="208"/>
        </w:numPr>
        <w:rPr>
          <w:rFonts w:ascii="Arial" w:cs="Arial" w:eastAsia="Arial" w:hAnsi="Arial"/>
          <w:sz w:val="18"/>
          <w:szCs w:val="18"/>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neither any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subsection (b)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10.06</w:t>
      </w:r>
      <w:r>
        <w:rPr>
          <w:rFonts w:ascii="Arial" w:cs="Arial" w:eastAsia="Arial" w:hAnsi="Arial"/>
          <w:sz w:val="16"/>
          <w:szCs w:val="16"/>
          <w:color w:val="auto"/>
        </w:rPr>
        <w:t xml:space="preserve">, (ii) by way of participation in accordance with the provisions of subsection (d)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(iii) by way of pledge or assignment of a security interest subject to the restrictions of subsection (f)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or (iv) to an SPC in accordance with the provisions of subsection (h)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787" w:right="339" w:bottom="1440" w:gutter="0" w:footer="0" w:header="0"/>
        </w:sectPr>
      </w:pPr>
    </w:p>
    <w:bookmarkStart w:id="207" w:name="page208"/>
    <w:bookmarkEnd w:id="207"/>
    <w:p>
      <w:pPr>
        <w:ind w:right="660"/>
        <w:spacing w:after="0" w:line="277" w:lineRule="auto"/>
        <w:rPr>
          <w:sz w:val="20"/>
          <w:szCs w:val="20"/>
          <w:color w:val="auto"/>
        </w:rPr>
      </w:pPr>
      <w:r>
        <w:rPr>
          <w:rFonts w:ascii="Arial" w:cs="Arial" w:eastAsia="Arial" w:hAnsi="Arial"/>
          <w:sz w:val="18"/>
          <w:szCs w:val="18"/>
          <w:color w:val="auto"/>
        </w:rPr>
        <w:t>Administrative Agent, the Canadian Agent, the European Agent, any other applicable Facility Agent, the L/C Issuers and the Lenders) any legal or equitable right, remedy or claim under or by reason of this Agreement.</w:t>
      </w:r>
    </w:p>
    <w:p>
      <w:pPr>
        <w:spacing w:after="0" w:line="184" w:lineRule="exact"/>
        <w:rPr>
          <w:sz w:val="20"/>
          <w:szCs w:val="20"/>
          <w:color w:val="auto"/>
        </w:rPr>
      </w:pPr>
    </w:p>
    <w:p>
      <w:pPr>
        <w:ind w:right="140" w:firstLine="656"/>
        <w:spacing w:after="0" w:line="264" w:lineRule="auto"/>
        <w:tabs>
          <w:tab w:leader="none" w:pos="1058" w:val="left"/>
        </w:tabs>
        <w:numPr>
          <w:ilvl w:val="0"/>
          <w:numId w:val="209"/>
        </w:numPr>
        <w:rPr>
          <w:rFonts w:ascii="Arial" w:cs="Arial" w:eastAsia="Arial" w:hAnsi="Arial"/>
          <w:sz w:val="20"/>
          <w:szCs w:val="20"/>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(including for purposes of this subsection (b),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6" w:lineRule="exact"/>
        <w:rPr>
          <w:rFonts w:ascii="Arial" w:cs="Arial" w:eastAsia="Arial" w:hAnsi="Arial"/>
          <w:sz w:val="20"/>
          <w:szCs w:val="20"/>
          <w:color w:val="auto"/>
        </w:rPr>
      </w:pPr>
    </w:p>
    <w:p>
      <w:pPr>
        <w:ind w:left="660" w:right="80" w:firstLine="644"/>
        <w:spacing w:after="0" w:line="300" w:lineRule="auto"/>
        <w:tabs>
          <w:tab w:leader="none" w:pos="1675" w:val="left"/>
        </w:tabs>
        <w:numPr>
          <w:ilvl w:val="1"/>
          <w:numId w:val="209"/>
        </w:numPr>
        <w:rPr>
          <w:rFonts w:ascii="Arial" w:cs="Arial" w:eastAsia="Arial" w:hAnsi="Arial"/>
          <w:sz w:val="18"/>
          <w:szCs w:val="18"/>
          <w:color w:val="auto"/>
        </w:rPr>
      </w:pPr>
      <w:r>
        <w:rPr>
          <w:rFonts w:ascii="Arial" w:cs="Arial" w:eastAsia="Arial" w:hAnsi="Arial"/>
          <w:sz w:val="16"/>
          <w:szCs w:val="16"/>
          <w:color w:val="auto"/>
        </w:rPr>
        <w:t xml:space="preserve">except in the case of an assignment of the entire remaining amount of the assigning (x) U.S. Dollar Facility Lender’s U.S. Dollar Facility Commitment or U.S. Dollar Facility Revolving Loans at the time owing to it or in the case of an assignment to a Lender or an Affiliate of a Lender or an Approved Fund with respect to a Lender, the aggregate amount of the U.S. Dollar Facility Commitment (which for this purpose includes U.S. Dollar Facility Revolving Loans outstanding thereunder) of the assigning U.S. Dollar Facility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U.S. Borrower otherwise consents (each such consent not to be unreasonably withheld or delayed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U.S. Borrower shall be deemed to have consented if it has not objected in writing to any such assignment within 10 Business Days after having received notice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concurrent assignments under this clause (x)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and (y) Multicurrency Facility Lender’s Multicurrency Facility Commitment or Multicurrency Facility Revolving Loans at the time owing to it or in the case of an assignment to a Lender or an Affiliate of a Lender or an Approved Fund with respect to a Lender, the aggregate amount of the Multicurrency Facility Commitment (which for this purpose includes Multicurrency Facility Revolving Loans outstanding thereunder) of the assigning Multicurrency Facility Lender subject to each such assignment, determined as of the date the Assignment and Assumption with respect to such assignment, is delivered to the applicable Facility Agent or, if “Trade Date” is specified in the Assignment and Assumption, as of the Trade Date, shall not be less than $1,000,000 with respect to Multicurrency Facility Commitments and Multicurrency Facility Revolving Loans unless each of the applicable Facility Agent and, so long as no Event of Default has occurred and is continuing, the U.S. Borrower otherwise consents (each such consent not to be unreasonably withheld or delayed and provided that the U.S. Borrower shall be deemed to have consented if it has not objected in writing to any such assignment within 10 Business Days after having received notice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concurrent assignments under this clause (y)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76" w:lineRule="exact"/>
        <w:rPr>
          <w:rFonts w:ascii="Arial" w:cs="Arial" w:eastAsia="Arial" w:hAnsi="Arial"/>
          <w:sz w:val="18"/>
          <w:szCs w:val="18"/>
          <w:color w:val="auto"/>
        </w:rPr>
      </w:pPr>
    </w:p>
    <w:p>
      <w:pPr>
        <w:ind w:left="660" w:right="180" w:firstLine="644"/>
        <w:spacing w:after="0" w:line="264" w:lineRule="auto"/>
        <w:tabs>
          <w:tab w:leader="none" w:pos="1729" w:val="left"/>
        </w:tabs>
        <w:numPr>
          <w:ilvl w:val="1"/>
          <w:numId w:val="209"/>
        </w:numPr>
        <w:rPr>
          <w:rFonts w:ascii="Arial" w:cs="Arial" w:eastAsia="Arial" w:hAnsi="Arial"/>
          <w:sz w:val="20"/>
          <w:szCs w:val="20"/>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 with respect to the Loans or the Commitment assigned, except that this clause (ii) shall not apply to rights in respect of Swing Line Loans;</w:t>
      </w:r>
    </w:p>
    <w:p>
      <w:pPr>
        <w:spacing w:after="0" w:line="196" w:lineRule="exact"/>
        <w:rPr>
          <w:rFonts w:ascii="Arial" w:cs="Arial" w:eastAsia="Arial" w:hAnsi="Arial"/>
          <w:sz w:val="20"/>
          <w:szCs w:val="20"/>
          <w:color w:val="auto"/>
        </w:rPr>
      </w:pPr>
    </w:p>
    <w:p>
      <w:pPr>
        <w:ind w:left="660" w:firstLine="644"/>
        <w:spacing w:after="0" w:line="265" w:lineRule="auto"/>
        <w:tabs>
          <w:tab w:leader="none" w:pos="1785" w:val="left"/>
        </w:tabs>
        <w:numPr>
          <w:ilvl w:val="1"/>
          <w:numId w:val="209"/>
        </w:numPr>
        <w:rPr>
          <w:rFonts w:ascii="Arial" w:cs="Arial" w:eastAsia="Arial" w:hAnsi="Arial"/>
          <w:sz w:val="20"/>
          <w:szCs w:val="20"/>
          <w:color w:val="auto"/>
        </w:rPr>
      </w:pPr>
      <w:r>
        <w:rPr>
          <w:rFonts w:ascii="Arial" w:cs="Arial" w:eastAsia="Arial" w:hAnsi="Arial"/>
          <w:sz w:val="18"/>
          <w:szCs w:val="18"/>
          <w:color w:val="auto"/>
        </w:rPr>
        <w:t>(x) any assignment of a U.S. Dollar Facility Commitment or a U.S. Dollar Facility Revolving Loan must be approved by the Administrative Agent, each U.S. Dollar Facility L/C Issuer and the U.S. Dollar Facility Swing Line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approval required by this clause (iii) shall not be unreasonably withheld) unless, in the case of the approval of the Administrative Agent only, the Person that is the proposed assignee is itself a Lender (whether or not the proposed assignee would otherwise qualify as an Eligible Assignee), and (y) any assignment of a Multicurrency Facility Commitment or a Multicurrency Facility Revolving Loan must be approved by the applicable Facility Agent, each Multicurrency Facility L/C Issuer and the Multicurrency Facility Swing Line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approval required by this clause (iii) shall not be unreasonably withheld) unless,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341" w:right="339" w:bottom="1440" w:gutter="0" w:footer="0" w:header="0"/>
        </w:sectPr>
      </w:pPr>
    </w:p>
    <w:bookmarkStart w:id="208" w:name="page209"/>
    <w:bookmarkEnd w:id="208"/>
    <w:p>
      <w:pPr>
        <w:ind w:right="340"/>
        <w:spacing w:after="0" w:line="277" w:lineRule="auto"/>
        <w:rPr>
          <w:sz w:val="20"/>
          <w:szCs w:val="20"/>
          <w:color w:val="auto"/>
        </w:rPr>
      </w:pPr>
      <w:r>
        <w:rPr>
          <w:rFonts w:ascii="Arial" w:cs="Arial" w:eastAsia="Arial" w:hAnsi="Arial"/>
          <w:sz w:val="18"/>
          <w:szCs w:val="18"/>
          <w:color w:val="auto"/>
        </w:rPr>
        <w:t>in the case of the approval of the applicable Facility Agent only, the Person that is the proposed assignee is itself a Lender (whether or not the proposed assignee would otherwise qualify as an Eligible Assignee);</w:t>
      </w:r>
    </w:p>
    <w:p>
      <w:pPr>
        <w:spacing w:after="0" w:line="184" w:lineRule="exact"/>
        <w:rPr>
          <w:sz w:val="20"/>
          <w:szCs w:val="20"/>
          <w:color w:val="auto"/>
        </w:rPr>
      </w:pPr>
    </w:p>
    <w:p>
      <w:pPr>
        <w:ind w:left="660" w:firstLine="644"/>
        <w:spacing w:after="0" w:line="265" w:lineRule="auto"/>
        <w:tabs>
          <w:tab w:leader="none" w:pos="1774" w:val="left"/>
        </w:tabs>
        <w:numPr>
          <w:ilvl w:val="0"/>
          <w:numId w:val="210"/>
        </w:numPr>
        <w:rPr>
          <w:rFonts w:ascii="Arial" w:cs="Arial" w:eastAsia="Arial" w:hAnsi="Arial"/>
          <w:sz w:val="20"/>
          <w:szCs w:val="20"/>
          <w:color w:val="auto"/>
        </w:rPr>
      </w:pPr>
      <w:r>
        <w:rPr>
          <w:rFonts w:ascii="Arial" w:cs="Arial" w:eastAsia="Arial" w:hAnsi="Arial"/>
          <w:sz w:val="18"/>
          <w:szCs w:val="18"/>
          <w:color w:val="auto"/>
        </w:rPr>
        <w:t xml:space="preserve">(x) the parties to each assignment of a U.S. Dollar Facility Commitment or a U.S. Dollar Facility Revolving Loan shall execute and deliver to the Administrative Agent, an Assignment and Assumption, together with a processing and recordation fee in the amount, if any, required as set forth in </w:t>
      </w:r>
      <w:r>
        <w:rPr>
          <w:rFonts w:ascii="Arial" w:cs="Arial" w:eastAsia="Arial" w:hAnsi="Arial"/>
          <w:sz w:val="18"/>
          <w:szCs w:val="18"/>
          <w:u w:val="single" w:color="auto"/>
          <w:color w:val="auto"/>
        </w:rPr>
        <w:t>Schedule 10.06</w:t>
      </w:r>
      <w:r>
        <w:rPr>
          <w:rFonts w:ascii="Arial" w:cs="Arial" w:eastAsia="Arial" w:hAnsi="Arial"/>
          <w:sz w:val="18"/>
          <w:szCs w:val="18"/>
          <w:color w:val="auto"/>
        </w:rPr>
        <w:t xml:space="preserve">, and the Eligible Assignee, if it shall not be a Lender, shall deliver to the Administrative Agent an Administrative Questionnaire and (y) the parties to each assignment of a Multicurrency Facility Commitment or a Multicurrency Facility Revolving Loan shall execute and deliver to the applicable Facility Agent, an Assignment and Assumption, together with a processing and recordation fee in the amount, if any, required as set forth in </w:t>
      </w:r>
      <w:r>
        <w:rPr>
          <w:rFonts w:ascii="Arial" w:cs="Arial" w:eastAsia="Arial" w:hAnsi="Arial"/>
          <w:sz w:val="18"/>
          <w:szCs w:val="18"/>
          <w:u w:val="single" w:color="auto"/>
          <w:color w:val="auto"/>
        </w:rPr>
        <w:t>Schedule 10.06</w:t>
      </w:r>
      <w:r>
        <w:rPr>
          <w:rFonts w:ascii="Arial" w:cs="Arial" w:eastAsia="Arial" w:hAnsi="Arial"/>
          <w:sz w:val="18"/>
          <w:szCs w:val="18"/>
          <w:color w:val="auto"/>
        </w:rPr>
        <w:t>, and the Eligible Assignee, if it shall not be a Lender, shall deliver to the applicable Facility Agent an Administrative Questionnaire;</w:t>
      </w:r>
    </w:p>
    <w:p>
      <w:pPr>
        <w:spacing w:after="0" w:line="197" w:lineRule="exact"/>
        <w:rPr>
          <w:rFonts w:ascii="Arial" w:cs="Arial" w:eastAsia="Arial" w:hAnsi="Arial"/>
          <w:sz w:val="20"/>
          <w:szCs w:val="20"/>
          <w:color w:val="auto"/>
        </w:rPr>
      </w:pPr>
    </w:p>
    <w:p>
      <w:pPr>
        <w:ind w:left="660" w:right="80" w:firstLine="644"/>
        <w:spacing w:after="0" w:line="266" w:lineRule="auto"/>
        <w:tabs>
          <w:tab w:leader="none" w:pos="1718" w:val="left"/>
        </w:tabs>
        <w:numPr>
          <w:ilvl w:val="0"/>
          <w:numId w:val="210"/>
        </w:numPr>
        <w:rPr>
          <w:rFonts w:ascii="Arial" w:cs="Arial" w:eastAsia="Arial" w:hAnsi="Arial"/>
          <w:sz w:val="20"/>
          <w:szCs w:val="20"/>
          <w:color w:val="auto"/>
        </w:rPr>
      </w:pPr>
      <w:r>
        <w:rPr>
          <w:rFonts w:ascii="Arial" w:cs="Arial" w:eastAsia="Arial" w:hAnsi="Arial"/>
          <w:sz w:val="18"/>
          <w:szCs w:val="18"/>
          <w:color w:val="auto"/>
        </w:rPr>
        <w:t>no such assignment shall be made to any Defaulting Lender or any of its Subsidiaries, or any Person who, upon becoming a Lender hereunder, would constitute a Defaulting Lender; and</w:t>
      </w:r>
    </w:p>
    <w:p>
      <w:pPr>
        <w:spacing w:after="0" w:line="190" w:lineRule="exact"/>
        <w:rPr>
          <w:rFonts w:ascii="Arial" w:cs="Arial" w:eastAsia="Arial" w:hAnsi="Arial"/>
          <w:sz w:val="20"/>
          <w:szCs w:val="20"/>
          <w:color w:val="auto"/>
        </w:rPr>
      </w:pPr>
    </w:p>
    <w:p>
      <w:pPr>
        <w:ind w:left="660" w:right="40" w:firstLine="644"/>
        <w:spacing w:after="0" w:line="282" w:lineRule="auto"/>
        <w:tabs>
          <w:tab w:leader="none" w:pos="1774" w:val="left"/>
        </w:tabs>
        <w:numPr>
          <w:ilvl w:val="0"/>
          <w:numId w:val="210"/>
        </w:numPr>
        <w:rPr>
          <w:rFonts w:ascii="Arial" w:cs="Arial" w:eastAsia="Arial" w:hAnsi="Arial"/>
          <w:sz w:val="19"/>
          <w:szCs w:val="19"/>
          <w:color w:val="auto"/>
        </w:rPr>
      </w:pPr>
      <w:r>
        <w:rPr>
          <w:rFonts w:ascii="Arial" w:cs="Arial" w:eastAsia="Arial" w:hAnsi="Arial"/>
          <w:sz w:val="17"/>
          <w:szCs w:val="17"/>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applicable Facility Agent in an aggregate amount sufficient, upon distribution thereof as appropriate (which may be outright payment, purchases by the assignee of participations or subparticipations, or other compensating actions, including funding, with the consent of the U.S. Borrower and Administrative Agent, the applicable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applicable Facility Agent or any Lender hereunder (and interest accrued thereon) and (y) acquire (and fund as appropriate) its full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all Loans and participations in Letters of Credit and Swing 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Subject to acceptance and recording thereof by the applicable Facility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with respect to facts and circumstances occurring prior to the effective date of such assignment. Upon request, each applicable Borrower (at its expense) shall execute and deliver the applicable Note to the assignee Lender. Any assignment or transfer by a Lender of rights or obligations under this Agreement that does not comply with this subsection or subsection (c) hereof shall be treated for purposes of this Agreement as a sale by such Lender of a participation in such rights and obligations in accordance with subsection (d)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w:t>
      </w:r>
    </w:p>
    <w:p>
      <w:pPr>
        <w:spacing w:after="0" w:line="199" w:lineRule="exact"/>
        <w:rPr>
          <w:sz w:val="20"/>
          <w:szCs w:val="20"/>
          <w:color w:val="auto"/>
        </w:rPr>
      </w:pPr>
    </w:p>
    <w:p>
      <w:pPr>
        <w:ind w:right="160" w:firstLine="656"/>
        <w:spacing w:after="0" w:line="283" w:lineRule="auto"/>
        <w:tabs>
          <w:tab w:leader="none" w:pos="1048" w:val="left"/>
        </w:tabs>
        <w:numPr>
          <w:ilvl w:val="0"/>
          <w:numId w:val="211"/>
        </w:numPr>
        <w:rPr>
          <w:rFonts w:ascii="Arial" w:cs="Arial" w:eastAsia="Arial" w:hAnsi="Arial"/>
          <w:sz w:val="19"/>
          <w:szCs w:val="19"/>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U.S. Borrower, shall maintain at the Administrative Agent’s Office a copy of each Assignment and Assumption delivered to it in respect of the U.S. Dollar Facility Revolving Loans and U.S. Dollar Facility Revolving Commitments and a register for the recordation of the names and addresses of the U.S. Dollar Facility Lenders, and the U.S. Dollar Facility Commitments of, and principal and interest amounts of the U.S. Dollar Facility Revolving Loans, U.S. Dollar Facility Swing Line Loans and U.S. Dollar Facility L/C Obligations owing to, each U.S. Dollar Facility Lender pursuant to the terms hereof from time to time (the “</w:t>
      </w:r>
      <w:r>
        <w:rPr>
          <w:rFonts w:ascii="Arial" w:cs="Arial" w:eastAsia="Arial" w:hAnsi="Arial"/>
          <w:sz w:val="17"/>
          <w:szCs w:val="17"/>
          <w:u w:val="single" w:color="auto"/>
          <w:color w:val="auto"/>
        </w:rPr>
        <w:t>U.S. Dollar Facility Register</w:t>
      </w:r>
      <w:r>
        <w:rPr>
          <w:rFonts w:ascii="Arial" w:cs="Arial" w:eastAsia="Arial" w:hAnsi="Arial"/>
          <w:sz w:val="17"/>
          <w:szCs w:val="17"/>
          <w:color w:val="auto"/>
        </w:rPr>
        <w:t>”). The Canadian Agent and the European Agent (and each other applicable Facility Agent), acting solely for this purpose as an agent of the Borrowers, shall maintain at the Canadian Agent’s Office or the European Agent’s Office (or such other applicable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341" w:right="339" w:bottom="1440" w:gutter="0" w:footer="0" w:header="0"/>
        </w:sectPr>
      </w:pPr>
    </w:p>
    <w:bookmarkStart w:id="209" w:name="page210"/>
    <w:bookmarkEnd w:id="209"/>
    <w:p>
      <w:pPr>
        <w:ind w:right="20"/>
        <w:spacing w:after="0" w:line="269" w:lineRule="auto"/>
        <w:rPr>
          <w:sz w:val="20"/>
          <w:szCs w:val="20"/>
          <w:color w:val="auto"/>
        </w:rPr>
      </w:pPr>
      <w:r>
        <w:rPr>
          <w:rFonts w:ascii="Arial" w:cs="Arial" w:eastAsia="Arial" w:hAnsi="Arial"/>
          <w:sz w:val="17"/>
          <w:szCs w:val="17"/>
          <w:color w:val="auto"/>
        </w:rPr>
        <w:t>Facility Agent’s Office), as applicable, a copy of each Assignment and Assumption delivered to it in respect of the Multicurrency Facility Revolving Loans and Multicurrency Facility Revolving Commitments and a register for the recordation of the names and addresses of the Multicurrency Facility Lenders, and the Multicurrency Facility Commitments of, and principal and interest amounts of the Multicurrency Facility Revolving Loans, Multicurrency Facility Swing Line Loans and Multicurrency Facility L/C Obligations owing to, each Multicurrency Facility Lender pursuant to the terms hereof from time to time (the “</w:t>
      </w:r>
      <w:r>
        <w:rPr>
          <w:rFonts w:ascii="Arial" w:cs="Arial" w:eastAsia="Arial" w:hAnsi="Arial"/>
          <w:sz w:val="17"/>
          <w:szCs w:val="17"/>
          <w:u w:val="single" w:color="auto"/>
          <w:color w:val="auto"/>
        </w:rPr>
        <w:t>Multicurrency Facility Register</w:t>
      </w:r>
      <w:r>
        <w:rPr>
          <w:rFonts w:ascii="Arial" w:cs="Arial" w:eastAsia="Arial" w:hAnsi="Arial"/>
          <w:sz w:val="17"/>
          <w:szCs w:val="17"/>
          <w:color w:val="auto"/>
        </w:rPr>
        <w:t>” and, together with the U.S. Dollar Facility Register,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the Borrowers, each applicable Facility Agent and the Lenders shall treat each Person whose name is recorded in the Register pursuant to the terms hereof as the owner of its interests in the Loans and L/C Obligations as set forth in the Register and as a Lender hereunder for all purposes of this Agreement, notwithstanding notice to the contrary. Each applicable Facility Agent shall maintain on the Register information regarding the designation, and revocation of designation, of any Lender as a Defaulting Lender. The Register shall be available for inspection by the Borrowers and the L/C Issuers at any reasonable time and from time to time upon reasonable prior notice. In addition, at any time that a request for a consent for a material or substantive change to the Loan Documents is pending, any Lender wishing to consult with other Lenders in connection therewith may request and receive from each applicable Facility Agent a copy of the Register.</w:t>
      </w:r>
    </w:p>
    <w:p>
      <w:pPr>
        <w:spacing w:after="0" w:line="192" w:lineRule="exact"/>
        <w:rPr>
          <w:sz w:val="20"/>
          <w:szCs w:val="20"/>
          <w:color w:val="auto"/>
        </w:rPr>
      </w:pPr>
    </w:p>
    <w:p>
      <w:pPr>
        <w:ind w:firstLine="656"/>
        <w:spacing w:after="0" w:line="283" w:lineRule="auto"/>
        <w:tabs>
          <w:tab w:leader="none" w:pos="1058" w:val="left"/>
        </w:tabs>
        <w:numPr>
          <w:ilvl w:val="0"/>
          <w:numId w:val="212"/>
        </w:numPr>
        <w:rPr>
          <w:rFonts w:ascii="Arial" w:cs="Arial" w:eastAsia="Arial" w:hAnsi="Arial"/>
          <w:sz w:val="19"/>
          <w:szCs w:val="19"/>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any applicable Facility Agent sell participations to any Person (other than a natural person, a Defaulting Lender or the U.S. Borrower or the U.S.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if applicable)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each applicable Facility Agent, the Lenders and the L/C Issuers shall continue to deal solely and directly with such Lender in connection with such Lender’s rights and obligations under this Agreement.</w:t>
      </w:r>
    </w:p>
    <w:p>
      <w:pPr>
        <w:spacing w:after="0" w:line="16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8"/>
          <w:szCs w:val="18"/>
          <w:u w:val="single" w:color="auto"/>
          <w:color w:val="auto"/>
        </w:rPr>
        <w:t>Section 10.01(a)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that affects such Participant. Subject to the foregoing provisions of this subsection and to subsection (e) of this Section, the Borrowers agree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of those sections, including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read as if a Participant were a Lender (provided that any documentation required to be delivered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solely to the participating Lender)) to the same extent as if it were a Lender and had acquired its interest by assignment pursuant to subsection (b) of this Section. Subject to the foregoing provisions of this subsection (d),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w:t>
      </w:r>
    </w:p>
    <w:p>
      <w:pPr>
        <w:spacing w:after="0" w:line="19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Each Lender that sells a participation shall, acting solely for this purpose as a nonfiduciary agent of the applicable Borrowers,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The entries in the Participant Register shall be conclusive and such Lender (and the Borrowers, to the extent that the Participant requests payment from any Borrower) shall treat each Person whose name is recorded in the Participant Register as the owner of such participation for all purposes of this Agreement notwithstanding any notice to the contrary. The portion of the Participant Register relating to any Participant requesting payment from any Borrower under the Loan Documents shall be made available to such Borrower upon reasonable request.</w:t>
      </w:r>
    </w:p>
    <w:p>
      <w:pPr>
        <w:spacing w:after="0" w:line="208" w:lineRule="exact"/>
        <w:rPr>
          <w:sz w:val="20"/>
          <w:szCs w:val="20"/>
          <w:color w:val="auto"/>
        </w:rPr>
      </w:pPr>
    </w:p>
    <w:p>
      <w:pPr>
        <w:ind w:firstLine="656"/>
        <w:spacing w:after="0" w:line="264" w:lineRule="auto"/>
        <w:tabs>
          <w:tab w:leader="none" w:pos="1048" w:val="left"/>
        </w:tabs>
        <w:numPr>
          <w:ilvl w:val="0"/>
          <w:numId w:val="213"/>
        </w:numPr>
        <w:rPr>
          <w:rFonts w:ascii="Arial" w:cs="Arial" w:eastAsia="Arial" w:hAnsi="Arial"/>
          <w:sz w:val="20"/>
          <w:szCs w:val="20"/>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except to the extent that any entitlement to a greater payment results from a Change in Law arising after such Participant became a Participant.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557" w:right="359" w:bottom="1440" w:gutter="0" w:footer="0" w:header="0"/>
        </w:sectPr>
      </w:pPr>
    </w:p>
    <w:bookmarkStart w:id="210" w:name="page211"/>
    <w:bookmarkEnd w:id="210"/>
    <w:p>
      <w:pPr>
        <w:ind w:left="-20" w:right="20" w:firstLine="656"/>
        <w:spacing w:after="0" w:line="283" w:lineRule="auto"/>
        <w:tabs>
          <w:tab w:leader="none" w:pos="1006" w:val="left"/>
        </w:tabs>
        <w:numPr>
          <w:ilvl w:val="0"/>
          <w:numId w:val="214"/>
        </w:numPr>
        <w:rPr>
          <w:rFonts w:ascii="Arial" w:cs="Arial" w:eastAsia="Arial" w:hAnsi="Arial"/>
          <w:sz w:val="19"/>
          <w:szCs w:val="19"/>
          <w:color w:val="auto"/>
        </w:rPr>
      </w:pPr>
      <w:r>
        <w:rPr>
          <w:rFonts w:ascii="Arial" w:cs="Arial" w:eastAsia="Arial" w:hAnsi="Arial"/>
          <w:sz w:val="17"/>
          <w:szCs w:val="17"/>
          <w:u w:val="single" w:color="auto"/>
          <w:color w:val="auto"/>
        </w:rPr>
        <w:t>Certain Pledges</w:t>
      </w:r>
      <w:r>
        <w:rPr>
          <w:rFonts w:ascii="Arial" w:cs="Arial" w:eastAsia="Arial" w:hAnsi="Arial"/>
          <w:sz w:val="17"/>
          <w:szCs w:val="17"/>
          <w:color w:val="auto"/>
        </w:rPr>
        <w:t xml:space="preserve">. Any Lender may, without the consent of the U.S. Borrower, the Canadian Borrower, the Dutch Borrower or any applicable Facility Agent, at any time pledge or assign a security interest in all or any portion of its rights under this Agreement (including under its Note(s), if any) to secure obligations of such Lender, including (i) any pledge or assignment to secure obligations to a Federal Reserve Bank and (ii) any pledge or assignment to any holders of obligations owed, or securities issued, by such Lender as collateral security for such obligations or securities, or to any trustee for, or any other representative of, such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82" w:lineRule="exact"/>
        <w:rPr>
          <w:rFonts w:ascii="Arial" w:cs="Arial" w:eastAsia="Arial" w:hAnsi="Arial"/>
          <w:sz w:val="19"/>
          <w:szCs w:val="19"/>
          <w:color w:val="auto"/>
        </w:rPr>
      </w:pPr>
    </w:p>
    <w:p>
      <w:pPr>
        <w:ind w:left="-20" w:firstLine="656"/>
        <w:spacing w:after="0" w:line="301" w:lineRule="auto"/>
        <w:tabs>
          <w:tab w:leader="none" w:pos="1038" w:val="left"/>
        </w:tabs>
        <w:numPr>
          <w:ilvl w:val="0"/>
          <w:numId w:val="214"/>
        </w:numPr>
        <w:rPr>
          <w:rFonts w:ascii="Arial" w:cs="Arial" w:eastAsia="Arial" w:hAnsi="Arial"/>
          <w:sz w:val="18"/>
          <w:szCs w:val="18"/>
          <w:color w:val="auto"/>
        </w:rPr>
      </w:pPr>
      <w:r>
        <w:rPr>
          <w:rFonts w:ascii="Arial" w:cs="Arial" w:eastAsia="Arial" w:hAnsi="Arial"/>
          <w:sz w:val="16"/>
          <w:szCs w:val="16"/>
          <w:u w:val="single" w:color="auto"/>
          <w:color w:val="auto"/>
        </w:rPr>
        <w:t>Electronic Execution of Assignments</w:t>
      </w:r>
      <w:r>
        <w:rPr>
          <w:rFonts w:ascii="Arial" w:cs="Arial" w:eastAsia="Arial" w:hAnsi="Arial"/>
          <w:sz w:val="16"/>
          <w:szCs w:val="16"/>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rFonts w:ascii="Arial" w:cs="Arial" w:eastAsia="Arial" w:hAnsi="Arial"/>
          <w:sz w:val="16"/>
          <w:szCs w:val="16"/>
          <w:u w:val="single" w:color="auto"/>
          <w:color w:val="auto"/>
        </w:rPr>
        <w:t>* provided that nothing herein shall require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Administrative Agent to accept electronic signatures in any form or format without its prior written consent. Without limiting the generality of the foregoing, each Loan Party hereby (i) agrees that, for all purposes, including without limitation, in connection with any workout, restructuring, enforcement of remedies, bankruptcy proceedings or litigation among the Administrative Agent, the Lenders and the Loan Parties, electronic images of this Agreement or any other Loan Documents (in each case, including with respect to any signature pages thereto) shall have the same legal effect, validity and enforceability as any paper original, and (ii) waives any argument, defense or right to contest the validity or enforceability of the Loan Documents based solely on the lack of paper original copies of any Loan Documents, including with respect to any signature pages thereto.*</w:t>
      </w:r>
    </w:p>
    <w:p>
      <w:pPr>
        <w:spacing w:after="0" w:line="173" w:lineRule="exact"/>
        <w:rPr>
          <w:rFonts w:ascii="Arial" w:cs="Arial" w:eastAsia="Arial" w:hAnsi="Arial"/>
          <w:sz w:val="18"/>
          <w:szCs w:val="18"/>
          <w:color w:val="auto"/>
        </w:rPr>
      </w:pPr>
    </w:p>
    <w:p>
      <w:pPr>
        <w:ind w:left="-20" w:right="60" w:firstLine="656"/>
        <w:spacing w:after="0" w:line="282" w:lineRule="auto"/>
        <w:tabs>
          <w:tab w:leader="none" w:pos="1038" w:val="left"/>
        </w:tabs>
        <w:numPr>
          <w:ilvl w:val="0"/>
          <w:numId w:val="214"/>
        </w:numPr>
        <w:rPr>
          <w:rFonts w:ascii="Arial" w:cs="Arial" w:eastAsia="Arial" w:hAnsi="Arial"/>
          <w:sz w:val="19"/>
          <w:szCs w:val="19"/>
          <w:color w:val="auto"/>
        </w:rPr>
      </w:pPr>
      <w:r>
        <w:rPr>
          <w:rFonts w:ascii="Arial" w:cs="Arial" w:eastAsia="Arial" w:hAnsi="Arial"/>
          <w:sz w:val="17"/>
          <w:szCs w:val="17"/>
          <w:u w:val="single" w:color="auto"/>
          <w:color w:val="auto"/>
        </w:rPr>
        <w:t>Special Purpose Funding Vehicles</w:t>
      </w:r>
      <w:r>
        <w:rPr>
          <w:rFonts w:ascii="Arial" w:cs="Arial" w:eastAsia="Arial" w:hAnsi="Arial"/>
          <w:sz w:val="17"/>
          <w:szCs w:val="17"/>
          <w:color w:val="auto"/>
        </w:rPr>
        <w:t>. 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xml:space="preserve">”) may grant to a special purpose funding vehicle identified as such in writing from time to time by the Granting Lender to the Administrative Agent, any applicable Facility Agent and the U.S. Borrower (an “SPC”) the option to provide all or any part of any Loan that such Granting Lender would otherwise be obligated to make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by any SPC to fund any Loan, (ii) if an SPC elects not to exercise such option or otherwise fails to make all or any part of such Loan, the Granting Lender shall be obligated to make such Loan pursuant to the terms hereof or, if it fails to do so, to make such payment to any applicable Facility Agent as is required under </w:t>
      </w:r>
      <w:r>
        <w:rPr>
          <w:rFonts w:ascii="Arial" w:cs="Arial" w:eastAsia="Arial" w:hAnsi="Arial"/>
          <w:sz w:val="17"/>
          <w:szCs w:val="17"/>
          <w:u w:val="single" w:color="auto"/>
          <w:color w:val="auto"/>
        </w:rPr>
        <w:t>Section 2.12(b)(ii)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such SPC and the applicable Loan or any applicable part thereof, shall be appropriately reflected in the Register. Subject to the provisions of this subsection (h), the U.S. Borrower agrees that each SPC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(subject to the requirements and limitations of those sections) to the same extent as if it were a Lender and had acquired its interest by assignment pursuant to subsection (b) of this Section. Each party hereto hereby agrees that (i) neither the grant to any SPC nor the exercise by any SPC of such option shall increase the costs or expenses or otherwise increase or change the obligations of the U.S. Borrower under this Agreement (including its obligations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except to the extent that any entitlement to a greater payment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results from a Change in Law arising after the grant to such SPC,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subject to compliance with the provisions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regarding the Register and/or the Participant Register, as appropriate, any SPC may (i) with notice to, but without prior consent of the U.S. Borrower and the applicable Facility Agent and with the payment of a processing fee of $3,500,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40" w:top="787" w:right="339" w:bottom="1440" w:gutter="0" w:footer="0" w:header="0"/>
        </w:sectPr>
      </w:pPr>
    </w:p>
    <w:bookmarkStart w:id="211" w:name="page212"/>
    <w:bookmarkEnd w:id="211"/>
    <w:p>
      <w:pPr>
        <w:ind w:left="-80" w:firstLine="656"/>
        <w:spacing w:after="0" w:line="282" w:lineRule="auto"/>
        <w:tabs>
          <w:tab w:leader="none" w:pos="935" w:val="left"/>
        </w:tabs>
        <w:numPr>
          <w:ilvl w:val="0"/>
          <w:numId w:val="215"/>
        </w:numPr>
        <w:rPr>
          <w:rFonts w:ascii="Arial" w:cs="Arial" w:eastAsia="Arial" w:hAnsi="Arial"/>
          <w:sz w:val="19"/>
          <w:szCs w:val="19"/>
          <w:color w:val="auto"/>
        </w:rPr>
      </w:pPr>
      <w:r>
        <w:rPr>
          <w:rFonts w:ascii="Arial" w:cs="Arial" w:eastAsia="Arial" w:hAnsi="Arial"/>
          <w:sz w:val="17"/>
          <w:szCs w:val="17"/>
          <w:u w:val="single" w:color="auto"/>
          <w:color w:val="auto"/>
        </w:rPr>
        <w:t>Resignation as L/C Issuer or Swing Line Lender After Assignment</w:t>
      </w:r>
      <w:r>
        <w:rPr>
          <w:rFonts w:ascii="Arial" w:cs="Arial" w:eastAsia="Arial" w:hAnsi="Arial"/>
          <w:sz w:val="17"/>
          <w:szCs w:val="17"/>
          <w:color w:val="auto"/>
        </w:rPr>
        <w:t xml:space="preserve">. Notwithstanding anything to the contrary contained herein, if at any time JPMCB (together with JPMorgan Chase Bank, N.A., Toronto Branch and JPMorgan Chase Bank, London Branch) assigns all of its Commitment and Revolving Loans pursuant to </w:t>
      </w:r>
      <w:r>
        <w:rPr>
          <w:rFonts w:ascii="Arial" w:cs="Arial" w:eastAsia="Arial" w:hAnsi="Arial"/>
          <w:sz w:val="17"/>
          <w:szCs w:val="17"/>
          <w:u w:val="single" w:color="auto"/>
          <w:color w:val="auto"/>
        </w:rPr>
        <w:t>Section 10.6(b)</w:t>
      </w:r>
      <w:r>
        <w:rPr>
          <w:rFonts w:ascii="Arial" w:cs="Arial" w:eastAsia="Arial" w:hAnsi="Arial"/>
          <w:sz w:val="17"/>
          <w:szCs w:val="17"/>
          <w:color w:val="auto"/>
        </w:rPr>
        <w:t xml:space="preserve">, JPMCB, JPMorgan Chase Bank, N.A., Toronto Branch and JPMorgan Chase Bank, N.A., London Branch, may, (i) upon 30 days’ notice to the U.S. Borrower and the Lenders, resign as L/C Issuers and/or (ii) upon 30 days’ notice to the U.S. Borrower and the Lenders, resign as Swing Line Lenders. In the event of any such resignation as L/C Issuers or Swing Line Lenders, the Required Lenders, in consultation with the U.S. Borrower, shall be entitled to appoint from among the Lenders (with the consent of the applicable Lender) a successor L/C Issuer or Swing Line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 the Required Lenders shall not have so appointed any such successor within the 30-day period following JPMCB’s, JPMorgan Chase Bank, N.A., Toronto Branch’s and JPMorgan Chase Bank, N.A., London Branch’s notice of resignation, or (ii) JPMCB shall have resigned as Administrative Agent, JPMorgan Chase Bank, N.A., Toronto Branch shall have resigned as Canadian Agent and J.P. Morgan Europe Limited shall have resigned as European Agent, in accordance with </w:t>
      </w:r>
      <w:r>
        <w:rPr>
          <w:rFonts w:ascii="Arial" w:cs="Arial" w:eastAsia="Arial" w:hAnsi="Arial"/>
          <w:sz w:val="17"/>
          <w:szCs w:val="17"/>
          <w:u w:val="single" w:color="auto"/>
          <w:color w:val="auto"/>
        </w:rPr>
        <w:t>Section 9.06</w:t>
      </w:r>
      <w:r>
        <w:rPr>
          <w:rFonts w:ascii="Arial" w:cs="Arial" w:eastAsia="Arial" w:hAnsi="Arial"/>
          <w:sz w:val="17"/>
          <w:szCs w:val="17"/>
          <w:color w:val="auto"/>
        </w:rPr>
        <w:t xml:space="preserve">, JPMCB may appoint such successor. Any such resignation shall be effective upon the appointment (with the consent of the applicable Lender) of a successor. Notwithstanding anything to the contrary contained herein, if at any time any of Bank of America, N.A. (together with Bank of America, N.A., Canadian Branch) assigns all of its Commitment and Revolving Loans pursuant to </w:t>
      </w:r>
      <w:r>
        <w:rPr>
          <w:rFonts w:ascii="Arial" w:cs="Arial" w:eastAsia="Arial" w:hAnsi="Arial"/>
          <w:sz w:val="17"/>
          <w:szCs w:val="17"/>
          <w:u w:val="single" w:color="auto"/>
          <w:color w:val="auto"/>
        </w:rPr>
        <w:t>Section 10.6(b)</w:t>
      </w:r>
      <w:r>
        <w:rPr>
          <w:rFonts w:ascii="Arial" w:cs="Arial" w:eastAsia="Arial" w:hAnsi="Arial"/>
          <w:sz w:val="17"/>
          <w:szCs w:val="17"/>
          <w:color w:val="auto"/>
        </w:rPr>
        <w:t xml:space="preserve">, Bank of America, N.A. and Bank of America, N.A., Canadian Branch may, upon 30 days’ notice to the U.S. Borrower and the Lenders, resign as L/C Issuers. In the event of any such resignation as L/C Issuers, the Required Lenders, in consultation with the U.S. Borrower, shall be entitled to appoint from among the Lenders (with the consent of the applicable Lender) successor L/C Issuers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Required Lenders shall not have so appointed any such successor within the 30-day period following Bank of America, N.A.’s and Bank of America, N.A., Canada Branch’s notice of resignation, Bank of America, N.A. may appoint such successor. Any such resignation shall be effective upon the appointment (with the consent of the applicable Lender) of a successor. If any L/C Issuer resigns as a U.S. Dollar Facility L/C Issuer or a Multicurrency Facility L/C Issuer, they shall retain all the rights and obligations of an L/C Issuer hereunder with respect to all Letters of Credit outstanding as of the effective date of its resignation as L/C Issuer and all L/C Obligations with respect thereto (including the right to require the Lenders to make Revolving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If any Swing Line Lender resigns as the U.S. Dollar Facility Swing Line Lender or as a Multicurrency Facility Swing Line Lender, they shall retain all the rights of a Swing Line Lender provided for hereunder with respect to Swing Line Loans made by it and outstanding as of the effective date of such resignation, including the right to require the Lenders to make Revolving Loans or fund risk participations in outstanding Swing Line Loans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Notwithstanding anything to the contrary contained herein, if an L/C Issuer resigns pursuant to this </w:t>
      </w:r>
      <w:r>
        <w:rPr>
          <w:rFonts w:ascii="Arial" w:cs="Arial" w:eastAsia="Arial" w:hAnsi="Arial"/>
          <w:sz w:val="17"/>
          <w:szCs w:val="17"/>
          <w:u w:val="single" w:color="auto"/>
          <w:color w:val="auto"/>
        </w:rPr>
        <w:t>Section 10.06(i)</w:t>
      </w:r>
      <w:r>
        <w:rPr>
          <w:rFonts w:ascii="Arial" w:cs="Arial" w:eastAsia="Arial" w:hAnsi="Arial"/>
          <w:sz w:val="17"/>
          <w:szCs w:val="17"/>
          <w:color w:val="auto"/>
        </w:rPr>
        <w:t>, such L/C Issuer will remain an L/C Issuer and will retain its rights and obligations in its capacity as such (other than any obligation to issue any future Letters of Credit) with respect to Letters of Credit issued by such L/C Issuer prior to the date of such resignation.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400" w:top="787" w:right="399" w:bottom="1440" w:gutter="0" w:footer="0" w:header="0"/>
        </w:sectPr>
      </w:pPr>
    </w:p>
    <w:bookmarkStart w:id="212" w:name="page213"/>
    <w:bookmarkEnd w:id="212"/>
    <w:p>
      <w:pPr>
        <w:ind w:right="80" w:firstLine="648"/>
        <w:spacing w:after="0" w:line="279" w:lineRule="auto"/>
        <w:rPr>
          <w:sz w:val="20"/>
          <w:szCs w:val="20"/>
          <w:color w:val="auto"/>
        </w:rPr>
      </w:pPr>
      <w:r>
        <w:rPr>
          <w:rFonts w:ascii="Arial" w:cs="Arial" w:eastAsia="Arial" w:hAnsi="Arial"/>
          <w:sz w:val="20"/>
          <w:szCs w:val="20"/>
          <w:b w:val="1"/>
          <w:bCs w:val="1"/>
          <w:color w:val="auto"/>
        </w:rPr>
        <w:t xml:space="preserve">10.07 </w:t>
      </w:r>
      <w:r>
        <w:rPr>
          <w:rFonts w:ascii="Arial" w:cs="Arial" w:eastAsia="Arial" w:hAnsi="Arial"/>
          <w:sz w:val="17"/>
          <w:szCs w:val="17"/>
          <w:b w:val="1"/>
          <w:bCs w:val="1"/>
          <w:u w:val="single" w:color="auto"/>
          <w:color w:val="auto"/>
        </w:rPr>
        <w:t>Treatment of Certain Information; Confidentiality</w:t>
      </w:r>
      <w:r>
        <w:rPr>
          <w:rFonts w:ascii="Arial" w:cs="Arial" w:eastAsia="Arial" w:hAnsi="Arial"/>
          <w:sz w:val="17"/>
          <w:szCs w:val="17"/>
          <w:color w:val="auto"/>
        </w:rPr>
        <w:t>. Each of the Administrative Agent, the Canadian Agent, the European Agent, any</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other applicable Facility Agent, the Lenders and the L/C Issuers agrees to maintain the confidentiality of the Information (as defined below), except that Information may be disclosed (a) to its Affiliates and to its and its Affiliates’ respective partners, directors, officers, employees, agents, advisors and representatives,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applicable Facility Agent or such Lender, unless prohibited by any Law, shall use reasonable efforts to notify the U.S. Borrower in advance of any disclosure pursuant to this clause (c) but only to the extent reasonably practicable under the circumstances and on the understanding that neither the applicable Facility Agent nor any Lender shall incur any liability for failure to give such notice,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pledgee pursuant to </w:t>
      </w:r>
      <w:r>
        <w:rPr>
          <w:rFonts w:ascii="Arial" w:cs="Arial" w:eastAsia="Arial" w:hAnsi="Arial"/>
          <w:sz w:val="17"/>
          <w:szCs w:val="17"/>
          <w:u w:val="single" w:color="auto"/>
          <w:color w:val="auto"/>
        </w:rPr>
        <w:t>Section 10.06(f)</w:t>
      </w:r>
      <w:r>
        <w:rPr>
          <w:rFonts w:ascii="Arial" w:cs="Arial" w:eastAsia="Arial" w:hAnsi="Arial"/>
          <w:sz w:val="17"/>
          <w:szCs w:val="17"/>
          <w:color w:val="auto"/>
        </w:rPr>
        <w:t>, any assignee of or Participant in, or any prospective assignee of or Participant in, any of its rights or obligations under this Agreement or (ii) any actual or prospective counterparty (or its advisors) to any Swap Contract with the U.S. Borrower or any Subsidiary, (g) with the consent of the U.S. Borrower or (h) to the extent such Information (x) becomes publicly available other than as a result of a breach of this Section or (y) becomes available to the applicable Facility Agent, any Lender, any L/C Issuer or any of their respective Affiliates on a nonconfidential basis from a source other than the U.S. Borrower.</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For purposes of this Section, at any time that the U.S. Borrower or any Subsidiary is not a reporting company,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the U.S. Borrower or any Subsidiary relating to the U.S. Borrower or any Subsidiary or any of their respective businesses, other than any such information that is available to the applicable Facility Agent, any Lender or any L/C Issuer on a nonconfidential basis prior to disclosure by the U.S. Borrower or any Subsidiary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9" w:lineRule="exact"/>
        <w:rPr>
          <w:sz w:val="20"/>
          <w:szCs w:val="20"/>
          <w:color w:val="auto"/>
        </w:rPr>
      </w:pPr>
    </w:p>
    <w:p>
      <w:pPr>
        <w:ind w:firstLine="648"/>
        <w:spacing w:after="0" w:line="279" w:lineRule="auto"/>
        <w:rPr>
          <w:sz w:val="20"/>
          <w:szCs w:val="20"/>
          <w:color w:val="auto"/>
        </w:rPr>
      </w:pPr>
      <w:r>
        <w:rPr>
          <w:rFonts w:ascii="Arial" w:cs="Arial" w:eastAsia="Arial" w:hAnsi="Arial"/>
          <w:sz w:val="20"/>
          <w:szCs w:val="20"/>
          <w:b w:val="1"/>
          <w:bCs w:val="1"/>
          <w:color w:val="auto"/>
        </w:rPr>
        <w:t xml:space="preserve">10.08 </w:t>
      </w:r>
      <w:r>
        <w:rPr>
          <w:rFonts w:ascii="Arial" w:cs="Arial" w:eastAsia="Arial" w:hAnsi="Arial"/>
          <w:sz w:val="17"/>
          <w:szCs w:val="17"/>
          <w:b w:val="1"/>
          <w:bCs w:val="1"/>
          <w:u w:val="single" w:color="auto"/>
          <w:color w:val="auto"/>
        </w:rPr>
        <w:t>Right of Setoff</w:t>
      </w:r>
      <w:r>
        <w:rPr>
          <w:rFonts w:ascii="Arial" w:cs="Arial" w:eastAsia="Arial" w:hAnsi="Arial"/>
          <w:sz w:val="17"/>
          <w:szCs w:val="17"/>
          <w:color w:val="auto"/>
        </w:rPr>
        <w:t>. If an Event of Default shall have occurred and be continuing, each Lender, each L/C Issuer and each of their respective</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U.S. Borrower or any other Loan Party (other than the Canadian Borrower and the Dutch Borrower) against any and all of the obligations of the U.S. Borrower or such Loan Party (other than the Canadian Borrower and the Dutch Borrower)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U.S. Borrower or such Loan Party may be contingent or unmatured or are owed to a branch or office of such Lender or such L/C Issuer different from the branch or office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applicable Facility Agent, for further application in accordance with the provisions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pending such payment, shall be segregated by such Defaulting Lender from its other funds and deemed held in trust for the benefit of the applicable Facility Agents and the Lenders, and (y) the Defaulting Lender shall provide promptly to the applicable Facility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U.S. Borrower and the applicable Facility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765" w:right="339" w:bottom="1440" w:gutter="0" w:footer="0" w:header="0"/>
        </w:sectPr>
      </w:pPr>
    </w:p>
    <w:bookmarkStart w:id="213" w:name="page214"/>
    <w:bookmarkEnd w:id="213"/>
    <w:p>
      <w:pPr>
        <w:ind w:right="80" w:firstLine="648"/>
        <w:spacing w:after="0" w:line="294" w:lineRule="auto"/>
        <w:rPr>
          <w:sz w:val="20"/>
          <w:szCs w:val="20"/>
          <w:color w:val="auto"/>
        </w:rPr>
      </w:pPr>
      <w:r>
        <w:rPr>
          <w:rFonts w:ascii="Arial" w:cs="Arial" w:eastAsia="Arial" w:hAnsi="Arial"/>
          <w:sz w:val="19"/>
          <w:szCs w:val="19"/>
          <w:b w:val="1"/>
          <w:bCs w:val="1"/>
          <w:color w:val="auto"/>
        </w:rPr>
        <w:t xml:space="preserve">10.09 </w:t>
      </w:r>
      <w:r>
        <w:rPr>
          <w:rFonts w:ascii="Arial" w:cs="Arial" w:eastAsia="Arial" w:hAnsi="Arial"/>
          <w:sz w:val="16"/>
          <w:szCs w:val="16"/>
          <w:b w:val="1"/>
          <w:bCs w:val="1"/>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w:t>
      </w:r>
      <w:r>
        <w:rPr>
          <w:rFonts w:ascii="Arial" w:cs="Arial" w:eastAsia="Arial" w:hAnsi="Arial"/>
          <w:sz w:val="19"/>
          <w:szCs w:val="19"/>
          <w:b w:val="1"/>
          <w:bCs w:val="1"/>
          <w:color w:val="auto"/>
        </w:rPr>
        <w:t xml:space="preserve"> </w:t>
      </w:r>
      <w:r>
        <w:rPr>
          <w:rFonts w:ascii="Arial" w:cs="Arial" w:eastAsia="Arial" w:hAnsi="Arial"/>
          <w:sz w:val="16"/>
          <w:szCs w:val="16"/>
          <w:color w:val="auto"/>
        </w:rPr>
        <w:t>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applicable Facility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the applicable Facility Agent or a Lender exceeds the Maximum Rate, such Person may, to the extent permitted by applicable Law,</w:t>
      </w:r>
    </w:p>
    <w:p>
      <w:pPr>
        <w:spacing w:after="0" w:line="1" w:lineRule="exact"/>
        <w:rPr>
          <w:sz w:val="20"/>
          <w:szCs w:val="20"/>
          <w:color w:val="auto"/>
        </w:rPr>
      </w:pPr>
    </w:p>
    <w:p>
      <w:pPr>
        <w:ind w:right="340" w:firstLine="8"/>
        <w:spacing w:after="0" w:line="279" w:lineRule="auto"/>
        <w:tabs>
          <w:tab w:leader="none" w:pos="24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0" w:lineRule="exact"/>
        <w:rPr>
          <w:sz w:val="20"/>
          <w:szCs w:val="20"/>
          <w:color w:val="auto"/>
        </w:rPr>
      </w:pPr>
    </w:p>
    <w:p>
      <w:pPr>
        <w:ind w:firstLine="648"/>
        <w:spacing w:after="0" w:line="277" w:lineRule="auto"/>
        <w:rPr>
          <w:sz w:val="20"/>
          <w:szCs w:val="20"/>
          <w:color w:val="auto"/>
        </w:rPr>
      </w:pPr>
      <w:r>
        <w:rPr>
          <w:rFonts w:ascii="Arial" w:cs="Arial" w:eastAsia="Arial" w:hAnsi="Arial"/>
          <w:sz w:val="20"/>
          <w:szCs w:val="20"/>
          <w:b w:val="1"/>
          <w:bCs w:val="1"/>
          <w:color w:val="auto"/>
        </w:rPr>
        <w:t xml:space="preserve">10.10 </w:t>
      </w:r>
      <w:r>
        <w:rPr>
          <w:rFonts w:ascii="Arial" w:cs="Arial" w:eastAsia="Arial" w:hAnsi="Arial"/>
          <w:sz w:val="17"/>
          <w:szCs w:val="17"/>
          <w:b w:val="1"/>
          <w:bCs w:val="1"/>
          <w:u w:val="single" w:color="auto"/>
          <w:color w:val="auto"/>
        </w:rPr>
        <w:t>Counterparts; Integration; Effectiveness</w:t>
      </w:r>
      <w:r>
        <w:rPr>
          <w:rFonts w:ascii="Arial" w:cs="Arial" w:eastAsia="Arial" w:hAnsi="Arial"/>
          <w:sz w:val="17"/>
          <w:szCs w:val="17"/>
          <w:color w:val="auto"/>
        </w:rPr>
        <w:t>. This Agreement may be executed in counterparts (and by different parties hereto in different</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4.03</w:t>
      </w:r>
      <w:r>
        <w:rPr>
          <w:rFonts w:ascii="Arial" w:cs="Arial" w:eastAsia="Arial" w:hAnsi="Arial"/>
          <w:sz w:val="17"/>
          <w:szCs w:val="17"/>
          <w:color w:val="auto"/>
        </w:rPr>
        <w:t>, this Agreement shall become effective when it shall have been executed by the Administrative Agent, the Canadian Agent and the European Agent and when the Administrative Agent, Canadian Agent and European Agent shall have received counterparts hereof that, when taken together, bear the signatures of each of the other parties hereto. Delivery of an executed counterpart of a signature page of this Agreement by telecopy or pdf electronic transmission shall be effective as delivery of a manually executed counterpart of this Agreement.</w:t>
      </w:r>
    </w:p>
    <w:p>
      <w:pPr>
        <w:spacing w:after="0" w:line="167" w:lineRule="exact"/>
        <w:rPr>
          <w:sz w:val="20"/>
          <w:szCs w:val="20"/>
          <w:color w:val="auto"/>
        </w:rPr>
      </w:pPr>
    </w:p>
    <w:p>
      <w:pPr>
        <w:ind w:right="100" w:firstLine="648"/>
        <w:spacing w:after="0" w:line="277" w:lineRule="auto"/>
        <w:rPr>
          <w:sz w:val="20"/>
          <w:szCs w:val="20"/>
          <w:color w:val="auto"/>
        </w:rPr>
      </w:pPr>
      <w:r>
        <w:rPr>
          <w:rFonts w:ascii="Arial" w:cs="Arial" w:eastAsia="Arial" w:hAnsi="Arial"/>
          <w:sz w:val="20"/>
          <w:szCs w:val="20"/>
          <w:b w:val="1"/>
          <w:bCs w:val="1"/>
          <w:color w:val="auto"/>
        </w:rPr>
        <w:t xml:space="preserve">10.11 </w:t>
      </w:r>
      <w:r>
        <w:rPr>
          <w:rFonts w:ascii="Arial" w:cs="Arial" w:eastAsia="Arial" w:hAnsi="Arial"/>
          <w:sz w:val="17"/>
          <w:szCs w:val="17"/>
          <w:b w:val="1"/>
          <w:bCs w:val="1"/>
          <w:u w:val="single" w:color="auto"/>
          <w:color w:val="auto"/>
        </w:rPr>
        <w:t>Survival of Representations and Warranties</w:t>
      </w:r>
      <w:r>
        <w:rPr>
          <w:rFonts w:ascii="Arial" w:cs="Arial" w:eastAsia="Arial" w:hAnsi="Arial"/>
          <w:sz w:val="17"/>
          <w:szCs w:val="17"/>
          <w:color w:val="auto"/>
        </w:rPr>
        <w:t>. All representations and warranties made hereunder and in any other Loan Document or</w:t>
      </w:r>
      <w:r>
        <w:rPr>
          <w:rFonts w:ascii="Arial" w:cs="Arial" w:eastAsia="Arial" w:hAnsi="Arial"/>
          <w:sz w:val="20"/>
          <w:szCs w:val="20"/>
          <w:b w:val="1"/>
          <w:bCs w:val="1"/>
          <w:color w:val="auto"/>
        </w:rPr>
        <w:t xml:space="preserve"> </w:t>
      </w:r>
      <w:r>
        <w:rPr>
          <w:rFonts w:ascii="Arial" w:cs="Arial" w:eastAsia="Arial" w:hAnsi="Arial"/>
          <w:sz w:val="17"/>
          <w:szCs w:val="17"/>
          <w:color w:val="auto"/>
        </w:rPr>
        <w:t>other document delivered pursuant hereto or thereto or in connection herewith or therewith shall survive the execution and delivery hereof and thereof. Such representations and warranties have been or will be relied upon by the Administrative Agent, the Canadian Agent, the European Agent, any other applicable Facility Agent and each Lender, regardless of any investigation made by such Agent or any Lender or on their behalf and notwithstanding that such Agent or any Lender may have had notice or knowledge of any Default at the time of any Credit Extension, and shall continue in full force and effect as long as any Commitment shall remain in effect, any Loan or any other Obligation hereunder shall remain unpaid or unsatisfied or any Letter of Credit shall remain outstanding.</w:t>
      </w:r>
    </w:p>
    <w:p>
      <w:pPr>
        <w:spacing w:after="0" w:line="164" w:lineRule="exact"/>
        <w:rPr>
          <w:sz w:val="20"/>
          <w:szCs w:val="20"/>
          <w:color w:val="auto"/>
        </w:rPr>
      </w:pPr>
    </w:p>
    <w:p>
      <w:pPr>
        <w:ind w:right="40" w:firstLine="648"/>
        <w:spacing w:after="0" w:line="303" w:lineRule="auto"/>
        <w:rPr>
          <w:sz w:val="20"/>
          <w:szCs w:val="20"/>
          <w:color w:val="auto"/>
        </w:rPr>
      </w:pPr>
      <w:r>
        <w:rPr>
          <w:rFonts w:ascii="Arial" w:cs="Arial" w:eastAsia="Arial" w:hAnsi="Arial"/>
          <w:sz w:val="19"/>
          <w:szCs w:val="19"/>
          <w:b w:val="1"/>
          <w:bCs w:val="1"/>
          <w:color w:val="auto"/>
        </w:rPr>
        <w:t xml:space="preserve">10.12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of this Agreement or the other Loan Documents is held to be illegal, invalid or unenforceable, (a) the</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6"/>
          <w:szCs w:val="16"/>
          <w:u w:val="single" w:color="auto"/>
          <w:color w:val="auto"/>
        </w:rPr>
        <w:t>Section 10.12</w:t>
      </w:r>
      <w:r>
        <w:rPr>
          <w:rFonts w:ascii="Arial" w:cs="Arial" w:eastAsia="Arial" w:hAnsi="Arial"/>
          <w:sz w:val="16"/>
          <w:szCs w:val="16"/>
          <w:color w:val="auto"/>
        </w:rPr>
        <w:t>, if and to the extent that the enforceability of any provisions in this Agreement relating to Defaulting Lenders shall be limited by Debtor Relief Laws, as determined in good faith by the Administrative Agent, the Canadian Agent, the European Agent, any other applicable Facility Agent, the applicable L/C Issuer or the applicable Swing Line Lender, as applicable, then such provisions shall be deemed to be in effect only to the extent not so limited.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765" w:right="339" w:bottom="1440" w:gutter="0" w:footer="0" w:header="0"/>
        </w:sectPr>
      </w:pPr>
    </w:p>
    <w:bookmarkStart w:id="214" w:name="page215"/>
    <w:bookmarkEnd w:id="214"/>
    <w:p>
      <w:pPr>
        <w:ind w:right="20" w:firstLine="648"/>
        <w:spacing w:after="0" w:line="277" w:lineRule="auto"/>
        <w:rPr>
          <w:sz w:val="20"/>
          <w:szCs w:val="20"/>
          <w:color w:val="auto"/>
        </w:rPr>
      </w:pPr>
      <w:r>
        <w:rPr>
          <w:rFonts w:ascii="Arial" w:cs="Arial" w:eastAsia="Arial" w:hAnsi="Arial"/>
          <w:sz w:val="20"/>
          <w:szCs w:val="20"/>
          <w:b w:val="1"/>
          <w:bCs w:val="1"/>
          <w:color w:val="auto"/>
        </w:rPr>
        <w:t xml:space="preserve">10.13 </w:t>
      </w:r>
      <w:r>
        <w:rPr>
          <w:rFonts w:ascii="Arial" w:cs="Arial" w:eastAsia="Arial" w:hAnsi="Arial"/>
          <w:sz w:val="17"/>
          <w:szCs w:val="17"/>
          <w:b w:val="1"/>
          <w:bCs w:val="1"/>
          <w:u w:val="single" w:color="auto"/>
          <w:color w:val="auto"/>
        </w:rPr>
        <w:t>Replacement of Lenders</w:t>
      </w:r>
      <w:r>
        <w:rPr>
          <w:rFonts w:ascii="Arial" w:cs="Arial" w:eastAsia="Arial" w:hAnsi="Arial"/>
          <w:sz w:val="17"/>
          <w:szCs w:val="17"/>
          <w:color w:val="auto"/>
        </w:rPr>
        <w:t>. If any Lender requests compensation under</w:t>
      </w:r>
      <w:r>
        <w:rPr>
          <w:rFonts w:ascii="Arial" w:cs="Arial" w:eastAsia="Arial" w:hAnsi="Arial"/>
          <w:sz w:val="20"/>
          <w:szCs w:val="20"/>
          <w:b w:val="1"/>
          <w:bCs w:val="1"/>
          <w:color w:val="auto"/>
        </w:rPr>
        <w:t xml:space="preserve"> </w:t>
      </w:r>
      <w:r>
        <w:rPr>
          <w:rFonts w:ascii="Arial" w:cs="Arial" w:eastAsia="Arial" w:hAnsi="Arial"/>
          <w:sz w:val="17"/>
          <w:szCs w:val="17"/>
          <w:u w:val="single" w:color="auto"/>
          <w:color w:val="auto"/>
        </w:rPr>
        <w:t>Section 3.04</w:t>
      </w:r>
      <w:r>
        <w:rPr>
          <w:rFonts w:ascii="Arial" w:cs="Arial" w:eastAsia="Arial" w:hAnsi="Arial"/>
          <w:sz w:val="17"/>
          <w:szCs w:val="17"/>
          <w:color w:val="auto"/>
        </w:rPr>
        <w:t>, if any Lender gives notice pursuant to</w:t>
      </w:r>
      <w:r>
        <w:rPr>
          <w:rFonts w:ascii="Arial" w:cs="Arial" w:eastAsia="Arial" w:hAnsi="Arial"/>
          <w:sz w:val="20"/>
          <w:szCs w:val="20"/>
          <w:b w:val="1"/>
          <w:bCs w:val="1"/>
          <w:color w:val="auto"/>
        </w:rPr>
        <w:t xml:space="preserve"> </w:t>
      </w:r>
      <w:r>
        <w:rPr>
          <w:rFonts w:ascii="Arial" w:cs="Arial" w:eastAsia="Arial" w:hAnsi="Arial"/>
          <w:sz w:val="17"/>
          <w:szCs w:val="17"/>
          <w:u w:val="single" w:color="auto"/>
          <w:color w:val="auto"/>
        </w:rPr>
        <w:t>Section 3.02</w:t>
      </w:r>
      <w:r>
        <w:rPr>
          <w:rFonts w:ascii="Arial" w:cs="Arial" w:eastAsia="Arial" w:hAnsi="Arial"/>
          <w:sz w:val="17"/>
          <w:szCs w:val="17"/>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or if any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such amounts or compensation do not affect Lenders generally, or if any Lender is a Defaulting Lender or as provided in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then such Borrower may, at its sole expense and effort, upon notice to such Lender and the Administrative Agent (and, if such Lender is a Multicurrency Facility Lender, the applicable Facility Agent), require such Lender to assign and delegate (including by executing an Assignment and Assumption relating thereto), without recourse (in accordance with and subject to the restrictions contained in, and consents required by,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all of its interests, rights and obligations under this Agreement and the related Loan Documents to an Eligible Assignee that shall assume such obligations (which Eligible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89" w:lineRule="exact"/>
        <w:rPr>
          <w:sz w:val="20"/>
          <w:szCs w:val="20"/>
          <w:color w:val="auto"/>
        </w:rPr>
      </w:pPr>
    </w:p>
    <w:p>
      <w:pPr>
        <w:ind w:left="1700" w:hanging="396"/>
        <w:spacing w:after="0"/>
        <w:tabs>
          <w:tab w:leader="none" w:pos="1700" w:val="left"/>
        </w:tabs>
        <w:numPr>
          <w:ilvl w:val="0"/>
          <w:numId w:val="217"/>
        </w:numPr>
        <w:rPr>
          <w:rFonts w:ascii="Arial" w:cs="Arial" w:eastAsia="Arial" w:hAnsi="Arial"/>
          <w:sz w:val="20"/>
          <w:szCs w:val="20"/>
          <w:color w:val="auto"/>
        </w:rPr>
      </w:pPr>
      <w:r>
        <w:rPr>
          <w:rFonts w:ascii="Arial" w:cs="Arial" w:eastAsia="Arial" w:hAnsi="Arial"/>
          <w:sz w:val="18"/>
          <w:szCs w:val="18"/>
          <w:color w:val="auto"/>
        </w:rPr>
        <w:t xml:space="preserve">the U.S. Borrower shall have paid to the applicable Facility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660" w:right="60" w:firstLine="644"/>
        <w:spacing w:after="0" w:line="265" w:lineRule="auto"/>
        <w:tabs>
          <w:tab w:leader="none" w:pos="1718" w:val="left"/>
        </w:tabs>
        <w:numPr>
          <w:ilvl w:val="0"/>
          <w:numId w:val="217"/>
        </w:numPr>
        <w:rPr>
          <w:rFonts w:ascii="Arial" w:cs="Arial" w:eastAsia="Arial" w:hAnsi="Arial"/>
          <w:sz w:val="20"/>
          <w:szCs w:val="20"/>
          <w:color w:val="auto"/>
        </w:rPr>
      </w:pPr>
      <w:r>
        <w:rPr>
          <w:rFonts w:ascii="Arial" w:cs="Arial" w:eastAsia="Arial" w:hAnsi="Arial"/>
          <w:sz w:val="18"/>
          <w:szCs w:val="18"/>
          <w:color w:val="auto"/>
        </w:rPr>
        <w:t xml:space="preserve">such Lender shall have received payment of an amount equal to the outstanding principal of and premium (if any) on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applicable Borrower (in the case of all other amounts);</w:t>
      </w:r>
    </w:p>
    <w:p>
      <w:pPr>
        <w:spacing w:after="0" w:line="194" w:lineRule="exact"/>
        <w:rPr>
          <w:rFonts w:ascii="Arial" w:cs="Arial" w:eastAsia="Arial" w:hAnsi="Arial"/>
          <w:sz w:val="20"/>
          <w:szCs w:val="20"/>
          <w:color w:val="auto"/>
        </w:rPr>
      </w:pPr>
    </w:p>
    <w:p>
      <w:pPr>
        <w:ind w:left="660" w:right="260" w:firstLine="644"/>
        <w:spacing w:after="0" w:line="296" w:lineRule="auto"/>
        <w:tabs>
          <w:tab w:leader="none" w:pos="1708" w:val="left"/>
        </w:tabs>
        <w:numPr>
          <w:ilvl w:val="0"/>
          <w:numId w:val="217"/>
        </w:numPr>
        <w:rPr>
          <w:rFonts w:ascii="Arial" w:cs="Arial" w:eastAsia="Arial" w:hAnsi="Arial"/>
          <w:sz w:val="19"/>
          <w:szCs w:val="19"/>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 and</w:t>
      </w:r>
    </w:p>
    <w:p>
      <w:pPr>
        <w:spacing w:after="0" w:line="164" w:lineRule="exact"/>
        <w:rPr>
          <w:rFonts w:ascii="Arial" w:cs="Arial" w:eastAsia="Arial" w:hAnsi="Arial"/>
          <w:sz w:val="19"/>
          <w:szCs w:val="19"/>
          <w:color w:val="auto"/>
        </w:rPr>
      </w:pPr>
    </w:p>
    <w:p>
      <w:pPr>
        <w:ind w:left="1720" w:hanging="416"/>
        <w:spacing w:after="0"/>
        <w:tabs>
          <w:tab w:leader="none" w:pos="1720" w:val="left"/>
        </w:tabs>
        <w:numPr>
          <w:ilvl w:val="0"/>
          <w:numId w:val="217"/>
        </w:numPr>
        <w:rPr>
          <w:rFonts w:ascii="Arial" w:cs="Arial" w:eastAsia="Arial" w:hAnsi="Arial"/>
          <w:sz w:val="20"/>
          <w:szCs w:val="20"/>
          <w:color w:val="auto"/>
        </w:rPr>
      </w:pPr>
      <w:r>
        <w:rPr>
          <w:rFonts w:ascii="Arial" w:cs="Arial" w:eastAsia="Arial" w:hAnsi="Arial"/>
          <w:sz w:val="18"/>
          <w:szCs w:val="18"/>
          <w:color w:val="auto"/>
        </w:rPr>
        <w:t>such assignment does not conflict with applicable Laws.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U.S. Borrower to require such assignment and delegation cease to apply.</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6"/>
          <w:szCs w:val="16"/>
          <w:b w:val="1"/>
          <w:bCs w:val="1"/>
          <w:u w:val="single" w:color="auto"/>
          <w:color w:val="auto"/>
        </w:rPr>
        <w:t>Governing Law, Jurisdiction; Etc.</w:t>
      </w:r>
    </w:p>
    <w:p>
      <w:pPr>
        <w:spacing w:after="0" w:line="238" w:lineRule="exact"/>
        <w:rPr>
          <w:sz w:val="20"/>
          <w:szCs w:val="20"/>
          <w:color w:val="auto"/>
        </w:rPr>
      </w:pPr>
    </w:p>
    <w:p>
      <w:pPr>
        <w:ind w:firstLine="656"/>
        <w:spacing w:after="0" w:line="266" w:lineRule="auto"/>
        <w:tabs>
          <w:tab w:leader="none" w:pos="1048" w:val="left"/>
        </w:tabs>
        <w:numPr>
          <w:ilvl w:val="0"/>
          <w:numId w:val="218"/>
        </w:numPr>
        <w:rPr>
          <w:rFonts w:ascii="Arial" w:cs="Arial" w:eastAsia="Arial" w:hAnsi="Arial"/>
          <w:sz w:val="20"/>
          <w:szCs w:val="20"/>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w:t>
      </w:r>
    </w:p>
    <w:p>
      <w:pPr>
        <w:spacing w:after="0" w:line="190" w:lineRule="exact"/>
        <w:rPr>
          <w:rFonts w:ascii="Arial" w:cs="Arial" w:eastAsia="Arial" w:hAnsi="Arial"/>
          <w:sz w:val="20"/>
          <w:szCs w:val="20"/>
          <w:color w:val="auto"/>
        </w:rPr>
      </w:pPr>
    </w:p>
    <w:p>
      <w:pPr>
        <w:ind w:right="20" w:firstLine="656"/>
        <w:spacing w:after="0" w:line="265" w:lineRule="auto"/>
        <w:tabs>
          <w:tab w:leader="none" w:pos="1058" w:val="left"/>
        </w:tabs>
        <w:numPr>
          <w:ilvl w:val="0"/>
          <w:numId w:val="218"/>
        </w:numPr>
        <w:rPr>
          <w:rFonts w:ascii="Arial" w:cs="Arial" w:eastAsia="Arial" w:hAnsi="Arial"/>
          <w:sz w:val="20"/>
          <w:szCs w:val="20"/>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AND EACH OTHER PARTY HERETO IRREVOCABLY AND UNCONDITIONALLY SUBMIT, FOR ITSELF AND ITS PROPERTY, TO THE NONEXCLUSIVE JURISDICTION OF THE COURTS OF THE STATE OF NEW YORK SITTING IN NEW YORK COUNTY AND OF THE UNITED STATES DISTRICT COURT OF THE SOUTHERN DISTRICT OF SUCH STATE,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THE CANADIAN AGENT, ANY OTHER APPLICABLE FACILITY AGENT, ANY LENDER OR THE L/C ISSUER MAY OTHERWISE HAVE TO BRING ANY ACTION OR PROCEEDING RELATING TO THIS AGREEMENT OR ANY OTHER LOAN DOCUMENT AGAINST THE BORROWER OR ANY OTHER LOAN PARTY OR ITS PROPERTIES IN THE COURTS OF ANY JURISDICTION.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320" w:top="765" w:right="379" w:bottom="1440" w:gutter="0" w:footer="0" w:header="0"/>
        </w:sectPr>
      </w:pPr>
    </w:p>
    <w:bookmarkStart w:id="215" w:name="page216"/>
    <w:bookmarkEnd w:id="215"/>
    <w:p>
      <w:pPr>
        <w:ind w:right="100" w:firstLine="656"/>
        <w:spacing w:after="0" w:line="265" w:lineRule="auto"/>
        <w:tabs>
          <w:tab w:leader="none" w:pos="1048" w:val="left"/>
        </w:tabs>
        <w:numPr>
          <w:ilvl w:val="0"/>
          <w:numId w:val="219"/>
        </w:numPr>
        <w:rPr>
          <w:rFonts w:ascii="Arial" w:cs="Arial" w:eastAsia="Arial" w:hAnsi="Arial"/>
          <w:sz w:val="20"/>
          <w:szCs w:val="20"/>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AND EACH OTHER PARTY HERETO IRREVOCABLY AND UNCONDITIONALLY WAIVE,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6" w:lineRule="exact"/>
        <w:rPr>
          <w:rFonts w:ascii="Arial" w:cs="Arial" w:eastAsia="Arial" w:hAnsi="Arial"/>
          <w:sz w:val="20"/>
          <w:szCs w:val="20"/>
          <w:color w:val="auto"/>
        </w:rPr>
      </w:pPr>
    </w:p>
    <w:p>
      <w:pPr>
        <w:ind w:firstLine="656"/>
        <w:spacing w:after="0" w:line="265" w:lineRule="auto"/>
        <w:tabs>
          <w:tab w:leader="none" w:pos="1058" w:val="left"/>
        </w:tabs>
        <w:numPr>
          <w:ilvl w:val="0"/>
          <w:numId w:val="219"/>
        </w:numPr>
        <w:rPr>
          <w:rFonts w:ascii="Arial" w:cs="Arial" w:eastAsia="Arial" w:hAnsi="Arial"/>
          <w:sz w:val="20"/>
          <w:szCs w:val="20"/>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(OTHER THAN FACSIMILE, TELEPHONE OR ELECTRONIC COMMUNICATION)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20"/>
          <w:szCs w:val="20"/>
          <w:b w:val="1"/>
          <w:bCs w:val="1"/>
          <w:color w:val="auto"/>
        </w:rPr>
        <w:t xml:space="preserve">10.15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EACH PARTY HERETO HEREBY IRREVOCABLY WAIVES, TO THE FULLEST EXTENT PERMITTED BY</w:t>
      </w:r>
      <w:r>
        <w:rPr>
          <w:rFonts w:ascii="Arial" w:cs="Arial" w:eastAsia="Arial" w:hAnsi="Arial"/>
          <w:sz w:val="20"/>
          <w:szCs w:val="20"/>
          <w:b w:val="1"/>
          <w:bCs w:val="1"/>
          <w:color w:val="auto"/>
        </w:rPr>
        <w:t xml:space="preserve"> </w:t>
      </w:r>
      <w:r>
        <w:rPr>
          <w:rFonts w:ascii="Arial" w:cs="Arial" w:eastAsia="Arial" w:hAnsi="Arial"/>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67" w:lineRule="exact"/>
        <w:rPr>
          <w:sz w:val="20"/>
          <w:szCs w:val="20"/>
          <w:color w:val="auto"/>
        </w:rPr>
      </w:pPr>
    </w:p>
    <w:p>
      <w:pPr>
        <w:ind w:right="60" w:firstLine="648"/>
        <w:spacing w:after="0" w:line="280" w:lineRule="auto"/>
        <w:rPr>
          <w:sz w:val="20"/>
          <w:szCs w:val="20"/>
          <w:color w:val="auto"/>
        </w:rPr>
      </w:pPr>
      <w:r>
        <w:rPr>
          <w:rFonts w:ascii="Arial" w:cs="Arial" w:eastAsia="Arial" w:hAnsi="Arial"/>
          <w:sz w:val="20"/>
          <w:szCs w:val="20"/>
          <w:b w:val="1"/>
          <w:bCs w:val="1"/>
          <w:color w:val="auto"/>
        </w:rPr>
        <w:t xml:space="preserve">10.16 </w:t>
      </w:r>
      <w:r>
        <w:rPr>
          <w:rFonts w:ascii="Arial" w:cs="Arial" w:eastAsia="Arial" w:hAnsi="Arial"/>
          <w:sz w:val="17"/>
          <w:szCs w:val="17"/>
          <w:b w:val="1"/>
          <w:bCs w:val="1"/>
          <w:u w:val="single" w:color="auto"/>
          <w:color w:val="auto"/>
        </w:rPr>
        <w:t>No Advisory or Fiduciary Responsibility</w:t>
      </w:r>
      <w:r>
        <w:rPr>
          <w:rFonts w:ascii="Arial" w:cs="Arial" w:eastAsia="Arial" w:hAnsi="Arial"/>
          <w:sz w:val="17"/>
          <w:szCs w:val="17"/>
          <w:color w:val="auto"/>
        </w:rPr>
        <w:t>. In connection with all aspects of each transaction contemplated hereby (including in</w:t>
      </w:r>
      <w:r>
        <w:rPr>
          <w:rFonts w:ascii="Arial" w:cs="Arial" w:eastAsia="Arial" w:hAnsi="Arial"/>
          <w:sz w:val="20"/>
          <w:szCs w:val="20"/>
          <w:b w:val="1"/>
          <w:bCs w:val="1"/>
          <w:color w:val="auto"/>
        </w:rPr>
        <w:t xml:space="preserve"> </w:t>
      </w:r>
      <w:r>
        <w:rPr>
          <w:rFonts w:ascii="Arial" w:cs="Arial" w:eastAsia="Arial" w:hAnsi="Arial"/>
          <w:sz w:val="17"/>
          <w:szCs w:val="17"/>
          <w:color w:val="auto"/>
        </w:rPr>
        <w:t>connection with any amendment, waiver or other modification hereof or of any other Loan Document), the U.S. Borrower acknowledges and agrees, and acknowledges its Affiliates’ understanding, that: (i) (A) the arranging and other services regarding this Agreement provided by the Administrative Agent, the Canadian Agent, the European Agent, any other applicable Facility Agent, and the Arrangers are arm’s-length commercial transactions between the U.S. Borrower and its Affiliates, on the one hand, and the Administrative Agent, the Canadian Agent, the European Agent, any other applicable Facility Agent and the Arrangers, on the other hand, (B) the U.S. Borrower has consulted its own legal, accounting, regulatory and tax advisors to the extent it has deemed appropriate, and (C) the U.S. Borrower is capable of evaluating, and understands and accepts, the terms, risks and conditions of the transactions contemplated hereby and by the other Loan Documents; (ii) (A) the Administrative Agent, the Canadian Agent, the European Agent, any other applicable Facility Agent and the Arrangers each is and has been acting solely as a principal and, except as expressly agreed in writing by the relevant parties, has not been, is not, and will not be acting as an advisor, agent or fiduciary for the U.S. Borrower or any of its Affiliates, or any other Person and (B) neither the Administrative Agent, the Canadian Agent, the European Agent, any other applicable Facility Agent nor the Arrangers has any obligation to the U.S. Borrower or any of its Affiliates with respect to the transactions contemplated hereby except those obligations expressly set forth herein and in the other Loan Documents; and (iii) the Administrative Agent, the Canadian Agent, the European Agent, any other applicable Facility Agent and the Arrangers and their respective Affiliates may be engaged in a broad range of transactions that involve interests that differ from those of the U.S. Borrower and its Affiliates, and neither the Administrative Agent, the Canadian Agent, the European Agent, any other applicable Facility Agent nor the Arrangers has any obligation to disclose any of such interests to the U.S. Borrower or its Affiliates. To the fullest extent permitted by law, the U.S. Borrower hereby waives and releases any claims that it may have against the Administrative Agent, the Canadian Agent, the European Agent, any other applicable Facility Agent and the Arrangers with respect to any breach or alleged breach of agency or fiduciary duty in connection with any aspect of any transaction contemplated hereby.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787" w:right="359" w:bottom="1440" w:gutter="0" w:footer="0" w:header="0"/>
        </w:sectPr>
      </w:pPr>
    </w:p>
    <w:bookmarkStart w:id="216" w:name="page217"/>
    <w:bookmarkEnd w:id="216"/>
    <w:p>
      <w:pPr>
        <w:ind w:right="20" w:firstLine="648"/>
        <w:spacing w:after="0" w:line="276" w:lineRule="auto"/>
        <w:rPr>
          <w:sz w:val="20"/>
          <w:szCs w:val="20"/>
          <w:color w:val="auto"/>
        </w:rPr>
      </w:pPr>
      <w:r>
        <w:rPr>
          <w:rFonts w:ascii="Arial" w:cs="Arial" w:eastAsia="Arial" w:hAnsi="Arial"/>
          <w:sz w:val="20"/>
          <w:szCs w:val="20"/>
          <w:b w:val="1"/>
          <w:bCs w:val="1"/>
          <w:color w:val="auto"/>
        </w:rPr>
        <w:t xml:space="preserve">10.17 </w:t>
      </w:r>
      <w:r>
        <w:rPr>
          <w:rFonts w:ascii="Arial" w:cs="Arial" w:eastAsia="Arial" w:hAnsi="Arial"/>
          <w:sz w:val="17"/>
          <w:szCs w:val="17"/>
          <w:b w:val="1"/>
          <w:bCs w:val="1"/>
          <w:u w:val="single" w:color="auto"/>
          <w:color w:val="auto"/>
        </w:rPr>
        <w:t>USA Patriot Act Notice</w:t>
      </w:r>
      <w:r>
        <w:rPr>
          <w:rFonts w:ascii="Arial" w:cs="Arial" w:eastAsia="Arial" w:hAnsi="Arial"/>
          <w:sz w:val="17"/>
          <w:szCs w:val="17"/>
          <w:color w:val="auto"/>
        </w:rPr>
        <w:t>. Each Lender that is subject to the Patriot Act (or any Canadian Anti-Terrorism Laws), the Administrative Agent</w:t>
      </w:r>
      <w:r>
        <w:rPr>
          <w:rFonts w:ascii="Arial" w:cs="Arial" w:eastAsia="Arial" w:hAnsi="Arial"/>
          <w:sz w:val="20"/>
          <w:szCs w:val="20"/>
          <w:b w:val="1"/>
          <w:bCs w:val="1"/>
          <w:color w:val="auto"/>
        </w:rPr>
        <w:t xml:space="preserve"> </w:t>
      </w:r>
      <w:r>
        <w:rPr>
          <w:rFonts w:ascii="Arial" w:cs="Arial" w:eastAsia="Arial" w:hAnsi="Arial"/>
          <w:sz w:val="17"/>
          <w:szCs w:val="17"/>
          <w:color w:val="auto"/>
        </w:rPr>
        <w:t>(for itself and not on behalf of any Lender), the Canadian Agent (for itself and not on behalf of any Lender) and the European Agent (for itself and not on behalf of any Lender) hereby notifies the Borrowers that pursuant to the requirements of the Patriot Act and any Canadian Anti-Terrorism Laws, respectively, it is required to obtain, verify and record information that identifies the Borrowers, which information includes the name and address of the Borrowers and other information that will allow such Lender, the Administrative Agent, the Canadian Agent or the European Agent to identify the Borrowers in accordance with the Patriot Act and such Canadian Anti-Terrorism Laws, as the case may be.</w:t>
      </w:r>
    </w:p>
    <w:p>
      <w:pPr>
        <w:spacing w:after="0" w:line="16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b w:val="1"/>
          <w:bCs w:val="1"/>
          <w:color w:val="auto"/>
        </w:rPr>
        <w:t xml:space="preserve">10.18 </w:t>
      </w:r>
      <w:r>
        <w:rPr>
          <w:rFonts w:ascii="Arial" w:cs="Arial" w:eastAsia="Arial" w:hAnsi="Arial"/>
          <w:sz w:val="16"/>
          <w:szCs w:val="16"/>
          <w:b w:val="1"/>
          <w:bCs w:val="1"/>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or under any</w:t>
      </w:r>
      <w:r>
        <w:rPr>
          <w:rFonts w:ascii="Arial" w:cs="Arial" w:eastAsia="Arial" w:hAnsi="Arial"/>
          <w:sz w:val="19"/>
          <w:szCs w:val="19"/>
          <w:b w:val="1"/>
          <w:bCs w:val="1"/>
          <w:color w:val="auto"/>
        </w:rPr>
        <w:t xml:space="preserve"> </w:t>
      </w:r>
      <w:r>
        <w:rPr>
          <w:rFonts w:ascii="Arial" w:cs="Arial" w:eastAsia="Arial" w:hAnsi="Arial"/>
          <w:sz w:val="16"/>
          <w:szCs w:val="16"/>
          <w:color w:val="auto"/>
        </w:rPr>
        <w:t>other Loan Document in one currency into another currency, the rate of exchange used shall be that at which in accordance with normal banking procedures the applicable Facility Agent could purchase the first currency with such other currency on the Business Day preceding that on which final judgment is given. The obligation of each Borrower in respect of any such sum due from it to such Facility Agent or the Lenders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such Facility Agent of any sum adjudged to be so due in the Judgment Currency, such Facility Agent may in accordance with normal banking procedures purchase the Agreement Currency with the Judgment Currency. If the amount of the Agreement Currency so purchased is less than the sum originally due to such Facility Agent from any Borrower in the Agreement Currency, such Borrower agrees, as a separate obligation and notwithstanding any such judgment, to indemnify such Facility Agent or the Person to whom such obligation was owing against such loss. If the amount of the Agreement Currency so purchased is greater than the sum originally due to such Facility Agent in such currency, such Facility Agent agrees to return the amount of any excess to such Borrower (or to any other Person who may be entitled thereto under applicable law).</w:t>
      </w:r>
    </w:p>
    <w:p>
      <w:pPr>
        <w:spacing w:after="0" w:line="152" w:lineRule="exact"/>
        <w:rPr>
          <w:sz w:val="20"/>
          <w:szCs w:val="20"/>
          <w:color w:val="auto"/>
        </w:rPr>
      </w:pPr>
    </w:p>
    <w:p>
      <w:pPr>
        <w:ind w:right="20" w:firstLine="648"/>
        <w:spacing w:after="0" w:line="274" w:lineRule="auto"/>
        <w:rPr>
          <w:sz w:val="20"/>
          <w:szCs w:val="20"/>
          <w:color w:val="auto"/>
        </w:rPr>
      </w:pPr>
      <w:r>
        <w:rPr>
          <w:rFonts w:ascii="Arial" w:cs="Arial" w:eastAsia="Arial" w:hAnsi="Arial"/>
          <w:sz w:val="20"/>
          <w:szCs w:val="20"/>
          <w:b w:val="1"/>
          <w:bCs w:val="1"/>
          <w:color w:val="auto"/>
        </w:rPr>
        <w:t xml:space="preserve">10.19 </w:t>
      </w:r>
      <w:r>
        <w:rPr>
          <w:rFonts w:ascii="Arial" w:cs="Arial" w:eastAsia="Arial" w:hAnsi="Arial"/>
          <w:sz w:val="17"/>
          <w:szCs w:val="17"/>
          <w:b w:val="1"/>
          <w:bCs w:val="1"/>
          <w:u w:val="single" w:color="auto"/>
          <w:color w:val="auto"/>
        </w:rPr>
        <w:t>Separate and Distinct Obligations</w:t>
      </w:r>
      <w:r>
        <w:rPr>
          <w:rFonts w:ascii="Arial" w:cs="Arial" w:eastAsia="Arial" w:hAnsi="Arial"/>
          <w:sz w:val="17"/>
          <w:szCs w:val="17"/>
          <w:color w:val="auto"/>
        </w:rPr>
        <w:t>. For the avoidance of doubt, each of the Loan Parties, the Agents and the Lenders acknowledges and</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agrees that, notwithstanding anything to the contrary in this Agreement or any of the other Loan Documents, the Obligations of the Foreign Loan Parties under this Agreement or any of the other Loan Documents shall be separate and distinct from the Obligations of the Domestic Loan Parties, and shall be expressly limited to the Obligations of the Foreign Loan Parties. In furtherance of the foregoing, each of the parties acknowledges and agrees that the liability of any Foreign Loan Party for the payment and performance of its covenants, representations and warranties set forth in this Agreement and the other Loan Documents shall be several from but not joint with the Obligations of the Domestic Loan Parties; and the Collateral of the Foreign Loan Parties, if any, shall not secure or be applied in satisfaction, by way of payment, prepayment, or otherwise, of all or any portion of the Obligations of the Domestic Loan Parties. For the avoidance of doubt, this </w:t>
      </w:r>
      <w:r>
        <w:rPr>
          <w:rFonts w:ascii="Arial" w:cs="Arial" w:eastAsia="Arial" w:hAnsi="Arial"/>
          <w:sz w:val="17"/>
          <w:szCs w:val="17"/>
          <w:u w:val="single" w:color="auto"/>
          <w:color w:val="auto"/>
        </w:rPr>
        <w:t>Section 10.19</w:t>
      </w:r>
      <w:r>
        <w:rPr>
          <w:rFonts w:ascii="Arial" w:cs="Arial" w:eastAsia="Arial" w:hAnsi="Arial"/>
          <w:sz w:val="17"/>
          <w:szCs w:val="17"/>
          <w:color w:val="auto"/>
        </w:rPr>
        <w:t xml:space="preserve"> shall in no event limit the joint and several liability of the Foreign Loan Parties for the Obligations of such Foreign Loan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10.20</w:t>
      </w:r>
      <w:r>
        <w:rPr>
          <w:sz w:val="20"/>
          <w:szCs w:val="20"/>
          <w:color w:val="auto"/>
        </w:rPr>
        <w:tab/>
      </w:r>
      <w:r>
        <w:rPr>
          <w:rFonts w:ascii="Arial" w:cs="Arial" w:eastAsia="Arial" w:hAnsi="Arial"/>
          <w:sz w:val="16"/>
          <w:szCs w:val="16"/>
          <w:b w:val="1"/>
          <w:bCs w:val="1"/>
          <w:u w:val="single" w:color="auto"/>
          <w:color w:val="auto"/>
        </w:rPr>
        <w:t>Amendment and Restatement; Reaffirmation</w:t>
      </w:r>
      <w:r>
        <w:rPr>
          <w:rFonts w:ascii="Arial" w:cs="Arial" w:eastAsia="Arial" w:hAnsi="Arial"/>
          <w:sz w:val="16"/>
          <w:szCs w:val="16"/>
          <w:color w:val="auto"/>
        </w:rPr>
        <w:t>.</w:t>
      </w:r>
    </w:p>
    <w:p>
      <w:pPr>
        <w:spacing w:after="0" w:line="238" w:lineRule="exact"/>
        <w:rPr>
          <w:sz w:val="20"/>
          <w:szCs w:val="20"/>
          <w:color w:val="auto"/>
        </w:rPr>
      </w:pPr>
    </w:p>
    <w:p>
      <w:pPr>
        <w:ind w:right="20" w:firstLine="656"/>
        <w:spacing w:after="0" w:line="302" w:lineRule="auto"/>
        <w:tabs>
          <w:tab w:leader="none" w:pos="1048" w:val="left"/>
        </w:tabs>
        <w:numPr>
          <w:ilvl w:val="0"/>
          <w:numId w:val="220"/>
        </w:numPr>
        <w:rPr>
          <w:rFonts w:ascii="Arial" w:cs="Arial" w:eastAsia="Arial" w:hAnsi="Arial"/>
          <w:sz w:val="18"/>
          <w:szCs w:val="18"/>
          <w:color w:val="auto"/>
        </w:rPr>
      </w:pPr>
      <w:r>
        <w:rPr>
          <w:rFonts w:ascii="Arial" w:cs="Arial" w:eastAsia="Arial" w:hAnsi="Arial"/>
          <w:sz w:val="16"/>
          <w:szCs w:val="16"/>
          <w:color w:val="auto"/>
        </w:rPr>
        <w:t xml:space="preserve">It is the intention of each of the parties hereto that the Third Amended and Restated Credit Agreement be amended and restated in its entirety pursuant to this Agreement so as to preserve the perfection and priority of all Liens securing Indebtedness and Obligations under the Third Amended and Restated Credit Agreement and that all Indebtedness and Obligations of the Loan Parties hereunder shall be secured by the Liens evidenced under the Security Documents and that this Agreement does not constitute a novation or termination of the Indebtedness and Obligations existing under the Third Amended and Restated Credit Agreement (or serve to terminate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of the Third Amended and Restated Credit Agreement). The parties hereto further acknowledge and agree that this Agreement constitutes an amendment of the Third Amended and Restated Credit Agreement made under and in accordance with the terms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of the Third Amended and Restated Credit Agreement. In addition, unless specifically amended hereby, each of the Loan Documents and the Exhibits and Schedules to the Third Amended and Restated Credit Agreement shall continue in full force and effect and that, from and after the Fourth Restatement Date, all references to the “Credit Agreement” contained therein shall be deemed to refer to this Agreement.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333" w:right="339" w:bottom="1440" w:gutter="0" w:footer="0" w:header="0"/>
        </w:sectPr>
      </w:pPr>
    </w:p>
    <w:bookmarkStart w:id="217" w:name="page218"/>
    <w:bookmarkEnd w:id="217"/>
    <w:p>
      <w:pPr>
        <w:ind w:right="60" w:firstLine="656"/>
        <w:spacing w:after="0" w:line="283" w:lineRule="auto"/>
        <w:tabs>
          <w:tab w:leader="none" w:pos="1058" w:val="left"/>
        </w:tabs>
        <w:numPr>
          <w:ilvl w:val="0"/>
          <w:numId w:val="221"/>
        </w:numPr>
        <w:rPr>
          <w:rFonts w:ascii="Arial" w:cs="Arial" w:eastAsia="Arial" w:hAnsi="Arial"/>
          <w:sz w:val="19"/>
          <w:szCs w:val="19"/>
          <w:color w:val="auto"/>
        </w:rPr>
      </w:pPr>
      <w:r>
        <w:rPr>
          <w:rFonts w:ascii="Arial" w:cs="Arial" w:eastAsia="Arial" w:hAnsi="Arial"/>
          <w:sz w:val="17"/>
          <w:szCs w:val="17"/>
          <w:color w:val="auto"/>
        </w:rPr>
        <w:t>Each Borrower party to any Loan Document (as defined in the Third Amended and Restated Credit Agreement) entered into prior to execution of this Agreement (collectively, the “</w:t>
      </w:r>
      <w:r>
        <w:rPr>
          <w:rFonts w:ascii="Arial" w:cs="Arial" w:eastAsia="Arial" w:hAnsi="Arial"/>
          <w:sz w:val="17"/>
          <w:szCs w:val="17"/>
          <w:u w:val="single" w:color="auto"/>
          <w:color w:val="auto"/>
        </w:rPr>
        <w:t>Reaffirmed Documents</w:t>
      </w:r>
      <w:r>
        <w:rPr>
          <w:rFonts w:ascii="Arial" w:cs="Arial" w:eastAsia="Arial" w:hAnsi="Arial"/>
          <w:sz w:val="17"/>
          <w:szCs w:val="17"/>
          <w:color w:val="auto"/>
        </w:rPr>
        <w:t>”) hereby (i) ratifies and reaffirms its obligations under each Reaffirmed Document except as otherwise amended and restated on the Closing Date and (ii) acknowledges and agrees that (A) all Liens granted to the Collateral Agent to secure the Secured Obligations (under and as defined in the Third Amended and Restated Credit Agreement) remain in full force and effect except as otherwise amended and restated on the Closing Date and (B) the validity, perfection and priority of such Liens will not be impaired by the amendment and restatement of the Third Amended and Restated Credit Agreement or any other Loan Document.</w:t>
      </w:r>
    </w:p>
    <w:p>
      <w:pPr>
        <w:spacing w:after="0" w:line="16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10.21</w:t>
      </w:r>
      <w:r>
        <w:rPr>
          <w:sz w:val="20"/>
          <w:szCs w:val="20"/>
          <w:color w:val="auto"/>
        </w:rPr>
        <w:tab/>
      </w:r>
      <w:r>
        <w:rPr>
          <w:rFonts w:ascii="Arial" w:cs="Arial" w:eastAsia="Arial" w:hAnsi="Arial"/>
          <w:sz w:val="16"/>
          <w:szCs w:val="16"/>
          <w:b w:val="1"/>
          <w:bCs w:val="1"/>
          <w:u w:val="single" w:color="auto"/>
          <w:color w:val="auto"/>
        </w:rPr>
        <w:t xml:space="preserve">Acknowledgement and Consent to Bail-In of </w:t>
      </w:r>
      <w:r>
        <w:rPr>
          <w:rFonts w:ascii="Arial" w:cs="Arial" w:eastAsia="Arial" w:hAnsi="Arial"/>
          <w:sz w:val="16"/>
          <w:szCs w:val="16"/>
          <w:b w:val="1"/>
          <w:bCs w:val="1"/>
          <w:u w:val="single" w:color="auto"/>
          <w:color w:val="auto"/>
          <w:strike w:val="1"/>
        </w:rPr>
        <w:t>EEA</w:t>
      </w:r>
      <w:r>
        <w:rPr>
          <w:rFonts w:ascii="Arial" w:cs="Arial" w:eastAsia="Arial" w:hAnsi="Arial"/>
          <w:sz w:val="16"/>
          <w:szCs w:val="16"/>
          <w:b w:val="1"/>
          <w:bCs w:val="1"/>
          <w:u w:val="single" w:color="auto"/>
          <w:color w:val="auto"/>
        </w:rPr>
        <w:t xml:space="preserve"> *Affected* Financial Institutions</w:t>
      </w:r>
      <w:r>
        <w:rPr>
          <w:rFonts w:ascii="Arial" w:cs="Arial" w:eastAsia="Arial" w:hAnsi="Arial"/>
          <w:sz w:val="16"/>
          <w:szCs w:val="16"/>
          <w:color w:val="auto"/>
        </w:rPr>
        <w:t>.</w:t>
      </w:r>
    </w:p>
    <w:p>
      <w:pPr>
        <w:spacing w:after="0" w:line="26" w:lineRule="exact"/>
        <w:rPr>
          <w:sz w:val="20"/>
          <w:szCs w:val="20"/>
          <w:color w:val="auto"/>
        </w:rPr>
      </w:pPr>
    </w:p>
    <w:p>
      <w:pPr>
        <w:ind w:right="80"/>
        <w:spacing w:after="0" w:line="326" w:lineRule="auto"/>
        <w:rPr>
          <w:sz w:val="20"/>
          <w:szCs w:val="20"/>
          <w:color w:val="auto"/>
        </w:rPr>
      </w:pPr>
      <w:r>
        <w:rPr>
          <w:rFonts w:ascii="Arial" w:cs="Arial" w:eastAsia="Arial" w:hAnsi="Arial"/>
          <w:sz w:val="16"/>
          <w:szCs w:val="16"/>
          <w:color w:val="auto"/>
        </w:rPr>
        <w:t xml:space="preserve">Notwithstanding anything to the contrary in any Loan Document or in any other agreement, arrangement or understanding among any such parties, each party hereto acknowledges that any liability of any </w:t>
      </w:r>
      <w:r>
        <w:rPr>
          <w:rFonts w:ascii="Arial" w:cs="Arial" w:eastAsia="Arial" w:hAnsi="Arial"/>
          <w:sz w:val="16"/>
          <w:szCs w:val="16"/>
          <w:color w:val="auto"/>
          <w:strike w:val="1"/>
        </w:rPr>
        <w:t>EEA</w:t>
      </w:r>
      <w:r>
        <w:rPr>
          <w:rFonts w:ascii="Arial" w:cs="Arial" w:eastAsia="Arial" w:hAnsi="Arial"/>
          <w:sz w:val="16"/>
          <w:szCs w:val="16"/>
          <w:color w:val="auto"/>
        </w:rPr>
        <w:t xml:space="preserve"> </w:t>
      </w:r>
      <w:r>
        <w:rPr>
          <w:rFonts w:ascii="Arial" w:cs="Arial" w:eastAsia="Arial" w:hAnsi="Arial"/>
          <w:sz w:val="16"/>
          <w:szCs w:val="16"/>
          <w:u w:val="single" w:color="auto"/>
          <w:color w:val="auto"/>
        </w:rPr>
        <w:t>*Affected*</w:t>
      </w:r>
      <w:r>
        <w:rPr>
          <w:rFonts w:ascii="Arial" w:cs="Arial" w:eastAsia="Arial" w:hAnsi="Arial"/>
          <w:sz w:val="16"/>
          <w:szCs w:val="16"/>
          <w:color w:val="auto"/>
        </w:rPr>
        <w:t xml:space="preserve"> Financial Institution arising under any Loan Document may be subject to the Write-Down and Conversion Powers of </w:t>
      </w:r>
      <w:r>
        <w:rPr>
          <w:rFonts w:ascii="Arial" w:cs="Arial" w:eastAsia="Arial" w:hAnsi="Arial"/>
          <w:sz w:val="16"/>
          <w:szCs w:val="16"/>
          <w:color w:val="auto"/>
          <w:strike w:val="1"/>
        </w:rPr>
        <w:t>an EEA</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applicable*</w:t>
      </w:r>
      <w:r>
        <w:rPr>
          <w:rFonts w:ascii="Arial" w:cs="Arial" w:eastAsia="Arial" w:hAnsi="Arial"/>
          <w:sz w:val="16"/>
          <w:szCs w:val="16"/>
          <w:color w:val="auto"/>
        </w:rPr>
        <w:t xml:space="preserve"> Resolution Authority and agrees and consents to, and acknowledges and agrees to be bound by:</w:t>
      </w:r>
    </w:p>
    <w:p>
      <w:pPr>
        <w:spacing w:after="0" w:line="150" w:lineRule="exact"/>
        <w:rPr>
          <w:sz w:val="20"/>
          <w:szCs w:val="20"/>
          <w:color w:val="auto"/>
        </w:rPr>
      </w:pPr>
    </w:p>
    <w:p>
      <w:pPr>
        <w:ind w:left="660" w:right="100" w:firstLine="644"/>
        <w:spacing w:after="0" w:line="266" w:lineRule="auto"/>
        <w:tabs>
          <w:tab w:leader="none" w:pos="1708" w:val="left"/>
        </w:tabs>
        <w:numPr>
          <w:ilvl w:val="0"/>
          <w:numId w:val="222"/>
        </w:numPr>
        <w:rPr>
          <w:rFonts w:ascii="Arial" w:cs="Arial" w:eastAsia="Arial" w:hAnsi="Arial"/>
          <w:sz w:val="20"/>
          <w:szCs w:val="20"/>
          <w:color w:val="auto"/>
        </w:rPr>
      </w:pPr>
      <w:r>
        <w:rPr>
          <w:rFonts w:ascii="Arial" w:cs="Arial" w:eastAsia="Arial" w:hAnsi="Arial"/>
          <w:sz w:val="18"/>
          <w:szCs w:val="18"/>
          <w:color w:val="auto"/>
        </w:rPr>
        <w:t xml:space="preserve">the application of any Write-Down and Conversion Powers by </w:t>
      </w:r>
      <w:r>
        <w:rPr>
          <w:rFonts w:ascii="Arial" w:cs="Arial" w:eastAsia="Arial" w:hAnsi="Arial"/>
          <w:sz w:val="18"/>
          <w:szCs w:val="18"/>
          <w:color w:val="auto"/>
          <w:strike w:val="1"/>
        </w:rPr>
        <w:t>an EEA</w:t>
      </w:r>
      <w:r>
        <w:rPr>
          <w:rFonts w:ascii="Arial" w:cs="Arial" w:eastAsia="Arial" w:hAnsi="Arial"/>
          <w:sz w:val="18"/>
          <w:szCs w:val="18"/>
          <w:u w:val="single" w:color="auto"/>
          <w:color w:val="auto"/>
        </w:rPr>
        <w:t>*the applicable*</w:t>
      </w:r>
      <w:r>
        <w:rPr>
          <w:rFonts w:ascii="Arial" w:cs="Arial" w:eastAsia="Arial" w:hAnsi="Arial"/>
          <w:sz w:val="18"/>
          <w:szCs w:val="18"/>
          <w:color w:val="auto"/>
        </w:rPr>
        <w:t xml:space="preserve"> Resolution Authority to any such liabilities arising hereunder which may be payable to it by any party hereto that is an EEA Financial Institution; and</w:t>
      </w:r>
    </w:p>
    <w:p>
      <w:pPr>
        <w:spacing w:after="0" w:line="190" w:lineRule="exact"/>
        <w:rPr>
          <w:rFonts w:ascii="Arial" w:cs="Arial" w:eastAsia="Arial" w:hAnsi="Arial"/>
          <w:sz w:val="20"/>
          <w:szCs w:val="20"/>
          <w:color w:val="auto"/>
        </w:rPr>
      </w:pPr>
    </w:p>
    <w:p>
      <w:pPr>
        <w:ind w:left="1720" w:hanging="416"/>
        <w:spacing w:after="0"/>
        <w:tabs>
          <w:tab w:leader="none" w:pos="1720" w:val="left"/>
        </w:tabs>
        <w:numPr>
          <w:ilvl w:val="0"/>
          <w:numId w:val="222"/>
        </w:numPr>
        <w:rPr>
          <w:rFonts w:ascii="Arial" w:cs="Arial" w:eastAsia="Arial" w:hAnsi="Arial"/>
          <w:sz w:val="20"/>
          <w:szCs w:val="20"/>
          <w:color w:val="auto"/>
        </w:rPr>
      </w:pPr>
      <w:r>
        <w:rPr>
          <w:rFonts w:ascii="Arial" w:cs="Arial" w:eastAsia="Arial" w:hAnsi="Arial"/>
          <w:sz w:val="18"/>
          <w:szCs w:val="18"/>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320" w:hanging="368"/>
        <w:spacing w:after="0"/>
        <w:tabs>
          <w:tab w:leader="none" w:pos="2320" w:val="left"/>
        </w:tabs>
        <w:numPr>
          <w:ilvl w:val="1"/>
          <w:numId w:val="222"/>
        </w:numPr>
        <w:rPr>
          <w:rFonts w:ascii="Arial" w:cs="Arial" w:eastAsia="Arial" w:hAnsi="Arial"/>
          <w:sz w:val="20"/>
          <w:szCs w:val="20"/>
          <w:color w:val="auto"/>
        </w:rPr>
      </w:pPr>
      <w:r>
        <w:rPr>
          <w:rFonts w:ascii="Arial" w:cs="Arial" w:eastAsia="Arial" w:hAnsi="Arial"/>
          <w:sz w:val="18"/>
          <w:szCs w:val="18"/>
          <w:color w:val="auto"/>
        </w:rPr>
        <w:t>a reduction in full or in part or cancellation of any such liability;</w:t>
      </w:r>
    </w:p>
    <w:p>
      <w:pPr>
        <w:spacing w:after="0" w:line="215" w:lineRule="exact"/>
        <w:rPr>
          <w:rFonts w:ascii="Arial" w:cs="Arial" w:eastAsia="Arial" w:hAnsi="Arial"/>
          <w:sz w:val="20"/>
          <w:szCs w:val="20"/>
          <w:color w:val="auto"/>
        </w:rPr>
      </w:pPr>
    </w:p>
    <w:p>
      <w:pPr>
        <w:ind w:left="1300" w:right="160" w:firstLine="652"/>
        <w:spacing w:after="0" w:line="265" w:lineRule="auto"/>
        <w:tabs>
          <w:tab w:leader="none" w:pos="2369" w:val="left"/>
        </w:tabs>
        <w:numPr>
          <w:ilvl w:val="1"/>
          <w:numId w:val="222"/>
        </w:numPr>
        <w:rPr>
          <w:rFonts w:ascii="Arial" w:cs="Arial" w:eastAsia="Arial" w:hAnsi="Arial"/>
          <w:sz w:val="20"/>
          <w:szCs w:val="20"/>
          <w:color w:val="auto"/>
        </w:rPr>
      </w:pPr>
      <w:r>
        <w:rPr>
          <w:rFonts w:ascii="Arial" w:cs="Arial" w:eastAsia="Arial" w:hAnsi="Arial"/>
          <w:sz w:val="18"/>
          <w:szCs w:val="18"/>
          <w:color w:val="auto"/>
        </w:rPr>
        <w:t xml:space="preserve">a conversion of all, or a portion of, such liability into shares or other instruments of ownership in such </w:t>
      </w:r>
      <w:r>
        <w:rPr>
          <w:rFonts w:ascii="Arial" w:cs="Arial" w:eastAsia="Arial" w:hAnsi="Arial"/>
          <w:sz w:val="18"/>
          <w:szCs w:val="18"/>
          <w:color w:val="auto"/>
          <w:strike w:val="1"/>
        </w:rPr>
        <w:t>EEA</w:t>
      </w:r>
      <w:r>
        <w:rPr>
          <w:rFonts w:ascii="Arial" w:cs="Arial" w:eastAsia="Arial" w:hAnsi="Arial"/>
          <w:sz w:val="18"/>
          <w:szCs w:val="18"/>
          <w:u w:val="single" w:color="auto"/>
          <w:color w:val="auto"/>
        </w:rPr>
        <w:t>*Affected*</w:t>
      </w:r>
      <w:r>
        <w:rPr>
          <w:rFonts w:ascii="Arial" w:cs="Arial" w:eastAsia="Arial" w:hAnsi="Arial"/>
          <w:sz w:val="18"/>
          <w:szCs w:val="18"/>
          <w:color w:val="auto"/>
        </w:rPr>
        <w:t xml:space="preserve">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4" w:lineRule="exact"/>
        <w:rPr>
          <w:rFonts w:ascii="Arial" w:cs="Arial" w:eastAsia="Arial" w:hAnsi="Arial"/>
          <w:sz w:val="20"/>
          <w:szCs w:val="20"/>
          <w:color w:val="auto"/>
        </w:rPr>
      </w:pPr>
    </w:p>
    <w:p>
      <w:pPr>
        <w:ind w:left="1300" w:right="180" w:firstLine="652"/>
        <w:spacing w:after="0" w:line="266" w:lineRule="auto"/>
        <w:tabs>
          <w:tab w:leader="none" w:pos="2425" w:val="left"/>
        </w:tabs>
        <w:numPr>
          <w:ilvl w:val="1"/>
          <w:numId w:val="222"/>
        </w:numPr>
        <w:rPr>
          <w:rFonts w:ascii="Arial" w:cs="Arial" w:eastAsia="Arial" w:hAnsi="Arial"/>
          <w:sz w:val="20"/>
          <w:szCs w:val="20"/>
          <w:color w:val="auto"/>
        </w:rPr>
      </w:pPr>
      <w:r>
        <w:rPr>
          <w:rFonts w:ascii="Arial" w:cs="Arial" w:eastAsia="Arial" w:hAnsi="Arial"/>
          <w:sz w:val="18"/>
          <w:szCs w:val="18"/>
          <w:color w:val="auto"/>
        </w:rPr>
        <w:t xml:space="preserve">the variation of the terms of such liability in connection with the exercise of the Write-Down and Conversion Powers of </w:t>
      </w:r>
      <w:r>
        <w:rPr>
          <w:rFonts w:ascii="Arial" w:cs="Arial" w:eastAsia="Arial" w:hAnsi="Arial"/>
          <w:sz w:val="18"/>
          <w:szCs w:val="18"/>
          <w:color w:val="auto"/>
          <w:strike w:val="1"/>
        </w:rPr>
        <w:t>any EEA</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applicable*</w:t>
      </w:r>
      <w:r>
        <w:rPr>
          <w:rFonts w:ascii="Arial" w:cs="Arial" w:eastAsia="Arial" w:hAnsi="Arial"/>
          <w:sz w:val="18"/>
          <w:szCs w:val="18"/>
          <w:color w:val="auto"/>
        </w:rPr>
        <w:t xml:space="preserve"> Resolution Authority.</w:t>
      </w:r>
    </w:p>
    <w:p>
      <w:pPr>
        <w:spacing w:after="0" w:line="169" w:lineRule="exact"/>
        <w:rPr>
          <w:sz w:val="20"/>
          <w:szCs w:val="20"/>
          <w:color w:val="auto"/>
        </w:rPr>
      </w:pPr>
    </w:p>
    <w:p>
      <w:pPr>
        <w:ind w:right="100" w:firstLine="648"/>
        <w:spacing w:after="0" w:line="277" w:lineRule="auto"/>
        <w:rPr>
          <w:sz w:val="20"/>
          <w:szCs w:val="20"/>
          <w:color w:val="auto"/>
        </w:rPr>
      </w:pPr>
      <w:r>
        <w:rPr>
          <w:rFonts w:ascii="Arial" w:cs="Arial" w:eastAsia="Arial" w:hAnsi="Arial"/>
          <w:sz w:val="20"/>
          <w:szCs w:val="20"/>
          <w:b w:val="1"/>
          <w:bCs w:val="1"/>
          <w:color w:val="auto"/>
        </w:rPr>
        <w:t xml:space="preserve">10.22 </w:t>
      </w: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Acknowledgement Regarding Any Supported QFCs.</w:t>
      </w:r>
      <w:r>
        <w:rPr>
          <w:rFonts w:ascii="Arial" w:cs="Arial" w:eastAsia="Arial" w:hAnsi="Arial"/>
          <w:sz w:val="20"/>
          <w:szCs w:val="20"/>
          <w:b w:val="1"/>
          <w:bCs w:val="1"/>
          <w:color w:val="auto"/>
        </w:rPr>
        <w:t xml:space="preserve"> </w:t>
      </w:r>
      <w:r>
        <w:rPr>
          <w:rFonts w:ascii="Arial" w:cs="Arial" w:eastAsia="Arial" w:hAnsi="Arial"/>
          <w:sz w:val="17"/>
          <w:szCs w:val="17"/>
          <w:u w:val="single" w:color="auto"/>
          <w:color w:val="auto"/>
        </w:rPr>
        <w:t>To the extent that the Loan Documents provide support, through a guarantee or</w:t>
      </w:r>
      <w:r>
        <w:rPr>
          <w:rFonts w:ascii="Arial" w:cs="Arial" w:eastAsia="Arial" w:hAnsi="Arial"/>
          <w:sz w:val="20"/>
          <w:szCs w:val="20"/>
          <w:b w:val="1"/>
          <w:bCs w:val="1"/>
          <w:color w:val="auto"/>
        </w:rPr>
        <w:t xml:space="preserve"> </w:t>
      </w:r>
      <w:r>
        <w:rPr>
          <w:rFonts w:ascii="Arial" w:cs="Arial" w:eastAsia="Arial" w:hAnsi="Arial"/>
          <w:sz w:val="17"/>
          <w:szCs w:val="17"/>
          <w:u w:val="single" w:color="auto"/>
          <w:color w:val="auto"/>
        </w:rPr>
        <w:t>otherwise, for Swap Contracts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2"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u w:val="single" w:color="auto"/>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787" w:right="339" w:bottom="1440" w:gutter="0" w:footer="0" w:header="0"/>
        </w:sectPr>
      </w:pPr>
    </w:p>
    <w:bookmarkStart w:id="218" w:name="page219"/>
    <w:bookmarkEnd w:id="218"/>
    <w:p>
      <w:pPr>
        <w:spacing w:after="0" w:line="277" w:lineRule="auto"/>
        <w:rPr>
          <w:sz w:val="20"/>
          <w:szCs w:val="20"/>
          <w:color w:val="auto"/>
        </w:rPr>
      </w:pPr>
      <w:r>
        <w:rPr>
          <w:rFonts w:ascii="Arial" w:cs="Arial" w:eastAsia="Arial" w:hAnsi="Arial"/>
          <w:sz w:val="18"/>
          <w:szCs w:val="18"/>
          <w:u w:val="single" w:color="auto"/>
          <w:color w:val="auto"/>
        </w:rPr>
        <w:t>is understood and agreed that rights and remedies of the parties with respect to a Defaulting Lender shall in no event affect the rights of any Covered Party with respect to a Supported QFC or any QFC Credit Support.*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341" w:right="4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[Form of Compliance Certificate, as amended]</w:t>
      </w:r>
    </w:p>
    <w:p>
      <w:pPr>
        <w:sectPr>
          <w:pgSz w:w="11900" w:h="16838" w:orient="portrait"/>
          <w:cols w:equalWidth="0" w:num="1">
            <w:col w:w="10120"/>
          </w:cols>
          <w:pgMar w:left="1440" w:top="341"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D</w:t>
      </w:r>
    </w:p>
    <w:p>
      <w:pPr>
        <w:spacing w:after="0" w:line="200" w:lineRule="exact"/>
        <w:rPr>
          <w:sz w:val="20"/>
          <w:szCs w:val="20"/>
          <w:color w:val="auto"/>
        </w:rPr>
      </w:pPr>
    </w:p>
    <w:p>
      <w:pPr>
        <w:spacing w:after="0" w:line="245"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FORM OF COMPLIANCE CERTIFICATE</w:t>
      </w:r>
    </w:p>
    <w:p>
      <w:pPr>
        <w:spacing w:after="0" w:line="200" w:lineRule="exact"/>
        <w:rPr>
          <w:sz w:val="20"/>
          <w:szCs w:val="20"/>
          <w:color w:val="auto"/>
        </w:rPr>
      </w:pPr>
    </w:p>
    <w:p>
      <w:pPr>
        <w:spacing w:after="0" w:line="296"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Financial Statement Date: _____, _____</w:t>
      </w:r>
    </w:p>
    <w:p>
      <w:pPr>
        <w:spacing w:after="0" w:line="56" w:lineRule="exact"/>
        <w:rPr>
          <w:sz w:val="20"/>
          <w:szCs w:val="20"/>
          <w:color w:val="auto"/>
        </w:rPr>
      </w:pPr>
    </w:p>
    <w:p>
      <w:pPr>
        <w:ind w:left="7780"/>
        <w:spacing w:after="0"/>
        <w:rPr>
          <w:sz w:val="20"/>
          <w:szCs w:val="20"/>
          <w:color w:val="auto"/>
        </w:rPr>
      </w:pPr>
      <w:r>
        <w:rPr>
          <w:rFonts w:ascii="Arial" w:cs="Arial" w:eastAsia="Arial" w:hAnsi="Arial"/>
          <w:sz w:val="19"/>
          <w:szCs w:val="19"/>
          <w:color w:val="auto"/>
        </w:rPr>
        <w:t>________________________________</w:t>
      </w:r>
    </w:p>
    <w:p>
      <w:pPr>
        <w:spacing w:after="0" w:line="200" w:lineRule="exact"/>
        <w:rPr>
          <w:sz w:val="20"/>
          <w:szCs w:val="20"/>
          <w:color w:val="auto"/>
        </w:rPr>
      </w:pPr>
    </w:p>
    <w:p>
      <w:pPr>
        <w:spacing w:after="0" w:line="29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JPMorgan Chase Bank, N.A., as Administrative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Reference is made to that certain Fourth Amended and Restated Credit Agreement, dated as of August 25, 2017 (as amended, amended and restated, extended, supplemented or</w:t>
      </w:r>
    </w:p>
    <w:p>
      <w:pPr>
        <w:spacing w:after="0" w:line="200" w:lineRule="exact"/>
        <w:rPr>
          <w:sz w:val="20"/>
          <w:szCs w:val="20"/>
          <w:color w:val="auto"/>
        </w:rPr>
      </w:pPr>
    </w:p>
    <w:p>
      <w:pPr>
        <w:spacing w:after="0" w:line="23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The William Carter Company (the “</w:t>
      </w:r>
      <w:r>
        <w:rPr>
          <w:rFonts w:ascii="Arial" w:cs="Arial" w:eastAsia="Arial" w:hAnsi="Arial"/>
          <w:sz w:val="19"/>
          <w:szCs w:val="19"/>
          <w:u w:val="single" w:color="auto"/>
          <w:color w:val="auto"/>
        </w:rPr>
        <w:t>U.S. Borrower</w:t>
      </w:r>
      <w:r>
        <w:rPr>
          <w:rFonts w:ascii="Arial" w:cs="Arial" w:eastAsia="Arial" w:hAnsi="Arial"/>
          <w:sz w:val="19"/>
          <w:szCs w:val="19"/>
          <w:color w:val="auto"/>
        </w:rPr>
        <w:t>”), The Genuine Canadian Corp., an Ontario corporation (the “</w:t>
      </w:r>
      <w:r>
        <w:rPr>
          <w:rFonts w:ascii="Arial" w:cs="Arial" w:eastAsia="Arial" w:hAnsi="Arial"/>
          <w:sz w:val="19"/>
          <w:szCs w:val="19"/>
          <w:u w:val="single" w:color="auto"/>
          <w:color w:val="auto"/>
        </w:rPr>
        <w:t>Canadian Borrower</w:t>
      </w:r>
      <w:r>
        <w:rPr>
          <w:rFonts w:ascii="Arial" w:cs="Arial" w:eastAsia="Arial" w:hAnsi="Arial"/>
          <w:sz w:val="19"/>
          <w:szCs w:val="19"/>
          <w:color w:val="auto"/>
        </w:rPr>
        <w:t xml:space="preserve">”), Carter’s Holdings B.V., having its official seat </w:t>
      </w:r>
      <w:r>
        <w:rPr>
          <w:rFonts w:ascii="Arial" w:cs="Arial" w:eastAsia="Arial" w:hAnsi="Arial"/>
          <w:sz w:val="19"/>
          <w:szCs w:val="19"/>
          <w:i w:val="1"/>
          <w:iCs w:val="1"/>
          <w:color w:val="auto"/>
        </w:rPr>
        <w:t>(statutaire zetel)</w:t>
      </w:r>
      <w:r>
        <w:rPr>
          <w:rFonts w:ascii="Arial" w:cs="Arial" w:eastAsia="Arial" w:hAnsi="Arial"/>
          <w:sz w:val="19"/>
          <w:szCs w:val="19"/>
          <w:color w:val="auto"/>
        </w:rPr>
        <w:t xml:space="preserve"> in Amsterdam, the Netherlands, registered with the Dutch trade register under number 63530201 (the “</w:t>
      </w:r>
      <w:r>
        <w:rPr>
          <w:rFonts w:ascii="Arial" w:cs="Arial" w:eastAsia="Arial" w:hAnsi="Arial"/>
          <w:sz w:val="19"/>
          <w:szCs w:val="19"/>
          <w:u w:val="single" w:color="auto"/>
          <w:color w:val="auto"/>
        </w:rPr>
        <w:t>Dutch Borrower</w:t>
      </w:r>
      <w:r>
        <w:rPr>
          <w:rFonts w:ascii="Arial" w:cs="Arial" w:eastAsia="Arial" w:hAnsi="Arial"/>
          <w:sz w:val="19"/>
          <w:szCs w:val="19"/>
          <w:color w:val="auto"/>
        </w:rPr>
        <w:t>” and, together with the U.S. Borrower and the Canadian Borrower, the “</w:t>
      </w:r>
      <w:r>
        <w:rPr>
          <w:rFonts w:ascii="Arial" w:cs="Arial" w:eastAsia="Arial" w:hAnsi="Arial"/>
          <w:sz w:val="19"/>
          <w:szCs w:val="19"/>
          <w:u w:val="single" w:color="auto"/>
          <w:color w:val="auto"/>
        </w:rPr>
        <w:t>Borrowers</w:t>
      </w:r>
      <w:r>
        <w:rPr>
          <w:rFonts w:ascii="Arial" w:cs="Arial" w:eastAsia="Arial" w:hAnsi="Arial"/>
          <w:sz w:val="19"/>
          <w:szCs w:val="19"/>
          <w:color w:val="auto"/>
        </w:rPr>
        <w:t>”), each lender from time to time party thereto, JPMorgan Chase Bank, N.A., as Administrative Agent, U.S. Dollar Facility Swing Line Lender, U.S. Dollar Facility L/C Issuer and Collateral Agent, JPMorgan Chase Bank, N.A., Toronto Branch, as Canadian Agent, a Multicurrency Facility Swing Line Lender and a Multicurrency</w:t>
      </w: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Facility L/C Issuer, J.P. Morgan Europe Limited, as European Agent, JPMorgan Chase Bank, N.A., London Branch, as a Multicurrency Facility Swing Line Lender and a Multicurrency Facility L/C Issuer, and each of the other agents, arrangers, bookrunners and L/C Issuers named therein.</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undersigned Responsible Officer hereby certifies as of the date hereof that such Responsible Officer is the [_________ ] of the U.S. Borrower and that, as such, is authorized to execute and deliver this Certificate to the Administrative Agent on behalf of [the U.S. Borrower][Holdings], and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Use following paragraph 1 for fiscal year-end financial statements</w:t>
      </w:r>
      <w:r>
        <w:rPr>
          <w:rFonts w:ascii="Arial" w:cs="Arial" w:eastAsia="Arial" w:hAnsi="Arial"/>
          <w:sz w:val="22"/>
          <w:szCs w:val="22"/>
          <w:color w:val="auto"/>
        </w:rPr>
        <w:t>]</w:t>
      </w:r>
    </w:p>
    <w:p>
      <w:pPr>
        <w:spacing w:after="0" w:line="193" w:lineRule="exact"/>
        <w:rPr>
          <w:sz w:val="20"/>
          <w:szCs w:val="20"/>
          <w:color w:val="auto"/>
        </w:rPr>
      </w:pPr>
    </w:p>
    <w:p>
      <w:pPr>
        <w:jc w:val="both"/>
        <w:ind w:firstLine="1304"/>
        <w:spacing w:after="0" w:line="216" w:lineRule="auto"/>
        <w:tabs>
          <w:tab w:leader="none" w:pos="2106"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Attached hereto as Schedule 1 are the year-end audited financial statements required by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of the Credit Agreement for the fiscal year of [the U.S. Borrower][Holdings] ended as of the above date, together with the report and opinion of an independent registered public accountant required by such section, and, if required by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of the Credit Agreement, a copy of management’s discussion and analysis with respect to the such financial statements required by such section.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D-1</w:t>
      </w:r>
    </w:p>
    <w:p>
      <w:pPr>
        <w:sectPr>
          <w:pgSz w:w="11900" w:h="16838" w:orient="portrait"/>
          <w:cols w:equalWidth="0" w:num="1">
            <w:col w:w="11240"/>
          </w:cols>
          <w:pgMar w:left="320" w:top="337"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Use following paragraph 1 for fiscal quarter-end financial statements</w:t>
      </w:r>
      <w:r>
        <w:rPr>
          <w:rFonts w:ascii="Arial" w:cs="Arial" w:eastAsia="Arial" w:hAnsi="Arial"/>
          <w:sz w:val="22"/>
          <w:szCs w:val="22"/>
          <w:color w:val="auto"/>
        </w:rPr>
        <w:t>]</w:t>
      </w:r>
    </w:p>
    <w:p>
      <w:pPr>
        <w:spacing w:after="0" w:line="220" w:lineRule="exact"/>
        <w:rPr>
          <w:sz w:val="20"/>
          <w:szCs w:val="20"/>
          <w:color w:val="auto"/>
        </w:rPr>
      </w:pPr>
    </w:p>
    <w:p>
      <w:pPr>
        <w:jc w:val="both"/>
        <w:ind w:left="-20" w:firstLine="1304"/>
        <w:spacing w:after="0" w:line="249" w:lineRule="auto"/>
        <w:tabs>
          <w:tab w:leader="none" w:pos="1618" w:val="left"/>
        </w:tabs>
        <w:numPr>
          <w:ilvl w:val="0"/>
          <w:numId w:val="224"/>
        </w:numPr>
        <w:rPr>
          <w:rFonts w:ascii="Arial" w:cs="Arial" w:eastAsia="Arial" w:hAnsi="Arial"/>
          <w:sz w:val="20"/>
          <w:szCs w:val="20"/>
          <w:color w:val="auto"/>
        </w:rPr>
      </w:pPr>
      <w:r>
        <w:rPr>
          <w:rFonts w:ascii="Arial" w:cs="Arial" w:eastAsia="Arial" w:hAnsi="Arial"/>
          <w:sz w:val="22"/>
          <w:szCs w:val="22"/>
          <w:color w:val="auto"/>
        </w:rPr>
        <w:t xml:space="preserve">Attached hereto as Schedule 1 are the unaudited financial statements required by </w:t>
      </w:r>
      <w:r>
        <w:rPr>
          <w:rFonts w:ascii="Arial" w:cs="Arial" w:eastAsia="Arial" w:hAnsi="Arial"/>
          <w:sz w:val="22"/>
          <w:szCs w:val="22"/>
          <w:u w:val="single" w:color="auto"/>
          <w:color w:val="auto"/>
        </w:rPr>
        <w:t>Section 6.01(b)</w:t>
      </w:r>
      <w:r>
        <w:rPr>
          <w:rFonts w:ascii="Arial" w:cs="Arial" w:eastAsia="Arial" w:hAnsi="Arial"/>
          <w:sz w:val="22"/>
          <w:szCs w:val="22"/>
          <w:color w:val="auto"/>
        </w:rPr>
        <w:t xml:space="preserve"> of the Credit Agreement for the fiscal quarter of [the U.S. Borrower][Holdings] ended as of the above date together with, if required by </w:t>
      </w:r>
      <w:r>
        <w:rPr>
          <w:rFonts w:ascii="Arial" w:cs="Arial" w:eastAsia="Arial" w:hAnsi="Arial"/>
          <w:sz w:val="22"/>
          <w:szCs w:val="22"/>
          <w:u w:val="single" w:color="auto"/>
          <w:color w:val="auto"/>
        </w:rPr>
        <w:t>Section 6.01(b)</w:t>
      </w:r>
      <w:r>
        <w:rPr>
          <w:rFonts w:ascii="Arial" w:cs="Arial" w:eastAsia="Arial" w:hAnsi="Arial"/>
          <w:sz w:val="22"/>
          <w:szCs w:val="22"/>
          <w:color w:val="auto"/>
        </w:rPr>
        <w:t xml:space="preserve"> of the Credit Agreement, a copy of management’s discussion and analysis with respect to such financial statements. Such financial statements fairly present in all material aspects the financial condition, results of operations, and cash flows of [the U.S. Borrower][Holdings] and its Subsidiaries in accordance with GAAP, subject only to normal year-end audit adjustments and the absence of footnotes.</w:t>
      </w:r>
    </w:p>
    <w:p>
      <w:pPr>
        <w:spacing w:after="0" w:line="193" w:lineRule="exact"/>
        <w:rPr>
          <w:rFonts w:ascii="Arial" w:cs="Arial" w:eastAsia="Arial" w:hAnsi="Arial"/>
          <w:sz w:val="20"/>
          <w:szCs w:val="20"/>
          <w:color w:val="auto"/>
        </w:rPr>
      </w:pPr>
    </w:p>
    <w:p>
      <w:pPr>
        <w:jc w:val="both"/>
        <w:ind w:left="-20" w:firstLine="1304"/>
        <w:spacing w:after="0" w:line="300" w:lineRule="auto"/>
        <w:tabs>
          <w:tab w:leader="none" w:pos="1645" w:val="left"/>
        </w:tabs>
        <w:numPr>
          <w:ilvl w:val="0"/>
          <w:numId w:val="224"/>
        </w:numPr>
        <w:rPr>
          <w:rFonts w:ascii="Arial" w:cs="Arial" w:eastAsia="Arial" w:hAnsi="Arial"/>
          <w:sz w:val="18"/>
          <w:szCs w:val="18"/>
          <w:color w:val="auto"/>
        </w:rPr>
      </w:pPr>
      <w:r>
        <w:rPr>
          <w:rFonts w:ascii="Arial" w:cs="Arial" w:eastAsia="Arial" w:hAnsi="Arial"/>
          <w:sz w:val="19"/>
          <w:szCs w:val="19"/>
          <w:color w:val="auto"/>
        </w:rPr>
        <w:t>To the knowledge of the undersigned, no Default has occurred and is continuing under the Credit Agreement which has not been previously disclosed, in writing, to the Administrative Agent pursuant to a Compliance Certificate, except that if a Default has occurred and is continuing, an explanation specifying the nature and extent of such Default has been provided on a separate page together with an explanation of the corrective action taken or proposed to be taken with respect thereto (including, as applicable, information regarding actions, if any, taken since the prior certificate).</w:t>
      </w:r>
    </w:p>
    <w:p>
      <w:pPr>
        <w:spacing w:after="0" w:line="146" w:lineRule="exact"/>
        <w:rPr>
          <w:rFonts w:ascii="Arial" w:cs="Arial" w:eastAsia="Arial" w:hAnsi="Arial"/>
          <w:sz w:val="18"/>
          <w:szCs w:val="18"/>
          <w:color w:val="auto"/>
        </w:rPr>
      </w:pPr>
    </w:p>
    <w:p>
      <w:pPr>
        <w:ind w:left="-20" w:firstLine="1304"/>
        <w:spacing w:after="0" w:line="276" w:lineRule="auto"/>
        <w:tabs>
          <w:tab w:leader="none" w:pos="1631" w:val="left"/>
        </w:tabs>
        <w:numPr>
          <w:ilvl w:val="0"/>
          <w:numId w:val="224"/>
        </w:numPr>
        <w:rPr>
          <w:rFonts w:ascii="Arial" w:cs="Arial" w:eastAsia="Arial" w:hAnsi="Arial"/>
          <w:sz w:val="20"/>
          <w:szCs w:val="20"/>
          <w:color w:val="auto"/>
        </w:rPr>
      </w:pPr>
      <w:r>
        <w:rPr>
          <w:rFonts w:ascii="Arial" w:cs="Arial" w:eastAsia="Arial" w:hAnsi="Arial"/>
          <w:sz w:val="22"/>
          <w:szCs w:val="22"/>
          <w:color w:val="auto"/>
        </w:rPr>
        <w:t xml:space="preserve">The financial covenant analyses and information set forth in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attached hereto are true and accurate on and as of the date of this Compliance Certificate.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D-2</w:t>
      </w:r>
    </w:p>
    <w:p>
      <w:pPr>
        <w:sectPr>
          <w:pgSz w:w="11900" w:h="16838" w:orient="portrait"/>
          <w:cols w:equalWidth="0" w:num="1">
            <w:col w:w="11220"/>
          </w:cols>
          <w:pgMar w:left="340" w:top="820" w:right="339" w:bottom="1440" w:gutter="0" w:footer="0" w:header="0"/>
        </w:sectPr>
      </w:pPr>
    </w:p>
    <w:bookmarkStart w:id="222" w:name="page223"/>
    <w:bookmarkEnd w:id="222"/>
    <w:p>
      <w:pPr>
        <w:ind w:left="1300"/>
        <w:spacing w:after="0"/>
        <w:rPr>
          <w:sz w:val="20"/>
          <w:szCs w:val="20"/>
          <w:color w:val="auto"/>
        </w:rPr>
      </w:pPr>
      <w:r>
        <w:rPr>
          <w:rFonts w:ascii="Arial" w:cs="Arial" w:eastAsia="Arial" w:hAnsi="Arial"/>
          <w:sz w:val="21"/>
          <w:szCs w:val="21"/>
          <w:i w:val="1"/>
          <w:iCs w:val="1"/>
          <w:color w:val="auto"/>
        </w:rPr>
        <w:t>IN WITNESS WHEREOF</w:t>
      </w:r>
      <w:r>
        <w:rPr>
          <w:rFonts w:ascii="Arial" w:cs="Arial" w:eastAsia="Arial" w:hAnsi="Arial"/>
          <w:sz w:val="21"/>
          <w:szCs w:val="21"/>
          <w:color w:val="auto"/>
        </w:rPr>
        <w:t>, the undersigned has executed this Compliance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Certificate as of ____________, ____.</w:t>
      </w: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THE WILLIAM CARTER COMPANY</w:t>
      </w:r>
    </w:p>
    <w:p>
      <w:pPr>
        <w:spacing w:after="0" w:line="231"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_____________________________________</w:t>
      </w:r>
    </w:p>
    <w:p>
      <w:pPr>
        <w:spacing w:after="0" w:line="57"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Name:</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[Signature Page to Compliance Certificate]</w:t>
      </w:r>
    </w:p>
    <w:p>
      <w:pPr>
        <w:sectPr>
          <w:pgSz w:w="11900" w:h="16838" w:orient="portrait"/>
          <w:cols w:equalWidth="0" w:num="1">
            <w:col w:w="10139"/>
          </w:cols>
          <w:pgMar w:left="320" w:top="342" w:right="1440" w:bottom="1440" w:gutter="0" w:footer="0" w:header="0"/>
        </w:sectPr>
      </w:pPr>
    </w:p>
    <w:bookmarkStart w:id="223" w:name="page224"/>
    <w:bookmarkEnd w:id="223"/>
    <w:p>
      <w:pPr>
        <w:jc w:val="center"/>
        <w:ind w:right="59"/>
        <w:spacing w:after="0"/>
        <w:rPr>
          <w:sz w:val="20"/>
          <w:szCs w:val="20"/>
          <w:color w:val="auto"/>
        </w:rPr>
      </w:pPr>
      <w:r>
        <w:rPr>
          <w:rFonts w:ascii="Arial" w:cs="Arial" w:eastAsia="Arial" w:hAnsi="Arial"/>
          <w:sz w:val="18"/>
          <w:szCs w:val="18"/>
          <w:u w:val="single" w:color="auto"/>
          <w:color w:val="auto"/>
        </w:rPr>
        <w:t>SCHEDULE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to the Compliance Certificate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D, Schedule 1-1</w:t>
      </w:r>
    </w:p>
    <w:p>
      <w:pPr>
        <w:sectPr>
          <w:pgSz w:w="11900" w:h="16838" w:orient="portrait"/>
          <w:cols w:equalWidth="0" w:num="1">
            <w:col w:w="9019"/>
          </w:cols>
          <w:pgMar w:left="1440" w:top="341" w:right="1440" w:bottom="1440" w:gutter="0" w:footer="0" w:header="0"/>
        </w:sectPr>
      </w:pPr>
    </w:p>
    <w:bookmarkStart w:id="224" w:name="page225"/>
    <w:bookmarkEnd w:id="224"/>
    <w:p>
      <w:pPr>
        <w:ind w:left="5940"/>
        <w:spacing w:after="0"/>
        <w:rPr>
          <w:sz w:val="20"/>
          <w:szCs w:val="20"/>
          <w:color w:val="auto"/>
        </w:rPr>
      </w:pPr>
      <w:r>
        <w:rPr>
          <w:rFonts w:ascii="Arial" w:cs="Arial" w:eastAsia="Arial" w:hAnsi="Arial"/>
          <w:sz w:val="16"/>
          <w:szCs w:val="16"/>
          <w:color w:val="auto"/>
        </w:rPr>
        <w:t>For the Quarter/Year ended ______________ (“</w:t>
      </w:r>
      <w:r>
        <w:rPr>
          <w:rFonts w:ascii="Arial" w:cs="Arial" w:eastAsia="Arial" w:hAnsi="Arial"/>
          <w:sz w:val="16"/>
          <w:szCs w:val="16"/>
          <w:b w:val="1"/>
          <w:bCs w:val="1"/>
          <w:color w:val="auto"/>
        </w:rPr>
        <w:t>Statement Date</w:t>
      </w:r>
      <w:r>
        <w:rPr>
          <w:rFonts w:ascii="Arial" w:cs="Arial" w:eastAsia="Arial" w:hAnsi="Arial"/>
          <w:sz w:val="16"/>
          <w:szCs w:val="16"/>
          <w:color w:val="auto"/>
        </w:rPr>
        <w:t>”)</w:t>
      </w:r>
    </w:p>
    <w:p>
      <w:pPr>
        <w:spacing w:after="0" w:line="252" w:lineRule="exact"/>
        <w:rPr>
          <w:sz w:val="20"/>
          <w:szCs w:val="20"/>
          <w:color w:val="auto"/>
        </w:rPr>
      </w:pPr>
    </w:p>
    <w:p>
      <w:pPr>
        <w:jc w:val="center"/>
        <w:ind w:right="560"/>
        <w:spacing w:after="0"/>
        <w:rPr>
          <w:sz w:val="20"/>
          <w:szCs w:val="20"/>
          <w:color w:val="auto"/>
        </w:rPr>
      </w:pPr>
      <w:r>
        <w:rPr>
          <w:rFonts w:ascii="Arial" w:cs="Arial" w:eastAsia="Arial" w:hAnsi="Arial"/>
          <w:sz w:val="18"/>
          <w:szCs w:val="18"/>
          <w:u w:val="single" w:color="auto"/>
          <w:color w:val="auto"/>
        </w:rPr>
        <w:t>SCHEDULE 2</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u w:val="single" w:color="auto"/>
          <w:color w:val="auto"/>
        </w:rPr>
        <w:t>to the Compliance Certificate</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8"/>
          <w:szCs w:val="18"/>
          <w:u w:val="single" w:color="auto"/>
          <w:color w:val="auto"/>
        </w:rPr>
        <w:t>($ in 000's)</w:t>
      </w:r>
    </w:p>
    <w:p>
      <w:pPr>
        <w:spacing w:after="0" w:line="153" w:lineRule="exact"/>
        <w:rPr>
          <w:sz w:val="20"/>
          <w:szCs w:val="20"/>
          <w:color w:val="auto"/>
        </w:rPr>
      </w:pPr>
    </w:p>
    <w:p>
      <w:pPr>
        <w:ind w:left="340" w:hanging="332"/>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7.12(b) — Consolidated Fixed Charge Coverage Ratio</w:t>
      </w:r>
      <w:r>
        <w:rPr>
          <w:rFonts w:ascii="Arial" w:cs="Arial" w:eastAsia="Arial" w:hAnsi="Arial"/>
          <w:sz w:val="18"/>
          <w:szCs w:val="18"/>
          <w:color w:val="auto"/>
        </w:rPr>
        <w:t>.</w:t>
      </w:r>
    </w:p>
    <w:p>
      <w:pPr>
        <w:spacing w:after="0" w:line="81" w:lineRule="exact"/>
        <w:rPr>
          <w:sz w:val="20"/>
          <w:szCs w:val="20"/>
          <w:color w:val="auto"/>
        </w:rPr>
      </w:pPr>
    </w:p>
    <w:p>
      <w:pPr>
        <w:ind w:left="380" w:hanging="372"/>
        <w:spacing w:after="0"/>
        <w:tabs>
          <w:tab w:leader="none" w:pos="380" w:val="left"/>
        </w:tabs>
        <w:numPr>
          <w:ilvl w:val="0"/>
          <w:numId w:val="226"/>
        </w:numPr>
        <w:rPr>
          <w:rFonts w:ascii="Arial" w:cs="Arial" w:eastAsia="Arial" w:hAnsi="Arial"/>
          <w:sz w:val="20"/>
          <w:szCs w:val="20"/>
          <w:color w:val="auto"/>
        </w:rPr>
      </w:pPr>
      <w:r>
        <w:rPr>
          <w:rFonts w:ascii="Arial" w:cs="Arial" w:eastAsia="Arial" w:hAnsi="Arial"/>
          <w:sz w:val="18"/>
          <w:szCs w:val="18"/>
          <w:u w:val="single" w:color="auto"/>
          <w:color w:val="auto"/>
        </w:rPr>
        <w:t>Indebtedness</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0" w:type="dxa"/>
            <w:vAlign w:val="bottom"/>
          </w:tcPr>
          <w:p>
            <w:pPr>
              <w:jc w:val="right"/>
              <w:ind w:right="581"/>
              <w:spacing w:after="0"/>
              <w:rPr>
                <w:sz w:val="20"/>
                <w:szCs w:val="20"/>
                <w:color w:val="auto"/>
              </w:rPr>
            </w:pPr>
            <w:r>
              <w:rPr>
                <w:rFonts w:ascii="Arial" w:cs="Arial" w:eastAsia="Arial" w:hAnsi="Arial"/>
                <w:sz w:val="20"/>
                <w:szCs w:val="20"/>
                <w:color w:val="auto"/>
                <w:w w:val="71"/>
              </w:rPr>
              <w:t>1.</w:t>
            </w:r>
          </w:p>
        </w:tc>
        <w:tc>
          <w:tcPr>
            <w:tcW w:w="7980" w:type="dxa"/>
            <w:vAlign w:val="bottom"/>
            <w:gridSpan w:val="3"/>
          </w:tcPr>
          <w:p>
            <w:pPr>
              <w:ind w:left="680"/>
              <w:spacing w:after="0"/>
              <w:rPr>
                <w:sz w:val="20"/>
                <w:szCs w:val="20"/>
                <w:color w:val="auto"/>
              </w:rPr>
            </w:pPr>
            <w:r>
              <w:rPr>
                <w:rFonts w:ascii="Arial" w:cs="Arial" w:eastAsia="Arial" w:hAnsi="Arial"/>
                <w:sz w:val="18"/>
                <w:szCs w:val="18"/>
                <w:color w:val="auto"/>
                <w:w w:val="97"/>
              </w:rPr>
              <w:t>all of the following, whether or not included as indebtedness or liabilities under GAAP (without</w:t>
            </w:r>
          </w:p>
        </w:tc>
      </w:tr>
      <w:tr>
        <w:trPr>
          <w:trHeight w:val="230"/>
        </w:trPr>
        <w:tc>
          <w:tcPr>
            <w:tcW w:w="820" w:type="dxa"/>
            <w:vAlign w:val="bottom"/>
          </w:tcPr>
          <w:p>
            <w:pPr>
              <w:spacing w:after="0"/>
              <w:rPr>
                <w:sz w:val="20"/>
                <w:szCs w:val="20"/>
                <w:color w:val="auto"/>
              </w:rPr>
            </w:pPr>
          </w:p>
        </w:tc>
        <w:tc>
          <w:tcPr>
            <w:tcW w:w="7980" w:type="dxa"/>
            <w:vAlign w:val="bottom"/>
            <w:gridSpan w:val="3"/>
          </w:tcPr>
          <w:p>
            <w:pPr>
              <w:ind w:left="680"/>
              <w:spacing w:after="0"/>
              <w:rPr>
                <w:sz w:val="20"/>
                <w:szCs w:val="20"/>
                <w:color w:val="auto"/>
              </w:rPr>
            </w:pPr>
            <w:r>
              <w:rPr>
                <w:rFonts w:ascii="Arial" w:cs="Arial" w:eastAsia="Arial" w:hAnsi="Arial"/>
                <w:sz w:val="18"/>
                <w:szCs w:val="18"/>
                <w:color w:val="auto"/>
              </w:rPr>
              <w:t>duplication):</w:t>
            </w:r>
          </w:p>
        </w:tc>
      </w:tr>
      <w:tr>
        <w:trPr>
          <w:trHeight w:val="634"/>
        </w:trPr>
        <w:tc>
          <w:tcPr>
            <w:tcW w:w="820" w:type="dxa"/>
            <w:vAlign w:val="bottom"/>
          </w:tcPr>
          <w:p>
            <w:pPr>
              <w:spacing w:after="0"/>
              <w:rPr>
                <w:sz w:val="24"/>
                <w:szCs w:val="24"/>
                <w:color w:val="auto"/>
              </w:rPr>
            </w:pPr>
          </w:p>
        </w:tc>
        <w:tc>
          <w:tcPr>
            <w:tcW w:w="1060" w:type="dxa"/>
            <w:vAlign w:val="bottom"/>
          </w:tcPr>
          <w:p>
            <w:pPr>
              <w:ind w:left="680"/>
              <w:spacing w:after="0"/>
              <w:rPr>
                <w:sz w:val="20"/>
                <w:szCs w:val="20"/>
                <w:color w:val="auto"/>
              </w:rPr>
            </w:pPr>
            <w:r>
              <w:rPr>
                <w:rFonts w:ascii="Arial" w:cs="Arial" w:eastAsia="Arial" w:hAnsi="Arial"/>
                <w:sz w:val="20"/>
                <w:szCs w:val="20"/>
                <w:color w:val="auto"/>
              </w:rPr>
              <w:t>(a)</w:t>
            </w:r>
          </w:p>
        </w:tc>
        <w:tc>
          <w:tcPr>
            <w:tcW w:w="6800" w:type="dxa"/>
            <w:vAlign w:val="bottom"/>
          </w:tcPr>
          <w:p>
            <w:pPr>
              <w:ind w:left="140"/>
              <w:spacing w:after="0"/>
              <w:rPr>
                <w:sz w:val="20"/>
                <w:szCs w:val="20"/>
                <w:color w:val="auto"/>
              </w:rPr>
            </w:pPr>
            <w:r>
              <w:rPr>
                <w:rFonts w:ascii="Arial" w:cs="Arial" w:eastAsia="Arial" w:hAnsi="Arial"/>
                <w:sz w:val="18"/>
                <w:szCs w:val="18"/>
                <w:color w:val="auto"/>
                <w:w w:val="96"/>
              </w:rPr>
              <w:t>all obligations of such Person for borrowed money and all obligations of such Person $</w:t>
            </w:r>
          </w:p>
        </w:tc>
        <w:tc>
          <w:tcPr>
            <w:tcW w:w="120" w:type="dxa"/>
            <w:vAlign w:val="bottom"/>
            <w:tcBorders>
              <w:bottom w:val="single" w:sz="8" w:color="auto"/>
            </w:tcBorders>
          </w:tcPr>
          <w:p>
            <w:pPr>
              <w:spacing w:after="0"/>
              <w:rPr>
                <w:sz w:val="24"/>
                <w:szCs w:val="24"/>
                <w:color w:val="auto"/>
              </w:rPr>
            </w:pPr>
          </w:p>
        </w:tc>
      </w:tr>
      <w:tr>
        <w:trPr>
          <w:trHeight w:val="250"/>
        </w:trPr>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920" w:type="dxa"/>
            <w:vAlign w:val="bottom"/>
            <w:gridSpan w:val="2"/>
          </w:tcPr>
          <w:p>
            <w:pPr>
              <w:ind w:left="280"/>
              <w:spacing w:after="0"/>
              <w:rPr>
                <w:sz w:val="20"/>
                <w:szCs w:val="20"/>
                <w:color w:val="auto"/>
              </w:rPr>
            </w:pPr>
            <w:r>
              <w:rPr>
                <w:rFonts w:ascii="Arial" w:cs="Arial" w:eastAsia="Arial" w:hAnsi="Arial"/>
                <w:sz w:val="18"/>
                <w:szCs w:val="18"/>
                <w:color w:val="auto"/>
              </w:rPr>
              <w:t>evidenced by bonds, debentures, notes, loan</w:t>
            </w:r>
          </w:p>
        </w:tc>
      </w:tr>
    </w:tbl>
    <w:p>
      <w:pPr>
        <w:spacing w:after="0" w:line="200" w:lineRule="exact"/>
        <w:rPr>
          <w:sz w:val="20"/>
          <w:szCs w:val="20"/>
          <w:color w:val="auto"/>
        </w:rPr>
      </w:pPr>
    </w:p>
    <w:p>
      <w:pPr>
        <w:spacing w:after="0" w:line="21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agreements or other similar instruments</w:t>
      </w:r>
    </w:p>
    <w:p>
      <w:pPr>
        <w:spacing w:after="0" w:line="279" w:lineRule="exact"/>
        <w:rPr>
          <w:sz w:val="20"/>
          <w:szCs w:val="20"/>
          <w:color w:val="auto"/>
        </w:rPr>
      </w:pPr>
    </w:p>
    <w:p>
      <w:pPr>
        <w:ind w:left="2820" w:right="1380" w:hanging="652"/>
        <w:spacing w:after="0" w:line="257" w:lineRule="auto"/>
        <w:tabs>
          <w:tab w:leader="none" w:pos="2608" w:val="left"/>
        </w:tabs>
        <w:numPr>
          <w:ilvl w:val="0"/>
          <w:numId w:val="227"/>
        </w:numPr>
        <w:rPr>
          <w:rFonts w:ascii="Arial" w:cs="Arial" w:eastAsia="Arial" w:hAnsi="Arial"/>
          <w:sz w:val="20"/>
          <w:szCs w:val="20"/>
          <w:color w:val="auto"/>
        </w:rPr>
      </w:pPr>
      <w:r>
        <w:rPr>
          <w:rFonts w:ascii="Arial" w:cs="Arial" w:eastAsia="Arial" w:hAnsi="Arial"/>
          <w:sz w:val="18"/>
          <w:szCs w:val="18"/>
          <w:color w:val="auto"/>
        </w:rPr>
        <w:t>all direct or contingent obligations of such Person arising under letters of credit (including $ standby and commercial), bankers’ acceptances, bank guarantees, surety bond and similar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5925820</wp:posOffset>
            </wp:positionH>
            <wp:positionV relativeFrom="paragraph">
              <wp:posOffset>-316865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2" w:lineRule="exact"/>
        <w:rPr>
          <w:sz w:val="20"/>
          <w:szCs w:val="20"/>
          <w:color w:val="auto"/>
        </w:rPr>
      </w:pPr>
    </w:p>
    <w:tbl>
      <w:tblPr>
        <w:tblLayout w:type="fixed"/>
        <w:tblInd w:w="2160" w:type="dxa"/>
        <w:tblCellMar>
          <w:top w:w="0" w:type="dxa"/>
          <w:left w:w="0" w:type="dxa"/>
          <w:bottom w:w="0" w:type="dxa"/>
          <w:right w:w="0" w:type="dxa"/>
        </w:tblCellMar>
      </w:tblP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 xml:space="preserve">(c)  </w:t>
            </w:r>
            <w:r>
              <w:rPr>
                <w:rFonts w:ascii="Arial" w:cs="Arial" w:eastAsia="Arial" w:hAnsi="Arial"/>
                <w:sz w:val="17"/>
                <w:szCs w:val="17"/>
                <w:color w:val="auto"/>
              </w:rPr>
              <w:t>net obligations of such Person under any Swap Contract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r>
      <w:tr>
        <w:trPr>
          <w:trHeight w:val="479"/>
        </w:trPr>
        <w:tc>
          <w:tcPr>
            <w:tcW w:w="7020" w:type="dxa"/>
            <w:vAlign w:val="bottom"/>
          </w:tcPr>
          <w:p>
            <w:pPr>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17"/>
                <w:szCs w:val="17"/>
                <w:color w:val="auto"/>
              </w:rPr>
              <w:t>all obligations of such Person to pay the deferred purchase price of property or services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36"/>
        </w:trPr>
        <w:tc>
          <w:tcPr>
            <w:tcW w:w="7020" w:type="dxa"/>
            <w:vAlign w:val="bottom"/>
          </w:tcPr>
          <w:p>
            <w:pPr>
              <w:ind w:left="660"/>
              <w:spacing w:after="0"/>
              <w:rPr>
                <w:sz w:val="20"/>
                <w:szCs w:val="20"/>
                <w:color w:val="auto"/>
              </w:rPr>
            </w:pPr>
            <w:r>
              <w:rPr>
                <w:rFonts w:ascii="Arial" w:cs="Arial" w:eastAsia="Arial" w:hAnsi="Arial"/>
                <w:sz w:val="18"/>
                <w:szCs w:val="18"/>
                <w:color w:val="auto"/>
              </w:rPr>
              <w:t>(other than (i) trade accounts payable in the</w:t>
            </w:r>
          </w:p>
        </w:tc>
        <w:tc>
          <w:tcPr>
            <w:tcW w:w="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16"/>
        </w:trPr>
        <w:tc>
          <w:tcPr>
            <w:tcW w:w="7020" w:type="dxa"/>
            <w:vAlign w:val="bottom"/>
          </w:tcPr>
          <w:p>
            <w:pPr>
              <w:ind w:left="660"/>
              <w:spacing w:after="0"/>
              <w:rPr>
                <w:sz w:val="20"/>
                <w:szCs w:val="20"/>
                <w:color w:val="auto"/>
              </w:rPr>
            </w:pPr>
            <w:r>
              <w:rPr>
                <w:rFonts w:ascii="Arial" w:cs="Arial" w:eastAsia="Arial" w:hAnsi="Arial"/>
                <w:sz w:val="18"/>
                <w:szCs w:val="18"/>
                <w:color w:val="auto"/>
              </w:rPr>
              <w:t>ordinary course of such Person’s business payable on terms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ind w:left="660"/>
              <w:spacing w:after="0"/>
              <w:rPr>
                <w:sz w:val="20"/>
                <w:szCs w:val="20"/>
                <w:color w:val="auto"/>
              </w:rPr>
            </w:pPr>
            <w:r>
              <w:rPr>
                <w:rFonts w:ascii="Arial" w:cs="Arial" w:eastAsia="Arial" w:hAnsi="Arial"/>
                <w:sz w:val="18"/>
                <w:szCs w:val="18"/>
                <w:color w:val="auto"/>
                <w:w w:val="94"/>
              </w:rPr>
              <w:t>customary in the trade, in each case, (x) not past due for more than ninety (90) days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ind w:left="660"/>
              <w:spacing w:after="0"/>
              <w:rPr>
                <w:sz w:val="20"/>
                <w:szCs w:val="20"/>
                <w:color w:val="auto"/>
              </w:rPr>
            </w:pPr>
            <w:r>
              <w:rPr>
                <w:rFonts w:ascii="Arial" w:cs="Arial" w:eastAsia="Arial" w:hAnsi="Arial"/>
                <w:sz w:val="18"/>
                <w:szCs w:val="18"/>
                <w:color w:val="auto"/>
                <w:w w:val="92"/>
              </w:rPr>
              <w:t>after the due date of such trade account payable or (y) past due for more than 90 days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ind w:left="660"/>
              <w:spacing w:after="0"/>
              <w:rPr>
                <w:sz w:val="20"/>
                <w:szCs w:val="20"/>
                <w:color w:val="auto"/>
              </w:rPr>
            </w:pPr>
            <w:r>
              <w:rPr>
                <w:rFonts w:ascii="Arial" w:cs="Arial" w:eastAsia="Arial" w:hAnsi="Arial"/>
                <w:sz w:val="18"/>
                <w:szCs w:val="18"/>
                <w:color w:val="auto"/>
                <w:w w:val="93"/>
              </w:rPr>
              <w:t>but not exceeding $15,000,000 in the aggregate and (ii) during the Restricted Period,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ind w:left="660"/>
              <w:spacing w:after="0"/>
              <w:rPr>
                <w:sz w:val="20"/>
                <w:szCs w:val="20"/>
                <w:color w:val="auto"/>
              </w:rPr>
            </w:pPr>
            <w:r>
              <w:rPr>
                <w:rFonts w:ascii="Arial" w:cs="Arial" w:eastAsia="Arial" w:hAnsi="Arial"/>
                <w:sz w:val="18"/>
                <w:szCs w:val="18"/>
                <w:color w:val="auto"/>
                <w:w w:val="92"/>
              </w:rPr>
              <w:t>accounts payable and other deferred payables in the ordinary course of such Person’s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ind w:left="660"/>
              <w:spacing w:after="0"/>
              <w:rPr>
                <w:sz w:val="20"/>
                <w:szCs w:val="20"/>
                <w:color w:val="auto"/>
              </w:rPr>
            </w:pPr>
            <w:r>
              <w:rPr>
                <w:rFonts w:ascii="Arial" w:cs="Arial" w:eastAsia="Arial" w:hAnsi="Arial"/>
                <w:sz w:val="18"/>
                <w:szCs w:val="18"/>
                <w:color w:val="auto"/>
                <w:w w:val="89"/>
              </w:rPr>
              <w:t>business not past due for more than 365 days after the due date of such account or other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20" w:type="dxa"/>
            <w:vAlign w:val="bottom"/>
          </w:tcPr>
          <w:p>
            <w:pPr>
              <w:ind w:left="660"/>
              <w:spacing w:after="0"/>
              <w:rPr>
                <w:sz w:val="20"/>
                <w:szCs w:val="20"/>
                <w:color w:val="auto"/>
              </w:rPr>
            </w:pPr>
            <w:r>
              <w:rPr>
                <w:rFonts w:ascii="Arial" w:cs="Arial" w:eastAsia="Arial" w:hAnsi="Arial"/>
                <w:sz w:val="18"/>
                <w:szCs w:val="18"/>
                <w:color w:val="auto"/>
              </w:rPr>
              <w:t>deferred payable)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56" w:lineRule="exact"/>
        <w:rPr>
          <w:sz w:val="20"/>
          <w:szCs w:val="20"/>
          <w:color w:val="auto"/>
        </w:rPr>
      </w:pPr>
    </w:p>
    <w:p>
      <w:pPr>
        <w:ind w:left="2620" w:hanging="452"/>
        <w:spacing w:after="0"/>
        <w:tabs>
          <w:tab w:leader="none" w:pos="2620" w:val="left"/>
        </w:tabs>
        <w:numPr>
          <w:ilvl w:val="0"/>
          <w:numId w:val="228"/>
        </w:numPr>
        <w:rPr>
          <w:rFonts w:ascii="Arial" w:cs="Arial" w:eastAsia="Arial" w:hAnsi="Arial"/>
          <w:sz w:val="20"/>
          <w:szCs w:val="20"/>
          <w:color w:val="auto"/>
        </w:rPr>
      </w:pPr>
      <w:r>
        <w:rPr>
          <w:rFonts w:ascii="Arial" w:cs="Arial" w:eastAsia="Arial" w:hAnsi="Arial"/>
          <w:sz w:val="18"/>
          <w:szCs w:val="18"/>
          <w:color w:val="auto"/>
        </w:rPr>
        <w:t>indebtedness (excluding (i) prepaid interest thereon and (ii) during the Restricted Period, $</w:t>
      </w:r>
    </w:p>
    <w:p>
      <w:pPr>
        <w:spacing w:after="0" w:line="15" w:lineRule="exact"/>
        <w:rPr>
          <w:rFonts w:ascii="Arial" w:cs="Arial" w:eastAsia="Arial" w:hAnsi="Arial"/>
          <w:sz w:val="20"/>
          <w:szCs w:val="20"/>
          <w:color w:val="auto"/>
        </w:rPr>
      </w:pPr>
    </w:p>
    <w:p>
      <w:pPr>
        <w:jc w:val="both"/>
        <w:ind w:left="2820" w:right="1540" w:hanging="4"/>
        <w:spacing w:after="0" w:line="301" w:lineRule="auto"/>
        <w:tabs>
          <w:tab w:leader="none" w:pos="3075"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accounts payable and other deferred payables in the ordinary course of such Person’s business not past due for more than 365 days after the due date of such account or other deferred payable and (y) any Taxes that are the subject of any deferral,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5925820</wp:posOffset>
            </wp:positionH>
            <wp:positionV relativeFrom="paragraph">
              <wp:posOffset>-474345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11" w:lineRule="exact"/>
        <w:rPr>
          <w:sz w:val="20"/>
          <w:szCs w:val="20"/>
          <w:color w:val="auto"/>
        </w:rPr>
      </w:pPr>
    </w:p>
    <w:p>
      <w:pPr>
        <w:jc w:val="both"/>
        <w:ind w:left="2820" w:right="1540"/>
        <w:spacing w:after="0" w:line="263" w:lineRule="auto"/>
        <w:rPr>
          <w:sz w:val="20"/>
          <w:szCs w:val="20"/>
          <w:color w:val="auto"/>
        </w:rPr>
      </w:pPr>
      <w:r>
        <w:rPr>
          <w:rFonts w:ascii="Arial" w:cs="Arial" w:eastAsia="Arial" w:hAnsi="Arial"/>
          <w:sz w:val="18"/>
          <w:szCs w:val="18"/>
          <w:color w:val="auto"/>
        </w:rPr>
        <w:t>forbearance or similar action by any Governmental Authority to the extent such deferral, forbearance or similar action is ongoing)) secured by a Lien on property owned or being purchased by such Person</w:t>
      </w:r>
    </w:p>
    <w:p>
      <w:pPr>
        <w:spacing w:after="0" w:line="359" w:lineRule="exact"/>
        <w:rPr>
          <w:sz w:val="20"/>
          <w:szCs w:val="20"/>
          <w:color w:val="auto"/>
        </w:rPr>
      </w:pPr>
    </w:p>
    <w:p>
      <w:pPr>
        <w:jc w:val="both"/>
        <w:ind w:left="2820" w:right="1540"/>
        <w:spacing w:after="0" w:line="327" w:lineRule="auto"/>
        <w:rPr>
          <w:sz w:val="20"/>
          <w:szCs w:val="20"/>
          <w:color w:val="auto"/>
        </w:rPr>
      </w:pPr>
      <w:r>
        <w:rPr>
          <w:rFonts w:ascii="Arial" w:cs="Arial" w:eastAsia="Arial" w:hAnsi="Arial"/>
          <w:sz w:val="15"/>
          <w:szCs w:val="15"/>
          <w:color w:val="auto"/>
        </w:rPr>
        <w:t>(including indebtedness arising under conditional sales or other title retention agreements), whether or not such indebtedness shall have been assumed by such Person or is limited in recourse; provided that the amount of such Indebtedness shall be limited to the value of the property subject to such Lien if such Person has not assumed or</w:t>
      </w:r>
    </w:p>
    <w:p>
      <w:pPr>
        <w:spacing w:after="0" w:line="31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become liable for the payment of such obligation</w:t>
      </w:r>
    </w:p>
    <w:p>
      <w:pPr>
        <w:spacing w:after="0" w:line="236" w:lineRule="exact"/>
        <w:rPr>
          <w:sz w:val="20"/>
          <w:szCs w:val="20"/>
          <w:color w:val="auto"/>
        </w:rPr>
      </w:pPr>
    </w:p>
    <w:p>
      <w:pPr>
        <w:ind w:left="2160"/>
        <w:spacing w:after="0"/>
        <w:tabs>
          <w:tab w:leader="none" w:pos="2520" w:val="left"/>
          <w:tab w:leader="none" w:pos="922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8"/>
          <w:szCs w:val="18"/>
          <w:color w:val="auto"/>
        </w:rPr>
        <w:t>Capital Lease Obligations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5925820</wp:posOffset>
            </wp:positionH>
            <wp:positionV relativeFrom="paragraph">
              <wp:posOffset>-23495</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0720"/>
          </w:cols>
          <w:pgMar w:left="84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Ex. D, Schedule 2-1</w:t>
      </w:r>
    </w:p>
    <w:p>
      <w:pPr>
        <w:sectPr>
          <w:pgSz w:w="11900" w:h="16838" w:orient="portrait"/>
          <w:cols w:equalWidth="0" w:num="1">
            <w:col w:w="10720"/>
          </w:cols>
          <w:pgMar w:left="840" w:top="337" w:right="339" w:bottom="1440" w:gutter="0" w:footer="0" w:header="0"/>
          <w:type w:val="continuous"/>
        </w:sectPr>
      </w:pPr>
    </w:p>
    <w:bookmarkStart w:id="225" w:name="page226"/>
    <w:bookmarkEnd w:id="225"/>
    <w:p>
      <w:pPr>
        <w:ind w:left="3340" w:right="1260" w:hanging="652"/>
        <w:spacing w:after="0" w:line="255" w:lineRule="auto"/>
        <w:tabs>
          <w:tab w:leader="none" w:pos="3150" w:val="left"/>
        </w:tabs>
        <w:numPr>
          <w:ilvl w:val="0"/>
          <w:numId w:val="229"/>
        </w:numPr>
        <w:rPr>
          <w:rFonts w:ascii="Arial" w:cs="Arial" w:eastAsia="Arial" w:hAnsi="Arial"/>
          <w:sz w:val="20"/>
          <w:szCs w:val="20"/>
          <w:color w:val="auto"/>
        </w:rPr>
      </w:pPr>
      <w:r>
        <w:rPr>
          <w:rFonts w:ascii="Arial" w:cs="Arial" w:eastAsia="Arial" w:hAnsi="Arial"/>
          <w:sz w:val="18"/>
          <w:szCs w:val="18"/>
          <w:color w:val="auto"/>
        </w:rPr>
        <w:t>all obligations of such Person to purchase, redeem, retire, defease or otherwise make any $ payment in respect of any Disqualified Capital Stock in such Person or any other Person (except any obligation to purchase, redeem, retire or otherwise acquire for value any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6256020</wp:posOffset>
            </wp:positionH>
            <wp:positionV relativeFrom="paragraph">
              <wp:posOffset>-452755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Interests of Holdings from present or former officers, directors or</w:t>
      </w:r>
    </w:p>
    <w:p>
      <w:pPr>
        <w:spacing w:after="0" w:line="200" w:lineRule="exact"/>
        <w:rPr>
          <w:sz w:val="20"/>
          <w:szCs w:val="20"/>
          <w:color w:val="auto"/>
        </w:rPr>
      </w:pPr>
    </w:p>
    <w:p>
      <w:pPr>
        <w:spacing w:after="0" w:line="241" w:lineRule="exact"/>
        <w:rPr>
          <w:sz w:val="20"/>
          <w:szCs w:val="20"/>
          <w:color w:val="auto"/>
        </w:rPr>
      </w:pPr>
    </w:p>
    <w:p>
      <w:pPr>
        <w:jc w:val="both"/>
        <w:ind w:left="3340" w:right="1420"/>
        <w:spacing w:after="0" w:line="277" w:lineRule="auto"/>
        <w:rPr>
          <w:sz w:val="20"/>
          <w:szCs w:val="20"/>
          <w:color w:val="auto"/>
        </w:rPr>
      </w:pPr>
      <w:r>
        <w:rPr>
          <w:rFonts w:ascii="Arial" w:cs="Arial" w:eastAsia="Arial" w:hAnsi="Arial"/>
          <w:sz w:val="18"/>
          <w:szCs w:val="18"/>
          <w:color w:val="auto"/>
        </w:rPr>
        <w:t>employees of Holdings, the U.S. Borrower, or any Subsidiary upon the death, disability, retirement or termination of employment or</w:t>
      </w:r>
    </w:p>
    <w:p>
      <w:pPr>
        <w:spacing w:after="0" w:line="386" w:lineRule="exact"/>
        <w:rPr>
          <w:sz w:val="20"/>
          <w:szCs w:val="20"/>
          <w:color w:val="auto"/>
        </w:rPr>
      </w:pPr>
    </w:p>
    <w:p>
      <w:pPr>
        <w:jc w:val="both"/>
        <w:ind w:left="3340" w:right="1420"/>
        <w:spacing w:after="0" w:line="259" w:lineRule="auto"/>
        <w:rPr>
          <w:sz w:val="20"/>
          <w:szCs w:val="20"/>
          <w:color w:val="auto"/>
        </w:rPr>
      </w:pPr>
      <w:r>
        <w:rPr>
          <w:rFonts w:ascii="Arial" w:cs="Arial" w:eastAsia="Arial" w:hAnsi="Arial"/>
          <w:sz w:val="18"/>
          <w:szCs w:val="18"/>
          <w:color w:val="auto"/>
        </w:rPr>
        <w:t>service of such officer, director or employee, or otherwise under any stock option or employee stock ownership plan approved by the board of director of Holdings), valued, in the case of a redeemeable preferred interest, at the greater of its voluntary or involuntary liquidation</w:t>
      </w:r>
    </w:p>
    <w:p>
      <w:pPr>
        <w:spacing w:after="0" w:line="200" w:lineRule="exact"/>
        <w:rPr>
          <w:sz w:val="20"/>
          <w:szCs w:val="20"/>
          <w:color w:val="auto"/>
        </w:rPr>
      </w:pPr>
    </w:p>
    <w:p>
      <w:pPr>
        <w:spacing w:after="0" w:line="203"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6700" w:type="dxa"/>
            <w:vAlign w:val="bottom"/>
          </w:tcPr>
          <w:p>
            <w:pPr>
              <w:ind w:left="1340"/>
              <w:spacing w:after="0"/>
              <w:rPr>
                <w:sz w:val="20"/>
                <w:szCs w:val="20"/>
                <w:color w:val="auto"/>
              </w:rPr>
            </w:pPr>
            <w:r>
              <w:rPr>
                <w:rFonts w:ascii="Arial" w:cs="Arial" w:eastAsia="Arial" w:hAnsi="Arial"/>
                <w:sz w:val="18"/>
                <w:szCs w:val="18"/>
                <w:color w:val="auto"/>
              </w:rPr>
              <w:t>preference plus accrued and unpaid dividends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820" w:type="dxa"/>
            <w:vAlign w:val="bottom"/>
          </w:tcPr>
          <w:p>
            <w:pPr>
              <w:spacing w:after="0"/>
              <w:rPr>
                <w:sz w:val="24"/>
                <w:szCs w:val="24"/>
                <w:color w:val="auto"/>
              </w:rPr>
            </w:pPr>
          </w:p>
        </w:tc>
        <w:tc>
          <w:tcPr>
            <w:tcW w:w="6700" w:type="dxa"/>
            <w:vAlign w:val="bottom"/>
          </w:tcPr>
          <w:p>
            <w:pPr>
              <w:ind w:left="680"/>
              <w:spacing w:after="0"/>
              <w:rPr>
                <w:sz w:val="20"/>
                <w:szCs w:val="20"/>
                <w:color w:val="auto"/>
              </w:rPr>
            </w:pPr>
            <w:r>
              <w:rPr>
                <w:rFonts w:ascii="Arial" w:cs="Arial" w:eastAsia="Arial" w:hAnsi="Arial"/>
                <w:sz w:val="20"/>
                <w:szCs w:val="20"/>
                <w:color w:val="auto"/>
              </w:rPr>
              <w:t xml:space="preserve">(h)  </w:t>
            </w:r>
            <w:r>
              <w:rPr>
                <w:rFonts w:ascii="Arial" w:cs="Arial" w:eastAsia="Arial" w:hAnsi="Arial"/>
                <w:sz w:val="17"/>
                <w:szCs w:val="17"/>
                <w:color w:val="auto"/>
              </w:rPr>
              <w:t>all guarantees of such Person in respect of any of the foregoing</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r>
      <w:tr>
        <w:trPr>
          <w:trHeight w:val="480"/>
        </w:trPr>
        <w:tc>
          <w:tcPr>
            <w:tcW w:w="820" w:type="dxa"/>
            <w:vAlign w:val="bottom"/>
          </w:tcPr>
          <w:p>
            <w:pPr>
              <w:jc w:val="right"/>
              <w:ind w:right="581"/>
              <w:spacing w:after="0"/>
              <w:rPr>
                <w:sz w:val="20"/>
                <w:szCs w:val="20"/>
                <w:color w:val="auto"/>
              </w:rPr>
            </w:pPr>
            <w:r>
              <w:rPr>
                <w:rFonts w:ascii="Arial" w:cs="Arial" w:eastAsia="Arial" w:hAnsi="Arial"/>
                <w:sz w:val="20"/>
                <w:szCs w:val="20"/>
                <w:color w:val="auto"/>
                <w:w w:val="71"/>
              </w:rPr>
              <w:t>2.</w:t>
            </w:r>
          </w:p>
        </w:tc>
        <w:tc>
          <w:tcPr>
            <w:tcW w:w="6700" w:type="dxa"/>
            <w:vAlign w:val="bottom"/>
          </w:tcPr>
          <w:p>
            <w:pPr>
              <w:ind w:left="680"/>
              <w:spacing w:after="0"/>
              <w:rPr>
                <w:sz w:val="20"/>
                <w:szCs w:val="20"/>
                <w:color w:val="auto"/>
              </w:rPr>
            </w:pPr>
            <w:r>
              <w:rPr>
                <w:rFonts w:ascii="Arial" w:cs="Arial" w:eastAsia="Arial" w:hAnsi="Arial"/>
                <w:sz w:val="18"/>
                <w:szCs w:val="18"/>
                <w:color w:val="auto"/>
              </w:rPr>
              <w:t>Indebtedness</w:t>
            </w:r>
            <w:r>
              <w:rPr>
                <w:rFonts w:ascii="Arial" w:cs="Arial" w:eastAsia="Arial" w:hAnsi="Arial"/>
                <w:sz w:val="25"/>
                <w:szCs w:val="25"/>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r>
    </w:tbl>
    <w:p>
      <w:pPr>
        <w:spacing w:after="0" w:line="310" w:lineRule="exact"/>
        <w:rPr>
          <w:sz w:val="20"/>
          <w:szCs w:val="20"/>
          <w:color w:val="auto"/>
        </w:rPr>
      </w:pPr>
    </w:p>
    <w:p>
      <w:pPr>
        <w:ind w:left="880" w:hanging="352"/>
        <w:spacing w:after="0"/>
        <w:tabs>
          <w:tab w:leader="none" w:pos="880" w:val="left"/>
        </w:tabs>
        <w:numPr>
          <w:ilvl w:val="0"/>
          <w:numId w:val="230"/>
        </w:numPr>
        <w:rPr>
          <w:rFonts w:ascii="Arial" w:cs="Arial" w:eastAsia="Arial" w:hAnsi="Arial"/>
          <w:sz w:val="20"/>
          <w:szCs w:val="20"/>
          <w:color w:val="auto"/>
        </w:rPr>
      </w:pPr>
      <w:r>
        <w:rPr>
          <w:rFonts w:ascii="Arial" w:cs="Arial" w:eastAsia="Arial" w:hAnsi="Arial"/>
          <w:sz w:val="18"/>
          <w:szCs w:val="18"/>
          <w:u w:val="single" w:color="auto"/>
          <w:color w:val="auto"/>
        </w:rPr>
        <w:t>Consolidated Indebtedness</w:t>
      </w:r>
    </w:p>
    <w:p>
      <w:pPr>
        <w:spacing w:after="0" w:line="254" w:lineRule="exact"/>
        <w:rPr>
          <w:sz w:val="20"/>
          <w:szCs w:val="20"/>
          <w:color w:val="auto"/>
        </w:rPr>
      </w:pPr>
    </w:p>
    <w:p>
      <w:pPr>
        <w:ind w:left="2680" w:right="1260" w:hanging="2159"/>
        <w:spacing w:after="0" w:line="255" w:lineRule="auto"/>
        <w:tabs>
          <w:tab w:leader="none" w:pos="266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 xml:space="preserve">(a) </w:t>
      </w:r>
      <w:r>
        <w:rPr>
          <w:rFonts w:ascii="Arial" w:cs="Arial" w:eastAsia="Arial" w:hAnsi="Arial"/>
          <w:sz w:val="17"/>
          <w:szCs w:val="17"/>
          <w:color w:val="auto"/>
        </w:rPr>
        <w:t>as at any date of determination, aggregate amount of all Indebtedness of the U.S. Borrower $</w:t>
      </w:r>
      <w:r>
        <w:rPr>
          <w:rFonts w:ascii="Arial" w:cs="Arial" w:eastAsia="Arial" w:hAnsi="Arial"/>
          <w:sz w:val="20"/>
          <w:szCs w:val="20"/>
          <w:color w:val="auto"/>
        </w:rPr>
        <w:t xml:space="preserve"> </w:t>
      </w:r>
      <w:r>
        <w:rPr>
          <w:rFonts w:ascii="Arial" w:cs="Arial" w:eastAsia="Arial" w:hAnsi="Arial"/>
          <w:sz w:val="17"/>
          <w:szCs w:val="17"/>
          <w:color w:val="auto"/>
        </w:rPr>
        <w:t xml:space="preserve">and its Restricted Subsidiaries required to be shown as a liability on a consolidated balance sheet of the U.S. Borrower and its Restricted Subsidiaries on such date, determined on a consolidated basis in accordance with GAAP, </w:t>
      </w:r>
      <w:r>
        <w:rPr>
          <w:rFonts w:ascii="Arial" w:cs="Arial" w:eastAsia="Arial" w:hAnsi="Arial"/>
          <w:sz w:val="17"/>
          <w:szCs w:val="17"/>
          <w:u w:val="single" w:color="auto"/>
          <w:color w:val="auto"/>
        </w:rPr>
        <w:t>minus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6256020</wp:posOffset>
            </wp:positionH>
            <wp:positionV relativeFrom="paragraph">
              <wp:posOffset>-451485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6" w:lineRule="exact"/>
        <w:rPr>
          <w:sz w:val="20"/>
          <w:szCs w:val="20"/>
          <w:color w:val="auto"/>
        </w:rPr>
      </w:pPr>
    </w:p>
    <w:p>
      <w:pPr>
        <w:ind w:left="3340" w:right="1260" w:hanging="652"/>
        <w:spacing w:after="0" w:line="257" w:lineRule="auto"/>
        <w:tabs>
          <w:tab w:leader="none" w:pos="3114" w:val="left"/>
        </w:tabs>
        <w:numPr>
          <w:ilvl w:val="0"/>
          <w:numId w:val="231"/>
        </w:numPr>
        <w:rPr>
          <w:rFonts w:ascii="Arial" w:cs="Arial" w:eastAsia="Arial" w:hAnsi="Arial"/>
          <w:sz w:val="20"/>
          <w:szCs w:val="20"/>
          <w:color w:val="auto"/>
        </w:rPr>
      </w:pPr>
      <w:r>
        <w:rPr>
          <w:rFonts w:ascii="Arial" w:cs="Arial" w:eastAsia="Arial" w:hAnsi="Arial"/>
          <w:sz w:val="18"/>
          <w:szCs w:val="18"/>
          <w:color w:val="auto"/>
        </w:rPr>
        <w:t>Indebtedness of the U.S. Borrower and its Restricted Subsidiaries (i) of the type referred to $ in clause (c) of the definition of “Indebtedness” (Line I.A.1.(c)) and (ii) of the type referred to in clause (b)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6256020</wp:posOffset>
            </wp:positionH>
            <wp:positionV relativeFrom="paragraph">
              <wp:posOffset>-316865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8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definition of “Indebtedness” (Line I.A.1.(b)) for which the</w:t>
      </w:r>
    </w:p>
    <w:p>
      <w:pPr>
        <w:spacing w:after="0" w:line="200" w:lineRule="exact"/>
        <w:rPr>
          <w:sz w:val="20"/>
          <w:szCs w:val="20"/>
          <w:color w:val="auto"/>
        </w:rPr>
      </w:pPr>
    </w:p>
    <w:p>
      <w:pPr>
        <w:spacing w:after="0" w:line="241" w:lineRule="exact"/>
        <w:rPr>
          <w:sz w:val="20"/>
          <w:szCs w:val="20"/>
          <w:color w:val="auto"/>
        </w:rPr>
      </w:pPr>
    </w:p>
    <w:p>
      <w:pPr>
        <w:ind w:left="3340" w:right="1420"/>
        <w:spacing w:after="0" w:line="277" w:lineRule="auto"/>
        <w:rPr>
          <w:sz w:val="20"/>
          <w:szCs w:val="20"/>
          <w:color w:val="auto"/>
        </w:rPr>
      </w:pPr>
      <w:r>
        <w:rPr>
          <w:rFonts w:ascii="Arial" w:cs="Arial" w:eastAsia="Arial" w:hAnsi="Arial"/>
          <w:sz w:val="18"/>
          <w:szCs w:val="18"/>
          <w:color w:val="auto"/>
        </w:rPr>
        <w:t xml:space="preserve">reimbursement obligation is contingent or unmatured or in respect of which the reimbursement obligation has been paid or extinguished, </w:t>
      </w:r>
      <w:r>
        <w:rPr>
          <w:rFonts w:ascii="Arial" w:cs="Arial" w:eastAsia="Arial" w:hAnsi="Arial"/>
          <w:sz w:val="18"/>
          <w:szCs w:val="18"/>
          <w:u w:val="single" w:color="auto"/>
          <w:color w:val="auto"/>
        </w:rPr>
        <w:t>minus</w:t>
      </w:r>
    </w:p>
    <w:p>
      <w:pPr>
        <w:spacing w:after="0" w:line="224" w:lineRule="exact"/>
        <w:rPr>
          <w:sz w:val="20"/>
          <w:szCs w:val="20"/>
          <w:color w:val="auto"/>
        </w:rPr>
      </w:pPr>
    </w:p>
    <w:p>
      <w:pPr>
        <w:ind w:left="3340" w:right="1260" w:hanging="652"/>
        <w:spacing w:after="0" w:line="266" w:lineRule="auto"/>
        <w:tabs>
          <w:tab w:leader="none" w:pos="3228" w:val="left"/>
        </w:tabs>
        <w:numPr>
          <w:ilvl w:val="0"/>
          <w:numId w:val="232"/>
        </w:numPr>
        <w:rPr>
          <w:rFonts w:ascii="Arial" w:cs="Arial" w:eastAsia="Arial" w:hAnsi="Arial"/>
          <w:sz w:val="20"/>
          <w:szCs w:val="20"/>
          <w:color w:val="auto"/>
        </w:rPr>
      </w:pPr>
      <w:r>
        <w:rPr>
          <w:rFonts w:ascii="Arial" w:cs="Arial" w:eastAsia="Arial" w:hAnsi="Arial"/>
          <w:sz w:val="18"/>
          <w:szCs w:val="18"/>
          <w:color w:val="auto"/>
        </w:rPr>
        <w:t>to the extent such date of determination is upon or after the occurrence of the Post- $ Amendment No. 2 Bond Issuance and so long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6256020</wp:posOffset>
            </wp:positionH>
            <wp:positionV relativeFrom="paragraph">
              <wp:posOffset>-186055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aggregate unrestricted cash and Cash Equivalents (other than</w:t>
      </w:r>
    </w:p>
    <w:p>
      <w:pPr>
        <w:spacing w:after="0" w:line="200" w:lineRule="exact"/>
        <w:rPr>
          <w:sz w:val="20"/>
          <w:szCs w:val="20"/>
          <w:color w:val="auto"/>
        </w:rPr>
      </w:pPr>
    </w:p>
    <w:p>
      <w:pPr>
        <w:spacing w:after="0" w:line="241" w:lineRule="exact"/>
        <w:rPr>
          <w:sz w:val="20"/>
          <w:szCs w:val="20"/>
          <w:color w:val="auto"/>
        </w:rPr>
      </w:pPr>
    </w:p>
    <w:p>
      <w:pPr>
        <w:jc w:val="both"/>
        <w:ind w:left="3340" w:right="1420"/>
        <w:spacing w:after="0" w:line="301" w:lineRule="auto"/>
        <w:rPr>
          <w:sz w:val="20"/>
          <w:szCs w:val="20"/>
          <w:color w:val="auto"/>
        </w:rPr>
      </w:pPr>
      <w:r>
        <w:rPr>
          <w:rFonts w:ascii="Arial" w:cs="Arial" w:eastAsia="Arial" w:hAnsi="Arial"/>
          <w:sz w:val="16"/>
          <w:szCs w:val="16"/>
          <w:color w:val="auto"/>
        </w:rPr>
        <w:t>restrictions constituting Permitted Liens described in clauses (a), (b), (g), and (i) of Section 7.01 of the Credit Agreement) of U.S. Borrower and its Restricted Subsidiaries as of such date is at least equal to the aggregate principal gross amount outstanding of the Post-Amendment No. 2 Bond Issuance, the aggregate unrestricted cash and Cash</w:t>
      </w: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Equivalents (other than restrictions constituting Permitted Liens</w:t>
      </w:r>
    </w:p>
    <w:p>
      <w:pPr>
        <w:spacing w:after="0" w:line="200" w:lineRule="exact"/>
        <w:rPr>
          <w:sz w:val="20"/>
          <w:szCs w:val="20"/>
          <w:color w:val="auto"/>
        </w:rPr>
      </w:pPr>
    </w:p>
    <w:p>
      <w:pPr>
        <w:spacing w:after="0" w:line="241" w:lineRule="exact"/>
        <w:rPr>
          <w:sz w:val="20"/>
          <w:szCs w:val="20"/>
          <w:color w:val="auto"/>
        </w:rPr>
      </w:pPr>
    </w:p>
    <w:p>
      <w:pPr>
        <w:jc w:val="both"/>
        <w:ind w:left="3340" w:right="1420"/>
        <w:spacing w:after="0" w:line="279" w:lineRule="auto"/>
        <w:rPr>
          <w:sz w:val="20"/>
          <w:szCs w:val="20"/>
          <w:color w:val="auto"/>
        </w:rPr>
      </w:pPr>
      <w:r>
        <w:rPr>
          <w:rFonts w:ascii="Arial" w:cs="Arial" w:eastAsia="Arial" w:hAnsi="Arial"/>
          <w:sz w:val="17"/>
          <w:szCs w:val="17"/>
          <w:color w:val="auto"/>
        </w:rPr>
        <w:t>described in clauses (a), (b), (g), and (i) of Section 7.01 of the Credit Agreement) of U.S. Borrower and its Restricted Subsidiaries as of such date (in an amount not to exceed, solely with respect to this clause (c), the aggregate principal gross amount outstanding of the Post-Amendment No. 2 Bond Issuance)</w:t>
      </w:r>
    </w:p>
    <w:p>
      <w:pPr>
        <w:spacing w:after="0" w:line="198" w:lineRule="exact"/>
        <w:rPr>
          <w:sz w:val="20"/>
          <w:szCs w:val="20"/>
          <w:color w:val="auto"/>
        </w:rPr>
      </w:pPr>
    </w:p>
    <w:p>
      <w:pPr>
        <w:spacing w:after="0" w:line="225"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For the avoidance of doubt, “Indebtedness” shall exclude any post-closing payment adjustments or earn-out, non-competition or consulting obligations existing on the Fourth Restatement Date or incurred in connection with Permitted Acquisitions, in each case, except to the extent such adjustments or obligations are not paid when due.</w:t>
      </w:r>
    </w:p>
    <w:p>
      <w:pPr>
        <w:sectPr>
          <w:pgSz w:w="11900" w:h="16838" w:orient="portrait"/>
          <w:cols w:equalWidth="0" w:num="1">
            <w:col w:w="11120"/>
          </w:cols>
          <w:pgMar w:left="320" w:top="503" w:right="459" w:bottom="453"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Ex. D, Schedule 2-2</w:t>
      </w:r>
    </w:p>
    <w:p>
      <w:pPr>
        <w:sectPr>
          <w:pgSz w:w="11900" w:h="16838" w:orient="portrait"/>
          <w:cols w:equalWidth="0" w:num="1">
            <w:col w:w="11120"/>
          </w:cols>
          <w:pgMar w:left="320" w:top="503" w:right="459" w:bottom="453" w:gutter="0" w:footer="0" w:header="0"/>
          <w:type w:val="continuous"/>
        </w:sectPr>
      </w:pPr>
    </w:p>
    <w:bookmarkStart w:id="226" w:name="page227"/>
    <w:bookmarkEnd w:id="226"/>
    <w:p>
      <w:pPr>
        <w:spacing w:after="0"/>
        <w:rPr>
          <w:sz w:val="20"/>
          <w:szCs w:val="20"/>
          <w:color w:val="auto"/>
        </w:rPr>
      </w:pPr>
      <w:r>
        <w:rPr>
          <w:rFonts w:ascii="Arial" w:cs="Arial" w:eastAsia="Arial" w:hAnsi="Arial"/>
          <w:sz w:val="18"/>
          <w:szCs w:val="18"/>
          <w:color w:val="auto"/>
        </w:rPr>
        <w:t>Amendment No. 2 Bond Issuance)</w:t>
      </w:r>
      <w:r>
        <w:rPr>
          <w:rFonts w:ascii="Arial" w:cs="Arial" w:eastAsia="Arial" w:hAnsi="Arial"/>
          <w:sz w:val="25"/>
          <w:szCs w:val="25"/>
          <w:color w:val="auto"/>
          <w:vertAlign w:val="superscript"/>
        </w:rPr>
        <w:t>2</w:t>
      </w:r>
    </w:p>
    <w:p>
      <w:pPr>
        <w:spacing w:after="0" w:line="88" w:lineRule="exact"/>
        <w:rPr>
          <w:sz w:val="20"/>
          <w:szCs w:val="20"/>
          <w:color w:val="auto"/>
        </w:rPr>
      </w:pPr>
    </w:p>
    <w:p>
      <w:pPr>
        <w:ind w:left="980"/>
        <w:spacing w:after="0"/>
        <w:tabs>
          <w:tab w:leader="none" w:pos="2440" w:val="left"/>
          <w:tab w:leader="none" w:pos="990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Consolidated Indebtedness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-23495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700" w:hanging="368"/>
        <w:spacing w:after="0"/>
        <w:tabs>
          <w:tab w:leader="none" w:pos="700" w:val="left"/>
        </w:tabs>
        <w:numPr>
          <w:ilvl w:val="0"/>
          <w:numId w:val="233"/>
        </w:numPr>
        <w:rPr>
          <w:rFonts w:ascii="Arial" w:cs="Arial" w:eastAsia="Arial" w:hAnsi="Arial"/>
          <w:sz w:val="20"/>
          <w:szCs w:val="20"/>
          <w:color w:val="auto"/>
        </w:rPr>
      </w:pPr>
      <w:r>
        <w:rPr>
          <w:rFonts w:ascii="Arial" w:cs="Arial" w:eastAsia="Arial" w:hAnsi="Arial"/>
          <w:sz w:val="18"/>
          <w:szCs w:val="18"/>
          <w:u w:val="single" w:color="auto"/>
          <w:color w:val="auto"/>
        </w:rPr>
        <w:t>Consolidated Net Income</w:t>
      </w:r>
    </w:p>
    <w:p>
      <w:pPr>
        <w:spacing w:after="0" w:line="254" w:lineRule="exact"/>
        <w:rPr>
          <w:sz w:val="20"/>
          <w:szCs w:val="20"/>
          <w:color w:val="auto"/>
        </w:rPr>
      </w:pPr>
    </w:p>
    <w:p>
      <w:pPr>
        <w:ind w:left="2460" w:right="1240" w:hanging="1479"/>
        <w:spacing w:after="0" w:line="250" w:lineRule="auto"/>
        <w:tabs>
          <w:tab w:leader="none" w:pos="24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for any period, the consolidated net income (or loss) of the U.S. Borrower and its Restricted $ Subsidiaries determined on a consolidated basis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-166370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1" w:lineRule="exact"/>
        <w:rPr>
          <w:sz w:val="20"/>
          <w:szCs w:val="20"/>
          <w:color w:val="auto"/>
        </w:rPr>
      </w:pPr>
    </w:p>
    <w:p>
      <w:pPr>
        <w:ind w:left="2460" w:right="1380"/>
        <w:spacing w:after="0" w:line="277" w:lineRule="auto"/>
        <w:rPr>
          <w:sz w:val="20"/>
          <w:szCs w:val="20"/>
          <w:color w:val="auto"/>
        </w:rPr>
      </w:pPr>
      <w:r>
        <w:rPr>
          <w:rFonts w:ascii="Arial" w:cs="Arial" w:eastAsia="Arial" w:hAnsi="Arial"/>
          <w:sz w:val="18"/>
          <w:szCs w:val="18"/>
          <w:color w:val="auto"/>
        </w:rPr>
        <w:t xml:space="preserve">Measurement Period taken as a single accounting period in conformity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to the extent otherwise included therein, without duplication:</w:t>
      </w:r>
    </w:p>
    <w:p>
      <w:pPr>
        <w:spacing w:after="0" w:line="224" w:lineRule="exact"/>
        <w:rPr>
          <w:sz w:val="20"/>
          <w:szCs w:val="20"/>
          <w:color w:val="auto"/>
        </w:rPr>
      </w:pPr>
    </w:p>
    <w:p>
      <w:pPr>
        <w:ind w:left="3120" w:right="1240" w:hanging="655"/>
        <w:spacing w:after="0" w:line="255" w:lineRule="auto"/>
        <w:tabs>
          <w:tab w:leader="none" w:pos="2920" w:val="left"/>
        </w:tabs>
        <w:numPr>
          <w:ilvl w:val="0"/>
          <w:numId w:val="234"/>
        </w:numPr>
        <w:rPr>
          <w:rFonts w:ascii="Arial" w:cs="Arial" w:eastAsia="Arial" w:hAnsi="Arial"/>
          <w:sz w:val="20"/>
          <w:szCs w:val="20"/>
          <w:color w:val="auto"/>
        </w:rPr>
      </w:pPr>
      <w:r>
        <w:rPr>
          <w:rFonts w:ascii="Arial" w:cs="Arial" w:eastAsia="Arial" w:hAnsi="Arial"/>
          <w:sz w:val="18"/>
          <w:szCs w:val="18"/>
          <w:color w:val="auto"/>
        </w:rPr>
        <w:t>the income (or loss) of any Person that is not a Restricted Subsidiary of the U.S. Borrower, or $ that is accounted for by the equity method of accounting, except to the extent of the amount of dividends or other distributions actually paid to the U.S. Borrower or any of its Restricted Subsidiaries by such Person during such period</w:t>
      </w:r>
    </w:p>
    <w:p>
      <w:pPr>
        <w:spacing w:after="0" w:line="243" w:lineRule="exact"/>
        <w:rPr>
          <w:rFonts w:ascii="Arial" w:cs="Arial" w:eastAsia="Arial" w:hAnsi="Arial"/>
          <w:sz w:val="20"/>
          <w:szCs w:val="20"/>
          <w:color w:val="auto"/>
        </w:rPr>
      </w:pPr>
    </w:p>
    <w:p>
      <w:pPr>
        <w:ind w:left="3120" w:right="1240" w:hanging="655"/>
        <w:spacing w:after="0" w:line="254" w:lineRule="auto"/>
        <w:tabs>
          <w:tab w:leader="none" w:pos="2882" w:val="left"/>
        </w:tabs>
        <w:numPr>
          <w:ilvl w:val="0"/>
          <w:numId w:val="234"/>
        </w:numPr>
        <w:rPr>
          <w:rFonts w:ascii="Arial" w:cs="Arial" w:eastAsia="Arial" w:hAnsi="Arial"/>
          <w:sz w:val="20"/>
          <w:szCs w:val="20"/>
          <w:color w:val="auto"/>
        </w:rPr>
      </w:pPr>
      <w:r>
        <w:rPr>
          <w:rFonts w:ascii="Arial" w:cs="Arial" w:eastAsia="Arial" w:hAnsi="Arial"/>
          <w:sz w:val="18"/>
          <w:szCs w:val="18"/>
          <w:color w:val="auto"/>
        </w:rPr>
        <w:t>Subject to the last paragraph of the definition of Consolidated EBITDAR, the income (or loss) of $ any Person accrued prior to the date it becomes a Restricted Subsidiary of the U.S. Borrower or is merged into or amalgamated or consolidated with the U.S. Borrower or any of its Restricted Subsidiaries or that Person’s assets are acquired by the U.S. Borrower or any of its Restricted Subsidiaries</w:t>
      </w:r>
    </w:p>
    <w:p>
      <w:pPr>
        <w:spacing w:after="0" w:line="243" w:lineRule="exact"/>
        <w:rPr>
          <w:rFonts w:ascii="Arial" w:cs="Arial" w:eastAsia="Arial" w:hAnsi="Arial"/>
          <w:sz w:val="20"/>
          <w:szCs w:val="20"/>
          <w:color w:val="auto"/>
        </w:rPr>
      </w:pPr>
    </w:p>
    <w:p>
      <w:pPr>
        <w:ind w:left="3120" w:right="1240" w:hanging="655"/>
        <w:spacing w:after="0" w:line="266" w:lineRule="auto"/>
        <w:tabs>
          <w:tab w:leader="none" w:pos="2911" w:val="left"/>
        </w:tabs>
        <w:numPr>
          <w:ilvl w:val="0"/>
          <w:numId w:val="234"/>
        </w:numPr>
        <w:rPr>
          <w:rFonts w:ascii="Arial" w:cs="Arial" w:eastAsia="Arial" w:hAnsi="Arial"/>
          <w:sz w:val="20"/>
          <w:szCs w:val="20"/>
          <w:color w:val="auto"/>
        </w:rPr>
      </w:pPr>
      <w:r>
        <w:rPr>
          <w:rFonts w:ascii="Arial" w:cs="Arial" w:eastAsia="Arial" w:hAnsi="Arial"/>
          <w:sz w:val="18"/>
          <w:szCs w:val="18"/>
          <w:color w:val="auto"/>
        </w:rPr>
        <w:t>the cumulative effect of a change in accounting principles as well as any current period impact $ of new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-1780540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6354445</wp:posOffset>
            </wp:positionH>
            <wp:positionV relativeFrom="paragraph">
              <wp:posOffset>-1052195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6354445</wp:posOffset>
            </wp:positionH>
            <wp:positionV relativeFrom="paragraph">
              <wp:posOffset>-186055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7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including those related to purchase accounting</w:t>
      </w:r>
    </w:p>
    <w:p>
      <w:pPr>
        <w:spacing w:after="0" w:line="279" w:lineRule="exact"/>
        <w:rPr>
          <w:sz w:val="20"/>
          <w:szCs w:val="20"/>
          <w:color w:val="auto"/>
        </w:rPr>
      </w:pPr>
    </w:p>
    <w:p>
      <w:pPr>
        <w:ind w:left="3120" w:right="1240" w:hanging="655"/>
        <w:spacing w:after="0" w:line="277" w:lineRule="auto"/>
        <w:tabs>
          <w:tab w:leader="none" w:pos="291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income of any Restricted Subsidiary of the U.S. Borrower (other than a Loan Party) to the $ extent that the declaration or 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-182245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66" w:lineRule="exact"/>
        <w:rPr>
          <w:sz w:val="20"/>
          <w:szCs w:val="20"/>
          <w:color w:val="auto"/>
        </w:rPr>
      </w:pPr>
    </w:p>
    <w:p>
      <w:pPr>
        <w:jc w:val="both"/>
        <w:ind w:left="3120" w:right="1380"/>
        <w:spacing w:after="0" w:line="311" w:lineRule="auto"/>
        <w:rPr>
          <w:sz w:val="20"/>
          <w:szCs w:val="20"/>
          <w:color w:val="auto"/>
        </w:rPr>
      </w:pPr>
      <w:r>
        <w:rPr>
          <w:rFonts w:ascii="Arial" w:cs="Arial" w:eastAsia="Arial" w:hAnsi="Arial"/>
          <w:sz w:val="16"/>
          <w:szCs w:val="16"/>
          <w:color w:val="auto"/>
        </w:rPr>
        <w:t>dividends or similar distributions by that Restricted Subsidiary of that income is not at the time permitted by operation of the terms of its charter or any agreement, instrument, judgment, decree, order, statute, rule or governmental regulation applicable to that Restricted</w:t>
      </w:r>
    </w:p>
    <w:p>
      <w:pPr>
        <w:spacing w:after="0" w:line="365" w:lineRule="exact"/>
        <w:rPr>
          <w:sz w:val="20"/>
          <w:szCs w:val="20"/>
          <w:color w:val="auto"/>
        </w:rPr>
      </w:pPr>
    </w:p>
    <w:p>
      <w:pPr>
        <w:jc w:val="both"/>
        <w:ind w:left="3120" w:right="1380"/>
        <w:spacing w:after="0" w:line="263" w:lineRule="auto"/>
        <w:rPr>
          <w:sz w:val="20"/>
          <w:szCs w:val="20"/>
          <w:color w:val="auto"/>
        </w:rPr>
      </w:pPr>
      <w:r>
        <w:rPr>
          <w:rFonts w:ascii="Arial" w:cs="Arial" w:eastAsia="Arial" w:hAnsi="Arial"/>
          <w:sz w:val="18"/>
          <w:szCs w:val="18"/>
          <w:color w:val="auto"/>
        </w:rPr>
        <w:t>Subsidiary, except to the extent of the amount of dividends or other distributions actually paid or permitted to be paid (by consent, waiver or otherwise) to the U.S. Borrower or any of its Restricted Subsidiaries by such Person during such period</w:t>
      </w:r>
    </w:p>
    <w:p>
      <w:pPr>
        <w:spacing w:after="0" w:line="238" w:lineRule="exact"/>
        <w:rPr>
          <w:sz w:val="20"/>
          <w:szCs w:val="20"/>
          <w:color w:val="auto"/>
        </w:rPr>
      </w:pPr>
    </w:p>
    <w:p>
      <w:pPr>
        <w:ind w:left="3120" w:right="1240" w:hanging="655"/>
        <w:spacing w:after="0" w:line="266" w:lineRule="auto"/>
        <w:tabs>
          <w:tab w:leader="none" w:pos="3027" w:val="left"/>
        </w:tabs>
        <w:numPr>
          <w:ilvl w:val="0"/>
          <w:numId w:val="236"/>
        </w:numPr>
        <w:rPr>
          <w:rFonts w:ascii="Arial" w:cs="Arial" w:eastAsia="Arial" w:hAnsi="Arial"/>
          <w:sz w:val="20"/>
          <w:szCs w:val="20"/>
          <w:color w:val="auto"/>
        </w:rPr>
      </w:pPr>
      <w:r>
        <w:rPr>
          <w:rFonts w:ascii="Arial" w:cs="Arial" w:eastAsia="Arial" w:hAnsi="Arial"/>
          <w:sz w:val="18"/>
          <w:szCs w:val="18"/>
          <w:color w:val="auto"/>
        </w:rPr>
        <w:t>any net after-tax gains or losses attributable to the early extinguishment of Indebtedness, $ including any write-off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-186055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7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incurred in the Fourth Restatement Date Refinancing or any prior</w:t>
      </w:r>
    </w:p>
    <w:p>
      <w:pPr>
        <w:spacing w:after="0" w:line="200" w:lineRule="exact"/>
        <w:rPr>
          <w:sz w:val="20"/>
          <w:szCs w:val="20"/>
          <w:color w:val="auto"/>
        </w:rPr>
      </w:pPr>
    </w:p>
    <w:p>
      <w:pPr>
        <w:spacing w:after="0" w:line="241" w:lineRule="exact"/>
        <w:rPr>
          <w:sz w:val="20"/>
          <w:szCs w:val="20"/>
          <w:color w:val="auto"/>
        </w:rPr>
      </w:pPr>
    </w:p>
    <w:p>
      <w:pPr>
        <w:ind w:left="3120" w:right="1380"/>
        <w:spacing w:after="0" w:line="277" w:lineRule="auto"/>
        <w:rPr>
          <w:sz w:val="20"/>
          <w:szCs w:val="20"/>
          <w:color w:val="auto"/>
        </w:rPr>
      </w:pPr>
      <w:r>
        <w:rPr>
          <w:rFonts w:ascii="Arial" w:cs="Arial" w:eastAsia="Arial" w:hAnsi="Arial"/>
          <w:sz w:val="18"/>
          <w:szCs w:val="18"/>
          <w:color w:val="auto"/>
        </w:rPr>
        <w:t>refinancing on the Original Closing Date, the First Restatement Date, the Second Restatement Date or the Third Restatement Date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8"/>
        <w:spacing w:after="0" w:line="227" w:lineRule="auto"/>
        <w:tabs>
          <w:tab w:leader="none" w:pos="108" w:val="left"/>
        </w:tabs>
        <w:numPr>
          <w:ilvl w:val="0"/>
          <w:numId w:val="237"/>
        </w:numPr>
        <w:rPr>
          <w:rFonts w:ascii="Arial" w:cs="Arial" w:eastAsia="Arial" w:hAnsi="Arial"/>
          <w:sz w:val="24"/>
          <w:szCs w:val="24"/>
          <w:color w:val="auto"/>
          <w:vertAlign w:val="superscript"/>
        </w:rPr>
      </w:pPr>
      <w:r>
        <w:rPr>
          <w:rFonts w:ascii="Arial" w:cs="Arial" w:eastAsia="Arial" w:hAnsi="Arial"/>
          <w:sz w:val="17"/>
          <w:szCs w:val="17"/>
          <w:color w:val="auto"/>
        </w:rPr>
        <w:t>For the avoidance of doubt, “Consolidated Indebtedness” shall exclude Indebtedness of the U.S. Borrower and its Restricted Subsidiaries of the type referred to in clause (h) of the definition of “Indebtedness” to the extent it relates to Indebtedness described in clauses (i) or (ii) of Line I.B.1.(b).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-281940</wp:posOffset>
            </wp:positionV>
            <wp:extent cx="12084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 D, Schedule 2-4</w:t>
      </w:r>
    </w:p>
    <w:p>
      <w:pPr>
        <w:sectPr>
          <w:pgSz w:w="11900" w:h="16838" w:orient="portrait"/>
          <w:cols w:equalWidth="0" w:num="1">
            <w:col w:w="11240"/>
          </w:cols>
          <w:pgMar w:left="320" w:top="341" w:right="339" w:bottom="1440" w:gutter="0" w:footer="0" w:header="0"/>
          <w:type w:val="continuous"/>
        </w:sectPr>
      </w:pPr>
    </w:p>
    <w:bookmarkStart w:id="227" w:name="page228"/>
    <w:bookmarkEnd w:id="227"/>
    <w:p>
      <w:pPr>
        <w:ind w:left="2672"/>
        <w:spacing w:after="0"/>
        <w:tabs>
          <w:tab w:leader="none" w:pos="3032" w:val="left"/>
          <w:tab w:leader="none" w:pos="9732"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8"/>
          <w:szCs w:val="18"/>
          <w:color w:val="auto"/>
        </w:rPr>
        <w:t>any net unrealized gain or loss (after any offset) resulting from</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-23495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332"/>
        <w:spacing w:after="0"/>
        <w:rPr>
          <w:sz w:val="20"/>
          <w:szCs w:val="20"/>
          <w:color w:val="auto"/>
        </w:rPr>
      </w:pPr>
      <w:r>
        <w:rPr>
          <w:rFonts w:ascii="Arial" w:cs="Arial" w:eastAsia="Arial" w:hAnsi="Arial"/>
          <w:sz w:val="18"/>
          <w:szCs w:val="18"/>
          <w:color w:val="auto"/>
        </w:rPr>
        <w:t>currency translation gains or losses related to currency</w:t>
      </w:r>
    </w:p>
    <w:p>
      <w:pPr>
        <w:spacing w:after="0" w:line="200" w:lineRule="exact"/>
        <w:rPr>
          <w:sz w:val="20"/>
          <w:szCs w:val="20"/>
          <w:color w:val="auto"/>
        </w:rPr>
      </w:pPr>
    </w:p>
    <w:p>
      <w:pPr>
        <w:spacing w:after="0" w:line="24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remeasurements of Indebtedness (including any net gain or loss</w:t>
      </w:r>
    </w:p>
    <w:p>
      <w:pPr>
        <w:spacing w:after="0" w:line="200" w:lineRule="exact"/>
        <w:rPr>
          <w:sz w:val="20"/>
          <w:szCs w:val="20"/>
          <w:color w:val="auto"/>
        </w:rPr>
      </w:pPr>
    </w:p>
    <w:p>
      <w:pPr>
        <w:spacing w:after="0" w:line="241"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resulting from obligations under an Swap Contracts for currency</w:t>
      </w:r>
    </w:p>
    <w:p>
      <w:pPr>
        <w:spacing w:after="0" w:line="200" w:lineRule="exact"/>
        <w:rPr>
          <w:sz w:val="20"/>
          <w:szCs w:val="20"/>
          <w:color w:val="auto"/>
        </w:rPr>
      </w:pPr>
    </w:p>
    <w:p>
      <w:pPr>
        <w:spacing w:after="0" w:line="241" w:lineRule="exact"/>
        <w:rPr>
          <w:sz w:val="20"/>
          <w:szCs w:val="20"/>
          <w:color w:val="auto"/>
        </w:rPr>
      </w:pPr>
    </w:p>
    <w:p>
      <w:pPr>
        <w:ind w:left="3332"/>
        <w:spacing w:after="0"/>
        <w:rPr>
          <w:sz w:val="20"/>
          <w:szCs w:val="20"/>
          <w:color w:val="auto"/>
        </w:rPr>
      </w:pPr>
      <w:r>
        <w:rPr>
          <w:rFonts w:ascii="Arial" w:cs="Arial" w:eastAsia="Arial" w:hAnsi="Arial"/>
          <w:sz w:val="18"/>
          <w:szCs w:val="18"/>
          <w:color w:val="auto"/>
        </w:rPr>
        <w:t>exchange risk) and any foreign currency translation gains or losses</w:t>
      </w:r>
    </w:p>
    <w:p>
      <w:pPr>
        <w:spacing w:after="0" w:line="279" w:lineRule="exact"/>
        <w:rPr>
          <w:sz w:val="20"/>
          <w:szCs w:val="20"/>
          <w:color w:val="auto"/>
        </w:rPr>
      </w:pPr>
    </w:p>
    <w:p>
      <w:pPr>
        <w:ind w:left="3092" w:hanging="412"/>
        <w:spacing w:after="0"/>
        <w:tabs>
          <w:tab w:leader="none" w:pos="3092" w:val="left"/>
        </w:tabs>
        <w:numPr>
          <w:ilvl w:val="0"/>
          <w:numId w:val="238"/>
        </w:numPr>
        <w:rPr>
          <w:rFonts w:ascii="Arial" w:cs="Arial" w:eastAsia="Arial" w:hAnsi="Arial"/>
          <w:sz w:val="20"/>
          <w:szCs w:val="20"/>
          <w:color w:val="auto"/>
        </w:rPr>
      </w:pPr>
      <w:r>
        <w:rPr>
          <w:rFonts w:ascii="Arial" w:cs="Arial" w:eastAsia="Arial" w:hAnsi="Arial"/>
          <w:sz w:val="18"/>
          <w:szCs w:val="18"/>
          <w:color w:val="auto"/>
        </w:rPr>
        <w:t>any adjustments resulting from the application of FASB Interpretation No. 45 (Guarantees) $</w:t>
      </w:r>
    </w:p>
    <w:p>
      <w:pPr>
        <w:spacing w:after="0" w:line="269" w:lineRule="exact"/>
        <w:rPr>
          <w:rFonts w:ascii="Arial" w:cs="Arial" w:eastAsia="Arial" w:hAnsi="Arial"/>
          <w:sz w:val="20"/>
          <w:szCs w:val="20"/>
          <w:color w:val="auto"/>
        </w:rPr>
      </w:pPr>
    </w:p>
    <w:p>
      <w:pPr>
        <w:ind w:left="3332" w:right="1220" w:hanging="652"/>
        <w:spacing w:after="0" w:line="266" w:lineRule="auto"/>
        <w:tabs>
          <w:tab w:leader="none" w:pos="3234" w:val="left"/>
        </w:tabs>
        <w:numPr>
          <w:ilvl w:val="0"/>
          <w:numId w:val="238"/>
        </w:numPr>
        <w:rPr>
          <w:rFonts w:ascii="Arial" w:cs="Arial" w:eastAsia="Arial" w:hAnsi="Arial"/>
          <w:sz w:val="20"/>
          <w:szCs w:val="20"/>
          <w:color w:val="auto"/>
        </w:rPr>
      </w:pPr>
      <w:r>
        <w:rPr>
          <w:rFonts w:ascii="Arial" w:cs="Arial" w:eastAsia="Arial" w:hAnsi="Arial"/>
          <w:sz w:val="18"/>
          <w:szCs w:val="18"/>
          <w:color w:val="auto"/>
        </w:rPr>
        <w:t>any impairment charge or asset write-off or write-down (other than a write down of $ accounts receivable or inventory),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-503555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-186055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73"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impairment charges or asset write-offs or write-downs related to</w:t>
      </w:r>
    </w:p>
    <w:p>
      <w:pPr>
        <w:spacing w:after="0" w:line="200" w:lineRule="exact"/>
        <w:rPr>
          <w:sz w:val="20"/>
          <w:szCs w:val="20"/>
          <w:color w:val="auto"/>
        </w:rPr>
      </w:pPr>
    </w:p>
    <w:p>
      <w:pPr>
        <w:spacing w:after="0" w:line="241" w:lineRule="exact"/>
        <w:rPr>
          <w:sz w:val="20"/>
          <w:szCs w:val="20"/>
          <w:color w:val="auto"/>
        </w:rPr>
      </w:pPr>
    </w:p>
    <w:p>
      <w:pPr>
        <w:ind w:left="3332"/>
        <w:spacing w:after="0"/>
        <w:rPr>
          <w:sz w:val="20"/>
          <w:szCs w:val="20"/>
          <w:color w:val="auto"/>
        </w:rPr>
      </w:pPr>
      <w:r>
        <w:rPr>
          <w:rFonts w:ascii="Arial" w:cs="Arial" w:eastAsia="Arial" w:hAnsi="Arial"/>
          <w:sz w:val="18"/>
          <w:szCs w:val="18"/>
          <w:color w:val="auto"/>
        </w:rPr>
        <w:t>intangible assets, long-lived assets, investments in debt and equity</w:t>
      </w:r>
    </w:p>
    <w:p>
      <w:pPr>
        <w:spacing w:after="0" w:line="200" w:lineRule="exact"/>
        <w:rPr>
          <w:sz w:val="20"/>
          <w:szCs w:val="20"/>
          <w:color w:val="auto"/>
        </w:rPr>
      </w:pPr>
    </w:p>
    <w:p>
      <w:pPr>
        <w:spacing w:after="0" w:line="241" w:lineRule="exact"/>
        <w:rPr>
          <w:sz w:val="20"/>
          <w:szCs w:val="20"/>
          <w:color w:val="auto"/>
        </w:rPr>
      </w:pPr>
    </w:p>
    <w:p>
      <w:pPr>
        <w:ind w:left="3332" w:right="1380"/>
        <w:spacing w:after="0" w:line="277" w:lineRule="auto"/>
        <w:rPr>
          <w:sz w:val="20"/>
          <w:szCs w:val="20"/>
          <w:color w:val="auto"/>
        </w:rPr>
      </w:pPr>
      <w:r>
        <w:rPr>
          <w:rFonts w:ascii="Arial" w:cs="Arial" w:eastAsia="Arial" w:hAnsi="Arial"/>
          <w:sz w:val="18"/>
          <w:szCs w:val="18"/>
          <w:color w:val="auto"/>
        </w:rPr>
        <w:t>securities or as a result of a change in law or regulation, in each case, pursuant to GAAP, and the amortization of intangibles arising</w:t>
      </w:r>
    </w:p>
    <w:p>
      <w:pPr>
        <w:spacing w:after="0" w:line="386" w:lineRule="exact"/>
        <w:rPr>
          <w:sz w:val="20"/>
          <w:szCs w:val="20"/>
          <w:color w:val="auto"/>
        </w:rPr>
      </w:pPr>
    </w:p>
    <w:p>
      <w:pPr>
        <w:ind w:left="3332"/>
        <w:spacing w:after="0"/>
        <w:rPr>
          <w:sz w:val="20"/>
          <w:szCs w:val="20"/>
          <w:color w:val="auto"/>
        </w:rPr>
      </w:pPr>
      <w:r>
        <w:rPr>
          <w:rFonts w:ascii="Arial" w:cs="Arial" w:eastAsia="Arial" w:hAnsi="Arial"/>
          <w:sz w:val="18"/>
          <w:szCs w:val="18"/>
          <w:color w:val="auto"/>
        </w:rPr>
        <w:t>pursuant to GAAP</w:t>
      </w:r>
    </w:p>
    <w:p>
      <w:pPr>
        <w:spacing w:after="0" w:line="277" w:lineRule="exact"/>
        <w:rPr>
          <w:sz w:val="20"/>
          <w:szCs w:val="20"/>
          <w:color w:val="auto"/>
        </w:rPr>
      </w:pPr>
    </w:p>
    <w:p>
      <w:pPr>
        <w:ind w:left="2672"/>
        <w:spacing w:after="0"/>
        <w:tabs>
          <w:tab w:leader="none" w:pos="3032" w:val="left"/>
          <w:tab w:leader="none" w:pos="9732"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inventory purchase accounting adjustments and amortization,</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-23495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332" w:right="1380"/>
        <w:spacing w:after="0" w:line="308" w:lineRule="auto"/>
        <w:rPr>
          <w:sz w:val="20"/>
          <w:szCs w:val="20"/>
          <w:color w:val="auto"/>
        </w:rPr>
      </w:pPr>
      <w:r>
        <w:rPr>
          <w:rFonts w:ascii="Arial" w:cs="Arial" w:eastAsia="Arial" w:hAnsi="Arial"/>
          <w:sz w:val="17"/>
          <w:szCs w:val="17"/>
          <w:color w:val="auto"/>
        </w:rPr>
        <w:t>impairment and other non-cash charges (including asset revaluations) resulting from purchase accounting adjustments with respect to any Permitted Acquisition</w:t>
      </w:r>
    </w:p>
    <w:p>
      <w:pPr>
        <w:spacing w:after="0" w:line="200" w:lineRule="exact"/>
        <w:rPr>
          <w:sz w:val="20"/>
          <w:szCs w:val="20"/>
          <w:color w:val="auto"/>
        </w:rPr>
      </w:pPr>
    </w:p>
    <w:p>
      <w:pPr>
        <w:ind w:left="3332" w:right="1220" w:hanging="652"/>
        <w:spacing w:after="0" w:line="266" w:lineRule="auto"/>
        <w:tabs>
          <w:tab w:leader="none" w:pos="3151" w:val="left"/>
        </w:tabs>
        <w:numPr>
          <w:ilvl w:val="0"/>
          <w:numId w:val="239"/>
        </w:numPr>
        <w:rPr>
          <w:rFonts w:ascii="Arial" w:cs="Arial" w:eastAsia="Arial" w:hAnsi="Arial"/>
          <w:sz w:val="20"/>
          <w:szCs w:val="20"/>
          <w:color w:val="auto"/>
        </w:rPr>
      </w:pPr>
      <w:r>
        <w:rPr>
          <w:rFonts w:ascii="Arial" w:cs="Arial" w:eastAsia="Arial" w:hAnsi="Arial"/>
          <w:sz w:val="18"/>
          <w:szCs w:val="18"/>
          <w:color w:val="auto"/>
        </w:rPr>
        <w:t>non-cash compensation charges, including any such charges arising from stock options, $ restricted stock grants or other equity-incentive programs</w:t>
      </w:r>
    </w:p>
    <w:p>
      <w:pPr>
        <w:spacing w:after="0" w:line="231" w:lineRule="exact"/>
        <w:rPr>
          <w:rFonts w:ascii="Arial" w:cs="Arial" w:eastAsia="Arial" w:hAnsi="Arial"/>
          <w:sz w:val="20"/>
          <w:szCs w:val="20"/>
          <w:color w:val="auto"/>
        </w:rPr>
      </w:pPr>
    </w:p>
    <w:p>
      <w:pPr>
        <w:ind w:left="3332" w:right="1220" w:hanging="652"/>
        <w:spacing w:after="0" w:line="266" w:lineRule="auto"/>
        <w:tabs>
          <w:tab w:leader="none" w:pos="3163" w:val="left"/>
        </w:tabs>
        <w:numPr>
          <w:ilvl w:val="0"/>
          <w:numId w:val="239"/>
        </w:numPr>
        <w:rPr>
          <w:rFonts w:ascii="Arial" w:cs="Arial" w:eastAsia="Arial" w:hAnsi="Arial"/>
          <w:sz w:val="20"/>
          <w:szCs w:val="20"/>
          <w:color w:val="auto"/>
        </w:rPr>
      </w:pPr>
      <w:r>
        <w:rPr>
          <w:rFonts w:ascii="Arial" w:cs="Arial" w:eastAsia="Arial" w:hAnsi="Arial"/>
          <w:sz w:val="18"/>
          <w:szCs w:val="18"/>
          <w:color w:val="auto"/>
        </w:rPr>
        <w:t>any after-tax gains or losses attributable to Asset Sales or returned surplus assets of any $ Pension Plan</w:t>
      </w:r>
    </w:p>
    <w:p>
      <w:pPr>
        <w:spacing w:after="0" w:line="98" w:lineRule="exact"/>
        <w:rPr>
          <w:rFonts w:ascii="Arial" w:cs="Arial" w:eastAsia="Arial" w:hAnsi="Arial"/>
          <w:sz w:val="20"/>
          <w:szCs w:val="20"/>
          <w:color w:val="auto"/>
        </w:rPr>
      </w:pPr>
    </w:p>
    <w:p>
      <w:pPr>
        <w:ind w:left="3332" w:right="1220" w:hanging="652"/>
        <w:spacing w:after="0" w:line="224" w:lineRule="auto"/>
        <w:tabs>
          <w:tab w:leader="none" w:pos="3056" w:val="left"/>
        </w:tabs>
        <w:numPr>
          <w:ilvl w:val="0"/>
          <w:numId w:val="239"/>
        </w:numPr>
        <w:rPr>
          <w:rFonts w:ascii="Arial" w:cs="Arial" w:eastAsia="Arial" w:hAnsi="Arial"/>
          <w:sz w:val="20"/>
          <w:szCs w:val="20"/>
          <w:color w:val="auto"/>
        </w:rPr>
      </w:pPr>
      <w:r>
        <w:rPr>
          <w:rFonts w:ascii="Arial" w:cs="Arial" w:eastAsia="Arial" w:hAnsi="Arial"/>
          <w:sz w:val="18"/>
          <w:szCs w:val="18"/>
          <w:color w:val="auto"/>
        </w:rPr>
        <w:t xml:space="preserve">to the extent not included in clauses (a) through (k) above any net extraordinary gains or net </w:t>
      </w:r>
      <w:r>
        <w:rPr>
          <w:rFonts w:ascii="Arial" w:cs="Arial" w:eastAsia="Arial" w:hAnsi="Arial"/>
          <w:sz w:val="35"/>
          <w:szCs w:val="35"/>
          <w:color w:val="auto"/>
          <w:vertAlign w:val="subscript"/>
        </w:rPr>
        <w:t>$</w:t>
      </w:r>
      <w:r>
        <w:rPr>
          <w:rFonts w:ascii="Arial" w:cs="Arial" w:eastAsia="Arial" w:hAnsi="Arial"/>
          <w:sz w:val="18"/>
          <w:szCs w:val="18"/>
          <w:color w:val="auto"/>
        </w:rPr>
        <w:t xml:space="preserve"> extraordinary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-1078230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-623570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-100965</wp:posOffset>
            </wp:positionV>
            <wp:extent cx="85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35" w:lineRule="exact"/>
        <w:rPr>
          <w:sz w:val="20"/>
          <w:szCs w:val="20"/>
          <w:color w:val="auto"/>
        </w:rPr>
      </w:pPr>
    </w:p>
    <w:p>
      <w:pPr>
        <w:ind w:left="1172"/>
        <w:spacing w:after="0"/>
        <w:tabs>
          <w:tab w:leader="none" w:pos="2652" w:val="left"/>
          <w:tab w:leader="none" w:pos="9732"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Consolidated Net Income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-23495</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892" w:hanging="372"/>
        <w:spacing w:after="0"/>
        <w:tabs>
          <w:tab w:leader="none" w:pos="892" w:val="left"/>
        </w:tabs>
        <w:numPr>
          <w:ilvl w:val="0"/>
          <w:numId w:val="240"/>
        </w:numPr>
        <w:rPr>
          <w:rFonts w:ascii="Arial" w:cs="Arial" w:eastAsia="Arial" w:hAnsi="Arial"/>
          <w:sz w:val="20"/>
          <w:szCs w:val="20"/>
          <w:color w:val="auto"/>
        </w:rPr>
      </w:pPr>
      <w:r>
        <w:rPr>
          <w:rFonts w:ascii="Arial" w:cs="Arial" w:eastAsia="Arial" w:hAnsi="Arial"/>
          <w:sz w:val="18"/>
          <w:szCs w:val="18"/>
          <w:u w:val="single" w:color="auto"/>
          <w:color w:val="auto"/>
        </w:rPr>
        <w:t>Consolidated EBITDAR</w:t>
      </w:r>
      <w:r>
        <w:rPr>
          <w:rFonts w:ascii="Arial" w:cs="Arial" w:eastAsia="Arial" w:hAnsi="Arial"/>
          <w:sz w:val="25"/>
          <w:szCs w:val="25"/>
          <w:u w:val="single" w:color="auto"/>
          <w:color w:val="auto"/>
          <w:vertAlign w:val="superscript"/>
        </w:rPr>
        <w:t>3</w:t>
      </w:r>
    </w:p>
    <w:p>
      <w:pPr>
        <w:spacing w:after="0" w:line="209" w:lineRule="exact"/>
        <w:rPr>
          <w:sz w:val="20"/>
          <w:szCs w:val="20"/>
          <w:color w:val="auto"/>
        </w:rPr>
      </w:pPr>
    </w:p>
    <w:p>
      <w:pPr>
        <w:ind w:left="1172"/>
        <w:spacing w:after="0"/>
        <w:tabs>
          <w:tab w:leader="none" w:pos="2652" w:val="left"/>
          <w:tab w:leader="none" w:pos="9732"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 xml:space="preserve">for any period, Consolidated Net Income (Line I.C.2.) for such Measurement Period </w:t>
      </w:r>
      <w:r>
        <w:rPr>
          <w:rFonts w:ascii="Arial" w:cs="Arial" w:eastAsia="Arial" w:hAnsi="Arial"/>
          <w:sz w:val="18"/>
          <w:szCs w:val="18"/>
          <w:u w:val="single" w:color="auto"/>
          <w:color w:val="auto"/>
        </w:rPr>
        <w:t>plus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-23495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50" w:lineRule="exact"/>
        <w:rPr>
          <w:sz w:val="20"/>
          <w:szCs w:val="20"/>
          <w:color w:val="auto"/>
        </w:rPr>
      </w:pPr>
    </w:p>
    <w:p>
      <w:pPr>
        <w:ind w:left="2672" w:right="1380" w:hanging="1499"/>
        <w:spacing w:after="0" w:line="279" w:lineRule="auto"/>
        <w:tabs>
          <w:tab w:leader="none" w:pos="2652"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7"/>
          <w:szCs w:val="17"/>
          <w:color w:val="auto"/>
        </w:rPr>
        <w:t>the following (without duplication) to the extent deducted (other than clause (g) below) in calculating such Consolidated Net Income (and not added back in the definition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545465</wp:posOffset>
            </wp:positionV>
            <wp:extent cx="1208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 w:firstLine="8"/>
        <w:spacing w:after="0" w:line="232" w:lineRule="auto"/>
        <w:tabs>
          <w:tab w:leader="none" w:pos="100" w:val="left"/>
        </w:tabs>
        <w:numPr>
          <w:ilvl w:val="0"/>
          <w:numId w:val="241"/>
        </w:numPr>
        <w:rPr>
          <w:rFonts w:ascii="Arial" w:cs="Arial" w:eastAsia="Arial" w:hAnsi="Arial"/>
          <w:sz w:val="25"/>
          <w:szCs w:val="25"/>
          <w:color w:val="auto"/>
          <w:vertAlign w:val="superscript"/>
        </w:rPr>
      </w:pPr>
      <w:r>
        <w:rPr>
          <w:rFonts w:ascii="Arial" w:cs="Arial" w:eastAsia="Arial" w:hAnsi="Arial"/>
          <w:sz w:val="18"/>
          <w:szCs w:val="18"/>
          <w:color w:val="auto"/>
        </w:rPr>
        <w:t>Consolidated EBITDAR shall be calculated on a Pro forma Basis to give effect to any Specified Transaction (other than any Permitted Acquisitions involving the payment of Acquisition Consideration of less than $1,000,000) consummated at any time on or after the first day of the relevant Test Period and on or prior to the calculation date as if each Permitted Acquisition had been effected on the first day of such period and as if each such Asset Sale had been consummated on the day prior to the first day of such period.</w:t>
      </w:r>
    </w:p>
    <w:p>
      <w:pPr>
        <w:sectPr>
          <w:pgSz w:w="11900" w:h="16838" w:orient="portrait"/>
          <w:cols w:equalWidth="0" w:num="1">
            <w:col w:w="11072"/>
          </w:cols>
          <w:pgMar w:left="328" w:top="501" w:right="499" w:bottom="439"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Ex. D, Schedule 2-4</w:t>
      </w:r>
    </w:p>
    <w:p>
      <w:pPr>
        <w:sectPr>
          <w:pgSz w:w="11900" w:h="16838" w:orient="portrait"/>
          <w:cols w:equalWidth="0" w:num="1">
            <w:col w:w="11072"/>
          </w:cols>
          <w:pgMar w:left="328" w:top="501" w:right="499" w:bottom="439" w:gutter="0" w:footer="0" w:header="0"/>
          <w:type w:val="continuous"/>
        </w:sectPr>
      </w:pPr>
    </w:p>
    <w:bookmarkStart w:id="228" w:name="page229"/>
    <w:bookmarkEnd w:id="228"/>
    <w:p>
      <w:pPr>
        <w:ind w:left="1560"/>
        <w:spacing w:after="0"/>
        <w:tabs>
          <w:tab w:leader="none" w:pos="1940" w:val="left"/>
          <w:tab w:leader="none" w:pos="86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total interest expense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-23495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52" w:lineRule="exact"/>
        <w:rPr>
          <w:sz w:val="20"/>
          <w:szCs w:val="20"/>
          <w:color w:val="auto"/>
        </w:rPr>
      </w:pPr>
    </w:p>
    <w:p>
      <w:pPr>
        <w:ind w:left="2220" w:right="279" w:hanging="652"/>
        <w:spacing w:after="0" w:line="257" w:lineRule="auto"/>
        <w:tabs>
          <w:tab w:leader="none" w:pos="2078" w:val="left"/>
        </w:tabs>
        <w:numPr>
          <w:ilvl w:val="0"/>
          <w:numId w:val="242"/>
        </w:numPr>
        <w:rPr>
          <w:rFonts w:ascii="Arial" w:cs="Arial" w:eastAsia="Arial" w:hAnsi="Arial"/>
          <w:sz w:val="20"/>
          <w:szCs w:val="20"/>
          <w:color w:val="auto"/>
        </w:rPr>
      </w:pPr>
      <w:r>
        <w:rPr>
          <w:rFonts w:ascii="Arial" w:cs="Arial" w:eastAsia="Arial" w:hAnsi="Arial"/>
          <w:sz w:val="18"/>
          <w:szCs w:val="18"/>
          <w:color w:val="auto"/>
        </w:rPr>
        <w:t>provisions for taxes (including any taxes actually paid and franchise taxes) of the U.S. $ Borrower and its Restricted Subsidiaries based upon income as reflected in the provision for income taxes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-316865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84" w:lineRule="exact"/>
        <w:rPr>
          <w:sz w:val="20"/>
          <w:szCs w:val="20"/>
          <w:color w:val="auto"/>
        </w:rPr>
      </w:pPr>
    </w:p>
    <w:p>
      <w:pPr>
        <w:jc w:val="both"/>
        <w:ind w:left="2220" w:right="439"/>
        <w:spacing w:after="0" w:line="263" w:lineRule="auto"/>
        <w:rPr>
          <w:sz w:val="20"/>
          <w:szCs w:val="20"/>
          <w:color w:val="auto"/>
        </w:rPr>
      </w:pPr>
      <w:r>
        <w:rPr>
          <w:rFonts w:ascii="Arial" w:cs="Arial" w:eastAsia="Arial" w:hAnsi="Arial"/>
          <w:sz w:val="18"/>
          <w:szCs w:val="18"/>
          <w:color w:val="auto"/>
        </w:rPr>
        <w:t>Borrower’s (or, if so delivered pursuant to Section 6.01 of the Credit Agreement, Holdings’) consolidated financial statements, subject to adjustments necessary to eliminate the accounts of Unrestricted</w:t>
      </w:r>
    </w:p>
    <w:p>
      <w:pPr>
        <w:spacing w:after="0" w:line="400"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Subsidiaries (if any)</w:t>
      </w:r>
    </w:p>
    <w:p>
      <w:pPr>
        <w:spacing w:after="0" w:line="279" w:lineRule="exact"/>
        <w:rPr>
          <w:sz w:val="20"/>
          <w:szCs w:val="20"/>
          <w:color w:val="auto"/>
        </w:rPr>
      </w:pPr>
    </w:p>
    <w:p>
      <w:pPr>
        <w:ind w:left="1960" w:hanging="392"/>
        <w:spacing w:after="0"/>
        <w:tabs>
          <w:tab w:leader="none" w:pos="1960" w:val="left"/>
        </w:tabs>
        <w:numPr>
          <w:ilvl w:val="0"/>
          <w:numId w:val="243"/>
        </w:numPr>
        <w:rPr>
          <w:rFonts w:ascii="Arial" w:cs="Arial" w:eastAsia="Arial" w:hAnsi="Arial"/>
          <w:sz w:val="18"/>
          <w:szCs w:val="18"/>
          <w:color w:val="auto"/>
        </w:rPr>
      </w:pPr>
      <w:r>
        <w:rPr>
          <w:rFonts w:ascii="Arial" w:cs="Arial" w:eastAsia="Arial" w:hAnsi="Arial"/>
          <w:sz w:val="16"/>
          <w:szCs w:val="16"/>
          <w:color w:val="auto"/>
        </w:rPr>
        <w:t>depreciation and amortization expense of the U.S. Borrower and its Restricted Subsidiaries  $</w:t>
      </w:r>
    </w:p>
    <w:p>
      <w:pPr>
        <w:spacing w:after="0" w:line="292" w:lineRule="exact"/>
        <w:rPr>
          <w:rFonts w:ascii="Arial" w:cs="Arial" w:eastAsia="Arial" w:hAnsi="Arial"/>
          <w:sz w:val="18"/>
          <w:szCs w:val="18"/>
          <w:color w:val="auto"/>
        </w:rPr>
      </w:pPr>
    </w:p>
    <w:p>
      <w:pPr>
        <w:ind w:left="2220" w:right="279" w:hanging="652"/>
        <w:spacing w:after="0" w:line="255" w:lineRule="auto"/>
        <w:tabs>
          <w:tab w:leader="none" w:pos="2137" w:val="left"/>
        </w:tabs>
        <w:numPr>
          <w:ilvl w:val="0"/>
          <w:numId w:val="243"/>
        </w:numPr>
        <w:rPr>
          <w:rFonts w:ascii="Arial" w:cs="Arial" w:eastAsia="Arial" w:hAnsi="Arial"/>
          <w:sz w:val="20"/>
          <w:szCs w:val="20"/>
          <w:color w:val="auto"/>
        </w:rPr>
      </w:pPr>
      <w:r>
        <w:rPr>
          <w:rFonts w:ascii="Arial" w:cs="Arial" w:eastAsia="Arial" w:hAnsi="Arial"/>
          <w:sz w:val="18"/>
          <w:szCs w:val="18"/>
          <w:color w:val="auto"/>
        </w:rPr>
        <w:t>non-cash charges and expenses of the U.S. Borrower and its Restricted Subsidiaries $ (including any non-cash charges resulting from purchase accounting, but excluding any such charge or expense that constitutes an accrual of or a reserve for potential cash charges for any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-770255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-452755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8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period or amortization of a prepaid cash item that was paid in a prior period)</w:t>
      </w:r>
    </w:p>
    <w:p>
      <w:pPr>
        <w:spacing w:after="0" w:line="279" w:lineRule="exact"/>
        <w:rPr>
          <w:sz w:val="20"/>
          <w:szCs w:val="20"/>
          <w:color w:val="auto"/>
        </w:rPr>
      </w:pPr>
    </w:p>
    <w:p>
      <w:pPr>
        <w:ind w:left="2220" w:right="279" w:hanging="652"/>
        <w:spacing w:after="0" w:line="266" w:lineRule="auto"/>
        <w:tabs>
          <w:tab w:leader="none" w:pos="1979" w:val="left"/>
        </w:tabs>
        <w:numPr>
          <w:ilvl w:val="0"/>
          <w:numId w:val="244"/>
        </w:numPr>
        <w:rPr>
          <w:rFonts w:ascii="Arial" w:cs="Arial" w:eastAsia="Arial" w:hAnsi="Arial"/>
          <w:sz w:val="20"/>
          <w:szCs w:val="20"/>
          <w:color w:val="auto"/>
        </w:rPr>
      </w:pPr>
      <w:r>
        <w:rPr>
          <w:rFonts w:ascii="Arial" w:cs="Arial" w:eastAsia="Arial" w:hAnsi="Arial"/>
          <w:sz w:val="18"/>
          <w:szCs w:val="18"/>
          <w:color w:val="auto"/>
        </w:rPr>
        <w:t xml:space="preserve">expenses incurred in connection with any Investment made pursuant to </w:t>
      </w:r>
      <w:r>
        <w:rPr>
          <w:rFonts w:ascii="Arial" w:cs="Arial" w:eastAsia="Arial" w:hAnsi="Arial"/>
          <w:sz w:val="18"/>
          <w:szCs w:val="18"/>
          <w:u w:val="single" w:color="auto"/>
          <w:color w:val="auto"/>
        </w:rPr>
        <w:t>Section 7.02(f), (g),</w:t>
      </w:r>
      <w:r>
        <w:rPr>
          <w:rFonts w:ascii="Arial" w:cs="Arial" w:eastAsia="Arial" w:hAnsi="Arial"/>
          <w:sz w:val="18"/>
          <w:szCs w:val="18"/>
          <w:color w:val="auto"/>
        </w:rPr>
        <w:t xml:space="preserve"> $ </w:t>
      </w:r>
      <w:r>
        <w:rPr>
          <w:rFonts w:ascii="Arial" w:cs="Arial" w:eastAsia="Arial" w:hAnsi="Arial"/>
          <w:sz w:val="18"/>
          <w:szCs w:val="18"/>
          <w:u w:val="single" w:color="auto"/>
          <w:color w:val="auto"/>
        </w:rPr>
        <w:t>(h), (i), (n), (o), (r), or (y)</w:t>
      </w:r>
      <w:r>
        <w:rPr>
          <w:rFonts w:ascii="Arial" w:cs="Arial" w:eastAsia="Arial" w:hAnsi="Arial"/>
          <w:sz w:val="18"/>
          <w:szCs w:val="18"/>
          <w:color w:val="auto"/>
        </w:rPr>
        <w:t xml:space="preserve"> of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-186055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Agreement or under the Third Amended and Restated Credit</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Agreement, any issuance of Disqualified Capital Stock, any Debt</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Issuance or any issuance of Equity Interests of Holdings, U.S.</w:t>
      </w:r>
    </w:p>
    <w:p>
      <w:pPr>
        <w:spacing w:after="0" w:line="200" w:lineRule="exact"/>
        <w:rPr>
          <w:sz w:val="20"/>
          <w:szCs w:val="20"/>
          <w:color w:val="auto"/>
        </w:rPr>
      </w:pPr>
    </w:p>
    <w:p>
      <w:pPr>
        <w:spacing w:after="0" w:line="241" w:lineRule="exact"/>
        <w:rPr>
          <w:sz w:val="20"/>
          <w:szCs w:val="20"/>
          <w:color w:val="auto"/>
        </w:rPr>
      </w:pPr>
    </w:p>
    <w:p>
      <w:pPr>
        <w:ind w:left="2220" w:right="439"/>
        <w:spacing w:after="0" w:line="277" w:lineRule="auto"/>
        <w:rPr>
          <w:sz w:val="20"/>
          <w:szCs w:val="20"/>
          <w:color w:val="auto"/>
        </w:rPr>
      </w:pPr>
      <w:r>
        <w:rPr>
          <w:rFonts w:ascii="Arial" w:cs="Arial" w:eastAsia="Arial" w:hAnsi="Arial"/>
          <w:sz w:val="18"/>
          <w:szCs w:val="18"/>
          <w:color w:val="auto"/>
        </w:rPr>
        <w:t>Borrower and its Restricted Subsidiaries (in each case, whether or not consummated), or early extinguishment of Indebtedness</w:t>
      </w:r>
    </w:p>
    <w:p>
      <w:pPr>
        <w:spacing w:after="0" w:line="222" w:lineRule="exact"/>
        <w:rPr>
          <w:sz w:val="20"/>
          <w:szCs w:val="20"/>
          <w:color w:val="auto"/>
        </w:rPr>
      </w:pPr>
    </w:p>
    <w:p>
      <w:pPr>
        <w:ind w:left="1560"/>
        <w:spacing w:after="0"/>
        <w:tabs>
          <w:tab w:leader="none" w:pos="1920" w:val="left"/>
          <w:tab w:leader="none" w:pos="862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8"/>
          <w:szCs w:val="18"/>
          <w:color w:val="auto"/>
        </w:rPr>
        <w:t>to the extent actually reimbursed, expenses incurred to the extent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-23495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220" w:right="439"/>
        <w:spacing w:after="0" w:line="277" w:lineRule="auto"/>
        <w:rPr>
          <w:sz w:val="20"/>
          <w:szCs w:val="20"/>
          <w:color w:val="auto"/>
        </w:rPr>
      </w:pPr>
      <w:r>
        <w:rPr>
          <w:rFonts w:ascii="Arial" w:cs="Arial" w:eastAsia="Arial" w:hAnsi="Arial"/>
          <w:sz w:val="18"/>
          <w:szCs w:val="18"/>
          <w:color w:val="auto"/>
        </w:rPr>
        <w:t>covered by indemnification provisions in any agreement in connection with a Permitted Acquisition</w:t>
      </w:r>
    </w:p>
    <w:p>
      <w:pPr>
        <w:spacing w:after="0" w:line="224" w:lineRule="exact"/>
        <w:rPr>
          <w:sz w:val="20"/>
          <w:szCs w:val="20"/>
          <w:color w:val="auto"/>
        </w:rPr>
      </w:pPr>
    </w:p>
    <w:p>
      <w:pPr>
        <w:ind w:left="2220" w:right="279" w:hanging="652"/>
        <w:spacing w:after="0" w:line="257" w:lineRule="auto"/>
        <w:tabs>
          <w:tab w:leader="none" w:pos="2018" w:val="left"/>
        </w:tabs>
        <w:numPr>
          <w:ilvl w:val="0"/>
          <w:numId w:val="245"/>
        </w:numPr>
        <w:rPr>
          <w:rFonts w:ascii="Arial" w:cs="Arial" w:eastAsia="Arial" w:hAnsi="Arial"/>
          <w:sz w:val="20"/>
          <w:szCs w:val="20"/>
          <w:color w:val="auto"/>
        </w:rPr>
      </w:pPr>
      <w:r>
        <w:rPr>
          <w:rFonts w:ascii="Arial" w:cs="Arial" w:eastAsia="Arial" w:hAnsi="Arial"/>
          <w:sz w:val="18"/>
          <w:szCs w:val="18"/>
          <w:color w:val="auto"/>
        </w:rPr>
        <w:t>to the extent covered by insurance under which the insurer has been properly notified and $ has not denied or contested coverage, expenses with respect to liability or casualty events or proceeds from business interruption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-316865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2" w:lineRule="exact"/>
        <w:rPr>
          <w:sz w:val="20"/>
          <w:szCs w:val="20"/>
          <w:color w:val="auto"/>
        </w:rPr>
      </w:pPr>
    </w:p>
    <w:tbl>
      <w:tblPr>
        <w:tblLayout w:type="fixed"/>
        <w:tblInd w:w="1560" w:type="dxa"/>
        <w:tblCellMar>
          <w:top w:w="0" w:type="dxa"/>
          <w:left w:w="0" w:type="dxa"/>
          <w:bottom w:w="0" w:type="dxa"/>
          <w:right w:w="0" w:type="dxa"/>
        </w:tblCellMar>
      </w:tblPr>
      <w:tr>
        <w:trPr>
          <w:trHeight w:val="250"/>
        </w:trPr>
        <w:tc>
          <w:tcPr>
            <w:tcW w:w="7000" w:type="dxa"/>
            <w:vAlign w:val="bottom"/>
            <w:gridSpan w:val="10"/>
          </w:tcPr>
          <w:p>
            <w:pPr>
              <w:spacing w:after="0"/>
              <w:rPr>
                <w:sz w:val="20"/>
                <w:szCs w:val="20"/>
                <w:color w:val="auto"/>
              </w:rPr>
            </w:pPr>
            <w:r>
              <w:rPr>
                <w:rFonts w:ascii="Arial" w:cs="Arial" w:eastAsia="Arial" w:hAnsi="Arial"/>
                <w:sz w:val="20"/>
                <w:szCs w:val="20"/>
                <w:color w:val="auto"/>
                <w:w w:val="98"/>
              </w:rPr>
              <w:t xml:space="preserve">(h)  </w:t>
            </w:r>
            <w:r>
              <w:rPr>
                <w:rFonts w:ascii="Arial" w:cs="Arial" w:eastAsia="Arial" w:hAnsi="Arial"/>
                <w:sz w:val="17"/>
                <w:szCs w:val="17"/>
                <w:color w:val="auto"/>
                <w:w w:val="98"/>
              </w:rPr>
              <w:t>non-recurring or unusual cash or non-cash costs, charges and expenses during such four</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660" w:type="dxa"/>
            <w:vAlign w:val="bottom"/>
          </w:tcPr>
          <w:p>
            <w:pPr>
              <w:spacing w:after="0"/>
              <w:rPr>
                <w:sz w:val="20"/>
                <w:szCs w:val="20"/>
                <w:color w:val="auto"/>
              </w:rPr>
            </w:pPr>
          </w:p>
        </w:tc>
        <w:tc>
          <w:tcPr>
            <w:tcW w:w="6340" w:type="dxa"/>
            <w:vAlign w:val="bottom"/>
            <w:gridSpan w:val="9"/>
          </w:tcPr>
          <w:p>
            <w:pPr>
              <w:spacing w:after="0"/>
              <w:rPr>
                <w:sz w:val="20"/>
                <w:szCs w:val="20"/>
                <w:color w:val="auto"/>
              </w:rPr>
            </w:pPr>
            <w:r>
              <w:rPr>
                <w:rFonts w:ascii="Arial" w:cs="Arial" w:eastAsia="Arial" w:hAnsi="Arial"/>
                <w:sz w:val="18"/>
                <w:szCs w:val="18"/>
                <w:color w:val="auto"/>
                <w:w w:val="91"/>
              </w:rPr>
              <w:t>quarter period in an aggregate amount not to exceed the greater of (A) $35,000,000 (or</w:t>
            </w: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340" w:type="dxa"/>
            <w:vAlign w:val="bottom"/>
            <w:gridSpan w:val="9"/>
          </w:tcPr>
          <w:p>
            <w:pPr>
              <w:spacing w:after="0"/>
              <w:rPr>
                <w:sz w:val="20"/>
                <w:szCs w:val="20"/>
                <w:color w:val="auto"/>
              </w:rPr>
            </w:pPr>
            <w:r>
              <w:rPr>
                <w:rFonts w:ascii="Arial" w:cs="Arial" w:eastAsia="Arial" w:hAnsi="Arial"/>
                <w:sz w:val="18"/>
                <w:szCs w:val="18"/>
                <w:color w:val="auto"/>
                <w:w w:val="93"/>
              </w:rPr>
              <w:t>for any Test Period ending on or prior to the last day of the third fiscal quarter of fiscal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gridSpan w:val="9"/>
          </w:tcPr>
          <w:p>
            <w:pPr>
              <w:spacing w:after="0"/>
              <w:rPr>
                <w:sz w:val="20"/>
                <w:szCs w:val="20"/>
                <w:color w:val="auto"/>
              </w:rPr>
            </w:pPr>
            <w:r>
              <w:rPr>
                <w:rFonts w:ascii="Arial" w:cs="Arial" w:eastAsia="Arial" w:hAnsi="Arial"/>
                <w:sz w:val="18"/>
                <w:szCs w:val="18"/>
                <w:color w:val="auto"/>
                <w:w w:val="95"/>
              </w:rPr>
              <w:t>year 2021, $60,000,000) and (B) 5% of Consolidated EBITDAR calculated (without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660" w:type="dxa"/>
            <w:vAlign w:val="bottom"/>
          </w:tcPr>
          <w:p>
            <w:pPr>
              <w:spacing w:after="0"/>
              <w:rPr>
                <w:sz w:val="16"/>
                <w:szCs w:val="16"/>
                <w:color w:val="auto"/>
              </w:rPr>
            </w:pPr>
          </w:p>
        </w:tc>
        <w:tc>
          <w:tcPr>
            <w:tcW w:w="6340" w:type="dxa"/>
            <w:vAlign w:val="bottom"/>
            <w:gridSpan w:val="9"/>
          </w:tcPr>
          <w:p>
            <w:pPr>
              <w:spacing w:after="0" w:line="190" w:lineRule="exact"/>
              <w:rPr>
                <w:sz w:val="20"/>
                <w:szCs w:val="20"/>
                <w:color w:val="auto"/>
              </w:rPr>
            </w:pPr>
            <w:r>
              <w:rPr>
                <w:rFonts w:ascii="Arial" w:cs="Arial" w:eastAsia="Arial" w:hAnsi="Arial"/>
                <w:sz w:val="18"/>
                <w:szCs w:val="18"/>
                <w:color w:val="auto"/>
                <w:w w:val="92"/>
              </w:rPr>
              <w:t>giving effect to this clause (h)) on a Pro forma Basis for the Measurement Period most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340" w:type="dxa"/>
            <w:vAlign w:val="bottom"/>
            <w:gridSpan w:val="9"/>
          </w:tcPr>
          <w:p>
            <w:pPr>
              <w:spacing w:after="0" w:line="196" w:lineRule="exact"/>
              <w:rPr>
                <w:sz w:val="20"/>
                <w:szCs w:val="20"/>
                <w:color w:val="auto"/>
              </w:rPr>
            </w:pPr>
            <w:r>
              <w:rPr>
                <w:rFonts w:ascii="Arial" w:cs="Arial" w:eastAsia="Arial" w:hAnsi="Arial"/>
                <w:sz w:val="18"/>
                <w:szCs w:val="18"/>
                <w:color w:val="auto"/>
                <w:w w:val="92"/>
              </w:rPr>
              <w:t>recently ended for which financial statements have been delivered pursuant to Section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640" w:type="dxa"/>
            <w:vAlign w:val="bottom"/>
            <w:gridSpan w:val="7"/>
          </w:tcPr>
          <w:p>
            <w:pPr>
              <w:spacing w:after="0" w:line="196"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01</w:t>
            </w:r>
            <w:r>
              <w:rPr>
                <w:rFonts w:ascii="Arial" w:cs="Arial" w:eastAsia="Arial" w:hAnsi="Arial"/>
                <w:sz w:val="18"/>
                <w:szCs w:val="18"/>
                <w:color w:val="auto"/>
              </w:rPr>
              <w:t xml:space="preserve"> of the Credit Agreement</w:t>
            </w: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6"/>
        </w:trPr>
        <w:tc>
          <w:tcPr>
            <w:tcW w:w="7000" w:type="dxa"/>
            <w:vAlign w:val="bottom"/>
            <w:gridSpan w:val="10"/>
          </w:tcPr>
          <w:p>
            <w:pPr>
              <w:spacing w:after="0"/>
              <w:rPr>
                <w:sz w:val="20"/>
                <w:szCs w:val="20"/>
                <w:color w:val="auto"/>
              </w:rPr>
            </w:pPr>
            <w:r>
              <w:rPr>
                <w:rFonts w:ascii="Arial" w:cs="Arial" w:eastAsia="Arial" w:hAnsi="Arial"/>
                <w:sz w:val="20"/>
                <w:szCs w:val="20"/>
                <w:color w:val="auto"/>
              </w:rPr>
              <w:t xml:space="preserve">(i)  </w:t>
            </w:r>
            <w:r>
              <w:rPr>
                <w:rFonts w:ascii="Arial" w:cs="Arial" w:eastAsia="Arial" w:hAnsi="Arial"/>
                <w:sz w:val="17"/>
                <w:szCs w:val="17"/>
                <w:color w:val="auto"/>
              </w:rPr>
              <w:t>fees and expenses in connection with refinancing permitted by</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642"/>
        </w:trPr>
        <w:tc>
          <w:tcPr>
            <w:tcW w:w="660" w:type="dxa"/>
            <w:vAlign w:val="bottom"/>
          </w:tcPr>
          <w:p>
            <w:pPr>
              <w:spacing w:after="0"/>
              <w:rPr>
                <w:sz w:val="24"/>
                <w:szCs w:val="24"/>
                <w:color w:val="auto"/>
              </w:rPr>
            </w:pPr>
          </w:p>
        </w:tc>
        <w:tc>
          <w:tcPr>
            <w:tcW w:w="6340" w:type="dxa"/>
            <w:vAlign w:val="bottom"/>
            <w:gridSpan w:val="9"/>
          </w:tcPr>
          <w:p>
            <w:pPr>
              <w:spacing w:after="0"/>
              <w:rPr>
                <w:sz w:val="20"/>
                <w:szCs w:val="20"/>
                <w:color w:val="auto"/>
              </w:rPr>
            </w:pPr>
            <w:r>
              <w:rPr>
                <w:rFonts w:ascii="Arial" w:cs="Arial" w:eastAsia="Arial" w:hAnsi="Arial"/>
                <w:sz w:val="18"/>
                <w:szCs w:val="18"/>
                <w:color w:val="auto"/>
              </w:rPr>
              <w:t>Sections 7.03 and 7.15 of the Credit Agreement</w:t>
            </w: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1" w:right="1440" w:bottom="7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D, Schedule 2-5</w:t>
      </w:r>
    </w:p>
    <w:p>
      <w:pPr>
        <w:sectPr>
          <w:pgSz w:w="11900" w:h="16838" w:orient="portrait"/>
          <w:cols w:equalWidth="0" w:num="1">
            <w:col w:w="9019"/>
          </w:cols>
          <w:pgMar w:left="1440" w:top="501" w:right="1440" w:bottom="750" w:gutter="0" w:footer="0" w:header="0"/>
          <w:type w:val="continuous"/>
        </w:sectPr>
      </w:pPr>
    </w:p>
    <w:bookmarkStart w:id="229" w:name="page230"/>
    <w:bookmarkEnd w:id="229"/>
    <w:tbl>
      <w:tblPr>
        <w:tblLayout w:type="fixed"/>
        <w:tblInd w:w="2672" w:type="dxa"/>
        <w:tblCellMar>
          <w:top w:w="0" w:type="dxa"/>
          <w:left w:w="0" w:type="dxa"/>
          <w:bottom w:w="0" w:type="dxa"/>
          <w:right w:w="0" w:type="dxa"/>
        </w:tblCellMar>
      </w:tblPr>
      <w:tr>
        <w:trPr>
          <w:trHeight w:val="250"/>
        </w:trPr>
        <w:tc>
          <w:tcPr>
            <w:tcW w:w="280" w:type="dxa"/>
            <w:vAlign w:val="bottom"/>
          </w:tcPr>
          <w:p>
            <w:pPr>
              <w:spacing w:after="0"/>
              <w:rPr>
                <w:sz w:val="20"/>
                <w:szCs w:val="20"/>
                <w:color w:val="auto"/>
              </w:rPr>
            </w:pPr>
            <w:r>
              <w:rPr>
                <w:rFonts w:ascii="Arial" w:cs="Arial" w:eastAsia="Arial" w:hAnsi="Arial"/>
                <w:sz w:val="20"/>
                <w:szCs w:val="20"/>
                <w:color w:val="auto"/>
              </w:rPr>
              <w:t>(j)</w:t>
            </w:r>
          </w:p>
        </w:tc>
        <w:tc>
          <w:tcPr>
            <w:tcW w:w="6180" w:type="dxa"/>
            <w:vAlign w:val="bottom"/>
            <w:gridSpan w:val="3"/>
          </w:tcPr>
          <w:p>
            <w:pPr>
              <w:ind w:left="100"/>
              <w:spacing w:after="0"/>
              <w:rPr>
                <w:sz w:val="20"/>
                <w:szCs w:val="20"/>
                <w:color w:val="auto"/>
              </w:rPr>
            </w:pPr>
            <w:r>
              <w:rPr>
                <w:rFonts w:ascii="Arial" w:cs="Arial" w:eastAsia="Arial" w:hAnsi="Arial"/>
                <w:sz w:val="18"/>
                <w:szCs w:val="18"/>
                <w:color w:val="auto"/>
                <w:w w:val="99"/>
              </w:rPr>
              <w:t>unrealized losses (and minus unrealized gains) in respect of Swap Contracts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r>
      <w:tr>
        <w:trPr>
          <w:trHeight w:val="479"/>
        </w:trPr>
        <w:tc>
          <w:tcPr>
            <w:tcW w:w="6460" w:type="dxa"/>
            <w:vAlign w:val="bottom"/>
            <w:gridSpan w:val="4"/>
          </w:tcPr>
          <w:p>
            <w:pPr>
              <w:spacing w:after="0"/>
              <w:rPr>
                <w:sz w:val="20"/>
                <w:szCs w:val="20"/>
                <w:color w:val="auto"/>
              </w:rPr>
            </w:pPr>
            <w:r>
              <w:rPr>
                <w:rFonts w:ascii="Arial" w:cs="Arial" w:eastAsia="Arial" w:hAnsi="Arial"/>
                <w:sz w:val="20"/>
                <w:szCs w:val="20"/>
                <w:color w:val="auto"/>
              </w:rPr>
              <w:t xml:space="preserve">(k)  </w:t>
            </w:r>
            <w:r>
              <w:rPr>
                <w:rFonts w:ascii="Arial" w:cs="Arial" w:eastAsia="Arial" w:hAnsi="Arial"/>
                <w:sz w:val="17"/>
                <w:szCs w:val="17"/>
                <w:color w:val="auto"/>
              </w:rPr>
              <w:t>Fourth Restatement Date Transaction Costs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r>
      <w:tr>
        <w:trPr>
          <w:trHeight w:val="479"/>
        </w:trPr>
        <w:tc>
          <w:tcPr>
            <w:tcW w:w="280" w:type="dxa"/>
            <w:vAlign w:val="bottom"/>
          </w:tcPr>
          <w:p>
            <w:pPr>
              <w:spacing w:after="0"/>
              <w:rPr>
                <w:sz w:val="20"/>
                <w:szCs w:val="20"/>
                <w:color w:val="auto"/>
              </w:rPr>
            </w:pPr>
            <w:r>
              <w:rPr>
                <w:rFonts w:ascii="Arial" w:cs="Arial" w:eastAsia="Arial" w:hAnsi="Arial"/>
                <w:sz w:val="20"/>
                <w:szCs w:val="20"/>
                <w:color w:val="auto"/>
              </w:rPr>
              <w:t>(l)</w:t>
            </w:r>
          </w:p>
        </w:tc>
        <w:tc>
          <w:tcPr>
            <w:tcW w:w="6180" w:type="dxa"/>
            <w:vAlign w:val="bottom"/>
            <w:gridSpan w:val="3"/>
          </w:tcPr>
          <w:p>
            <w:pPr>
              <w:ind w:left="100"/>
              <w:spacing w:after="0"/>
              <w:rPr>
                <w:sz w:val="20"/>
                <w:szCs w:val="20"/>
                <w:color w:val="auto"/>
              </w:rPr>
            </w:pPr>
            <w:r>
              <w:rPr>
                <w:rFonts w:ascii="Arial" w:cs="Arial" w:eastAsia="Arial" w:hAnsi="Arial"/>
                <w:sz w:val="18"/>
                <w:szCs w:val="18"/>
                <w:color w:val="auto"/>
              </w:rPr>
              <w:t>First Amendment Transaction Costs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r>
      <w:tr>
        <w:trPr>
          <w:trHeight w:val="480"/>
        </w:trPr>
        <w:tc>
          <w:tcPr>
            <w:tcW w:w="6460" w:type="dxa"/>
            <w:vAlign w:val="bottom"/>
            <w:gridSpan w:val="4"/>
          </w:tcPr>
          <w:p>
            <w:pPr>
              <w:spacing w:after="0"/>
              <w:rPr>
                <w:sz w:val="20"/>
                <w:szCs w:val="20"/>
                <w:color w:val="auto"/>
              </w:rPr>
            </w:pPr>
            <w:r>
              <w:rPr>
                <w:rFonts w:ascii="Arial" w:cs="Arial" w:eastAsia="Arial" w:hAnsi="Arial"/>
                <w:sz w:val="20"/>
                <w:szCs w:val="20"/>
                <w:color w:val="auto"/>
              </w:rPr>
              <w:t xml:space="preserve">(m)  </w:t>
            </w:r>
            <w:r>
              <w:rPr>
                <w:rFonts w:ascii="Arial" w:cs="Arial" w:eastAsia="Arial" w:hAnsi="Arial"/>
                <w:sz w:val="17"/>
                <w:szCs w:val="17"/>
                <w:color w:val="auto"/>
              </w:rPr>
              <w:t>Second Amendment Transaction Costs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r>
      <w:tr>
        <w:trPr>
          <w:trHeight w:val="479"/>
        </w:trPr>
        <w:tc>
          <w:tcPr>
            <w:tcW w:w="6460" w:type="dxa"/>
            <w:vAlign w:val="bottom"/>
            <w:gridSpan w:val="4"/>
          </w:tcPr>
          <w:p>
            <w:pPr>
              <w:spacing w:after="0"/>
              <w:rPr>
                <w:sz w:val="20"/>
                <w:szCs w:val="20"/>
                <w:color w:val="auto"/>
              </w:rPr>
            </w:pPr>
            <w:r>
              <w:rPr>
                <w:rFonts w:ascii="Arial" w:cs="Arial" w:eastAsia="Arial" w:hAnsi="Arial"/>
                <w:sz w:val="20"/>
                <w:szCs w:val="20"/>
                <w:color w:val="auto"/>
              </w:rPr>
              <w:t xml:space="preserve">(n)  </w:t>
            </w:r>
            <w:r>
              <w:rPr>
                <w:rFonts w:ascii="Arial" w:cs="Arial" w:eastAsia="Arial" w:hAnsi="Arial"/>
                <w:sz w:val="17"/>
                <w:szCs w:val="17"/>
                <w:color w:val="auto"/>
              </w:rPr>
              <w:t>Rent expense minus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7"/>
        </w:trPr>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r>
    </w:tbl>
    <w:p>
      <w:pPr>
        <w:spacing w:after="0" w:line="280" w:lineRule="exact"/>
        <w:rPr>
          <w:sz w:val="20"/>
          <w:szCs w:val="20"/>
          <w:color w:val="auto"/>
        </w:rPr>
      </w:pPr>
    </w:p>
    <w:p>
      <w:pPr>
        <w:jc w:val="both"/>
        <w:ind w:left="2672" w:right="1360" w:hanging="1499"/>
        <w:spacing w:after="0" w:line="250" w:lineRule="auto"/>
        <w:tabs>
          <w:tab w:leader="none" w:pos="2652"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non-cash items increasing such Consolidated Net Income (other than with respect to cash $ actually received in prior periods but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-166370</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1" w:lineRule="exact"/>
        <w:rPr>
          <w:sz w:val="20"/>
          <w:szCs w:val="20"/>
          <w:color w:val="auto"/>
        </w:rPr>
      </w:pPr>
    </w:p>
    <w:tbl>
      <w:tblPr>
        <w:tblLayout w:type="fixed"/>
        <w:tblInd w:w="1172"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7740" w:type="dxa"/>
            <w:vAlign w:val="bottom"/>
            <w:gridSpan w:val="3"/>
          </w:tcPr>
          <w:p>
            <w:pPr>
              <w:ind w:left="680"/>
              <w:spacing w:after="0"/>
              <w:rPr>
                <w:sz w:val="20"/>
                <w:szCs w:val="20"/>
                <w:color w:val="auto"/>
              </w:rPr>
            </w:pPr>
            <w:r>
              <w:rPr>
                <w:rFonts w:ascii="Arial" w:cs="Arial" w:eastAsia="Arial" w:hAnsi="Arial"/>
                <w:sz w:val="18"/>
                <w:szCs w:val="18"/>
                <w:color w:val="auto"/>
              </w:rPr>
              <w:t>recognized as income until the current period and other than with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34"/>
        </w:trPr>
        <w:tc>
          <w:tcPr>
            <w:tcW w:w="820" w:type="dxa"/>
            <w:vAlign w:val="bottom"/>
          </w:tcPr>
          <w:p>
            <w:pPr>
              <w:spacing w:after="0"/>
              <w:rPr>
                <w:sz w:val="24"/>
                <w:szCs w:val="24"/>
                <w:color w:val="auto"/>
              </w:rPr>
            </w:pPr>
          </w:p>
        </w:tc>
        <w:tc>
          <w:tcPr>
            <w:tcW w:w="7740" w:type="dxa"/>
            <w:vAlign w:val="bottom"/>
            <w:gridSpan w:val="3"/>
          </w:tcPr>
          <w:p>
            <w:pPr>
              <w:ind w:left="680"/>
              <w:spacing w:after="0"/>
              <w:rPr>
                <w:sz w:val="20"/>
                <w:szCs w:val="20"/>
                <w:color w:val="auto"/>
              </w:rPr>
            </w:pPr>
            <w:r>
              <w:rPr>
                <w:rFonts w:ascii="Arial" w:cs="Arial" w:eastAsia="Arial" w:hAnsi="Arial"/>
                <w:sz w:val="18"/>
                <w:szCs w:val="18"/>
                <w:color w:val="auto"/>
                <w:w w:val="90"/>
              </w:rPr>
              <w:t>respect to the accrual of revenue or the reversal of any accrual of, or reserve for, anticipated cash</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820" w:type="dxa"/>
            <w:vAlign w:val="bottom"/>
          </w:tcPr>
          <w:p>
            <w:pPr>
              <w:spacing w:after="0"/>
              <w:rPr>
                <w:sz w:val="16"/>
                <w:szCs w:val="16"/>
                <w:color w:val="auto"/>
              </w:rPr>
            </w:pPr>
          </w:p>
        </w:tc>
        <w:tc>
          <w:tcPr>
            <w:tcW w:w="7740" w:type="dxa"/>
            <w:vAlign w:val="bottom"/>
            <w:gridSpan w:val="3"/>
          </w:tcPr>
          <w:p>
            <w:pPr>
              <w:ind w:left="680"/>
              <w:spacing w:after="0" w:line="190" w:lineRule="exact"/>
              <w:rPr>
                <w:sz w:val="20"/>
                <w:szCs w:val="20"/>
                <w:color w:val="auto"/>
              </w:rPr>
            </w:pPr>
            <w:r>
              <w:rPr>
                <w:rFonts w:ascii="Arial" w:cs="Arial" w:eastAsia="Arial" w:hAnsi="Arial"/>
                <w:sz w:val="18"/>
                <w:szCs w:val="18"/>
                <w:color w:val="auto"/>
              </w:rPr>
              <w:t>charges made that reduced Consolidated EBITDAR in any prior period) minus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66"/>
        </w:trPr>
        <w:tc>
          <w:tcPr>
            <w:tcW w:w="820" w:type="dxa"/>
            <w:vAlign w:val="bottom"/>
          </w:tcPr>
          <w:p>
            <w:pPr>
              <w:jc w:val="right"/>
              <w:ind w:right="581"/>
              <w:spacing w:after="0"/>
              <w:rPr>
                <w:sz w:val="20"/>
                <w:szCs w:val="20"/>
                <w:color w:val="auto"/>
              </w:rPr>
            </w:pPr>
            <w:r>
              <w:rPr>
                <w:rFonts w:ascii="Arial" w:cs="Arial" w:eastAsia="Arial" w:hAnsi="Arial"/>
                <w:sz w:val="20"/>
                <w:szCs w:val="20"/>
                <w:color w:val="auto"/>
                <w:w w:val="71"/>
              </w:rPr>
              <w:t>4.</w:t>
            </w:r>
          </w:p>
        </w:tc>
        <w:tc>
          <w:tcPr>
            <w:tcW w:w="5920" w:type="dxa"/>
            <w:vAlign w:val="bottom"/>
          </w:tcPr>
          <w:p>
            <w:pPr>
              <w:ind w:left="680"/>
              <w:spacing w:after="0"/>
              <w:rPr>
                <w:sz w:val="20"/>
                <w:szCs w:val="20"/>
                <w:color w:val="auto"/>
              </w:rPr>
            </w:pPr>
            <w:r>
              <w:rPr>
                <w:rFonts w:ascii="Arial" w:cs="Arial" w:eastAsia="Arial" w:hAnsi="Arial"/>
                <w:sz w:val="18"/>
                <w:szCs w:val="18"/>
                <w:color w:val="auto"/>
              </w:rPr>
              <w:t>Cash interest income for such period</w:t>
            </w:r>
          </w:p>
        </w:tc>
        <w:tc>
          <w:tcPr>
            <w:tcW w:w="44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4"/>
                <w:szCs w:val="24"/>
                <w:color w:val="auto"/>
              </w:rPr>
            </w:pPr>
          </w:p>
        </w:tc>
      </w:tr>
      <w:tr>
        <w:trPr>
          <w:trHeight w:val="655"/>
        </w:trPr>
        <w:tc>
          <w:tcPr>
            <w:tcW w:w="820" w:type="dxa"/>
            <w:vAlign w:val="bottom"/>
          </w:tcPr>
          <w:p>
            <w:pPr>
              <w:jc w:val="right"/>
              <w:ind w:right="581"/>
              <w:spacing w:after="0"/>
              <w:rPr>
                <w:sz w:val="20"/>
                <w:szCs w:val="20"/>
                <w:color w:val="auto"/>
              </w:rPr>
            </w:pPr>
            <w:r>
              <w:rPr>
                <w:rFonts w:ascii="Arial" w:cs="Arial" w:eastAsia="Arial" w:hAnsi="Arial"/>
                <w:sz w:val="20"/>
                <w:szCs w:val="20"/>
                <w:color w:val="auto"/>
                <w:w w:val="71"/>
              </w:rPr>
              <w:t>5.</w:t>
            </w:r>
          </w:p>
        </w:tc>
        <w:tc>
          <w:tcPr>
            <w:tcW w:w="7740" w:type="dxa"/>
            <w:vAlign w:val="bottom"/>
            <w:gridSpan w:val="3"/>
          </w:tcPr>
          <w:p>
            <w:pPr>
              <w:ind w:left="680"/>
              <w:spacing w:after="0"/>
              <w:rPr>
                <w:sz w:val="20"/>
                <w:szCs w:val="20"/>
                <w:color w:val="auto"/>
              </w:rPr>
            </w:pPr>
            <w:r>
              <w:rPr>
                <w:rFonts w:ascii="Arial" w:cs="Arial" w:eastAsia="Arial" w:hAnsi="Arial"/>
                <w:sz w:val="18"/>
                <w:szCs w:val="18"/>
                <w:color w:val="auto"/>
              </w:rPr>
              <w:t>Consolidated EDITDAR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left="872" w:hanging="352"/>
        <w:spacing w:after="0"/>
        <w:tabs>
          <w:tab w:leader="none" w:pos="872" w:val="left"/>
        </w:tabs>
        <w:numPr>
          <w:ilvl w:val="0"/>
          <w:numId w:val="246"/>
        </w:numPr>
        <w:rPr>
          <w:rFonts w:ascii="Arial" w:cs="Arial" w:eastAsia="Arial" w:hAnsi="Arial"/>
          <w:sz w:val="20"/>
          <w:szCs w:val="20"/>
          <w:color w:val="auto"/>
        </w:rPr>
      </w:pPr>
      <w:r>
        <w:rPr>
          <w:rFonts w:ascii="Arial" w:cs="Arial" w:eastAsia="Arial" w:hAnsi="Arial"/>
          <w:sz w:val="18"/>
          <w:szCs w:val="18"/>
          <w:u w:val="single" w:color="auto"/>
          <w:color w:val="auto"/>
        </w:rPr>
        <w:t>Consolidated Interest Expense</w:t>
      </w:r>
      <w:r>
        <w:rPr>
          <w:rFonts w:ascii="Arial" w:cs="Arial" w:eastAsia="Arial" w:hAnsi="Arial"/>
          <w:sz w:val="25"/>
          <w:szCs w:val="25"/>
          <w:u w:val="single" w:color="auto"/>
          <w:color w:val="auto"/>
          <w:vertAlign w:val="superscript"/>
        </w:rPr>
        <w:t>4</w:t>
      </w:r>
    </w:p>
    <w:p>
      <w:pPr>
        <w:spacing w:after="0" w:line="209" w:lineRule="exact"/>
        <w:rPr>
          <w:sz w:val="20"/>
          <w:szCs w:val="20"/>
          <w:color w:val="auto"/>
        </w:rPr>
      </w:pPr>
    </w:p>
    <w:p>
      <w:pPr>
        <w:ind w:left="1172"/>
        <w:spacing w:after="0"/>
        <w:tabs>
          <w:tab w:leader="none" w:pos="2652"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The sum, without duplication, of:</w:t>
      </w:r>
    </w:p>
    <w:p>
      <w:pPr>
        <w:spacing w:after="0" w:line="367" w:lineRule="exact"/>
        <w:rPr>
          <w:sz w:val="20"/>
          <w:szCs w:val="20"/>
          <w:color w:val="auto"/>
        </w:rPr>
      </w:pPr>
    </w:p>
    <w:p>
      <w:pPr>
        <w:ind w:left="3332" w:right="1360" w:hanging="652"/>
        <w:spacing w:after="0" w:line="266" w:lineRule="auto"/>
        <w:tabs>
          <w:tab w:leader="none" w:pos="3083" w:val="left"/>
        </w:tabs>
        <w:numPr>
          <w:ilvl w:val="0"/>
          <w:numId w:val="247"/>
        </w:numPr>
        <w:rPr>
          <w:rFonts w:ascii="Arial" w:cs="Arial" w:eastAsia="Arial" w:hAnsi="Arial"/>
          <w:sz w:val="20"/>
          <w:szCs w:val="20"/>
          <w:color w:val="auto"/>
        </w:rPr>
      </w:pPr>
      <w:r>
        <w:rPr>
          <w:rFonts w:ascii="Arial" w:cs="Arial" w:eastAsia="Arial" w:hAnsi="Arial"/>
          <w:sz w:val="18"/>
          <w:szCs w:val="18"/>
          <w:color w:val="auto"/>
        </w:rPr>
        <w:t>total consolidated cash interest expense of the U.S. Borrower and its Restricted Subsidiaries $ determined on a consolidated basis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-186055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33" w:lineRule="exact"/>
        <w:rPr>
          <w:sz w:val="20"/>
          <w:szCs w:val="20"/>
          <w:color w:val="auto"/>
        </w:rPr>
      </w:pPr>
    </w:p>
    <w:p>
      <w:pPr>
        <w:ind w:left="3332"/>
        <w:spacing w:after="0"/>
        <w:rPr>
          <w:sz w:val="20"/>
          <w:szCs w:val="20"/>
          <w:color w:val="auto"/>
        </w:rPr>
      </w:pPr>
      <w:r>
        <w:rPr>
          <w:rFonts w:ascii="Arial" w:cs="Arial" w:eastAsia="Arial" w:hAnsi="Arial"/>
          <w:sz w:val="18"/>
          <w:szCs w:val="18"/>
          <w:color w:val="auto"/>
        </w:rPr>
        <w:t xml:space="preserve">accordance with GAAP, net of cash interest income, </w:t>
      </w:r>
      <w:r>
        <w:rPr>
          <w:rFonts w:ascii="Arial" w:cs="Arial" w:eastAsia="Arial" w:hAnsi="Arial"/>
          <w:sz w:val="18"/>
          <w:szCs w:val="18"/>
          <w:u w:val="single" w:color="auto"/>
          <w:color w:val="auto"/>
        </w:rPr>
        <w:t>plus</w:t>
      </w:r>
    </w:p>
    <w:p>
      <w:pPr>
        <w:spacing w:after="0" w:line="239" w:lineRule="exact"/>
        <w:rPr>
          <w:sz w:val="20"/>
          <w:szCs w:val="20"/>
          <w:color w:val="auto"/>
        </w:rPr>
      </w:pPr>
    </w:p>
    <w:p>
      <w:pPr>
        <w:ind w:left="3332" w:right="1360" w:hanging="652"/>
        <w:spacing w:after="0" w:line="270" w:lineRule="auto"/>
        <w:tabs>
          <w:tab w:leader="none" w:pos="3206" w:val="left"/>
        </w:tabs>
        <w:numPr>
          <w:ilvl w:val="0"/>
          <w:numId w:val="248"/>
        </w:numPr>
        <w:rPr>
          <w:rFonts w:ascii="Arial" w:cs="Arial" w:eastAsia="Arial" w:hAnsi="Arial"/>
          <w:sz w:val="19"/>
          <w:szCs w:val="19"/>
          <w:color w:val="auto"/>
        </w:rPr>
      </w:pPr>
      <w:r>
        <w:rPr>
          <w:rFonts w:ascii="Arial" w:cs="Arial" w:eastAsia="Arial" w:hAnsi="Arial"/>
          <w:sz w:val="17"/>
          <w:szCs w:val="17"/>
          <w:color w:val="auto"/>
        </w:rPr>
        <w:t xml:space="preserve">imputed interested on Attributed Indebtedness of the U.S. Borrower and its Restricted $ Subsidiaries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to the extent directly related to Fourth Restatement Date Transaction, debt issuance costs, debt discount or premium and other financing fees and expenses, together with any amortization in respect thereof, shall be excluded from the calculation of Consolidated Interest Expense and (ii) Consolidated Interest Expense shall be calculated after giving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-732790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6" w:lineRule="exact"/>
        <w:rPr>
          <w:sz w:val="20"/>
          <w:szCs w:val="20"/>
          <w:color w:val="auto"/>
        </w:rPr>
      </w:pPr>
    </w:p>
    <w:p>
      <w:pPr>
        <w:ind w:left="3332" w:right="1520"/>
        <w:spacing w:after="0" w:line="277" w:lineRule="auto"/>
        <w:rPr>
          <w:sz w:val="20"/>
          <w:szCs w:val="20"/>
          <w:color w:val="auto"/>
        </w:rPr>
      </w:pPr>
      <w:r>
        <w:rPr>
          <w:rFonts w:ascii="Arial" w:cs="Arial" w:eastAsia="Arial" w:hAnsi="Arial"/>
          <w:sz w:val="18"/>
          <w:szCs w:val="18"/>
          <w:color w:val="auto"/>
        </w:rPr>
        <w:t>effect to Swap Contracts (including associated costs), but excluding unrealized gains and losses with respect to Swap Contracts</w:t>
      </w:r>
    </w:p>
    <w:p>
      <w:pPr>
        <w:spacing w:after="0" w:line="181" w:lineRule="exact"/>
        <w:rPr>
          <w:sz w:val="20"/>
          <w:szCs w:val="20"/>
          <w:color w:val="auto"/>
        </w:rPr>
      </w:pPr>
    </w:p>
    <w:p>
      <w:pPr>
        <w:ind w:left="1172"/>
        <w:spacing w:after="0"/>
        <w:tabs>
          <w:tab w:leader="none" w:pos="2652" w:val="left"/>
          <w:tab w:leader="none" w:pos="9732"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Consolidated Interest Expense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-23495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852" w:hanging="332"/>
        <w:spacing w:after="0"/>
        <w:tabs>
          <w:tab w:leader="none" w:pos="852" w:val="left"/>
        </w:tabs>
        <w:numPr>
          <w:ilvl w:val="0"/>
          <w:numId w:val="249"/>
        </w:numPr>
        <w:rPr>
          <w:rFonts w:ascii="Arial" w:cs="Arial" w:eastAsia="Arial" w:hAnsi="Arial"/>
          <w:sz w:val="20"/>
          <w:szCs w:val="20"/>
          <w:color w:val="auto"/>
        </w:rPr>
      </w:pPr>
      <w:r>
        <w:rPr>
          <w:rFonts w:ascii="Arial" w:cs="Arial" w:eastAsia="Arial" w:hAnsi="Arial"/>
          <w:sz w:val="18"/>
          <w:szCs w:val="18"/>
          <w:u w:val="single" w:color="auto"/>
          <w:color w:val="auto"/>
        </w:rPr>
        <w:t>Consolidated Fixed Charges for the Test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651510</wp:posOffset>
            </wp:positionV>
            <wp:extent cx="1208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 w:firstLine="8"/>
        <w:spacing w:after="0" w:line="232" w:lineRule="auto"/>
        <w:tabs>
          <w:tab w:leader="none" w:pos="100" w:val="left"/>
        </w:tabs>
        <w:numPr>
          <w:ilvl w:val="0"/>
          <w:numId w:val="250"/>
        </w:numPr>
        <w:rPr>
          <w:rFonts w:ascii="Arial" w:cs="Arial" w:eastAsia="Arial" w:hAnsi="Arial"/>
          <w:sz w:val="25"/>
          <w:szCs w:val="25"/>
          <w:color w:val="auto"/>
          <w:vertAlign w:val="superscript"/>
        </w:rPr>
      </w:pPr>
      <w:r>
        <w:rPr>
          <w:rFonts w:ascii="Arial" w:cs="Arial" w:eastAsia="Arial" w:hAnsi="Arial"/>
          <w:sz w:val="18"/>
          <w:szCs w:val="18"/>
          <w:color w:val="auto"/>
        </w:rPr>
        <w:t>Consolidated Interest Expense shall be calculated on a Pro forma Basis to give effect to any Indebtedness incurred, assumed or permanently repaid or extinguished during the relevant Test Period and the period on or prior to the calculation date in connection with any Specified Transactions (other than any Permitted Acquisitions involving the payment of Acquisition Consideration of less than $1.0 million) as if such incurrence, assumption, repayment or extinguishing had been effected on the first day of such period.</w:t>
      </w:r>
    </w:p>
    <w:p>
      <w:pPr>
        <w:sectPr>
          <w:pgSz w:w="11900" w:h="16838" w:orient="portrait"/>
          <w:cols w:equalWidth="0" w:num="1">
            <w:col w:w="11212"/>
          </w:cols>
          <w:pgMar w:left="328" w:top="443" w:right="3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Ex. D, Schedule 2-6</w:t>
      </w:r>
    </w:p>
    <w:p>
      <w:pPr>
        <w:sectPr>
          <w:pgSz w:w="11900" w:h="16838" w:orient="portrait"/>
          <w:cols w:equalWidth="0" w:num="1">
            <w:col w:w="11212"/>
          </w:cols>
          <w:pgMar w:left="328" w:top="443" w:right="359" w:bottom="1440" w:gutter="0" w:footer="0" w:header="0"/>
          <w:type w:val="continuous"/>
        </w:sectPr>
      </w:pPr>
    </w:p>
    <w:bookmarkStart w:id="230" w:name="page231"/>
    <w:bookmarkEnd w:id="230"/>
    <w:tbl>
      <w:tblPr>
        <w:tblLayout w:type="fixed"/>
        <w:tblInd w:w="1180" w:type="dxa"/>
        <w:tblCellMar>
          <w:top w:w="0" w:type="dxa"/>
          <w:left w:w="0" w:type="dxa"/>
          <w:bottom w:w="0" w:type="dxa"/>
          <w:right w:w="0" w:type="dxa"/>
        </w:tblCellMar>
      </w:tblPr>
      <w:tr>
        <w:trPr>
          <w:trHeight w:val="230"/>
        </w:trPr>
        <w:tc>
          <w:tcPr>
            <w:tcW w:w="820" w:type="dxa"/>
            <w:vAlign w:val="bottom"/>
          </w:tcPr>
          <w:p>
            <w:pPr>
              <w:jc w:val="right"/>
              <w:ind w:right="581"/>
              <w:spacing w:after="0"/>
              <w:rPr>
                <w:sz w:val="20"/>
                <w:szCs w:val="20"/>
                <w:color w:val="auto"/>
              </w:rPr>
            </w:pPr>
            <w:r>
              <w:rPr>
                <w:rFonts w:ascii="Arial" w:cs="Arial" w:eastAsia="Arial" w:hAnsi="Arial"/>
                <w:sz w:val="20"/>
                <w:szCs w:val="20"/>
                <w:color w:val="auto"/>
                <w:w w:val="71"/>
              </w:rPr>
              <w:t>1.</w:t>
            </w: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w w:val="91"/>
              </w:rPr>
              <w:t>the sum, without duplication, of the amounts determined for the U.S. Borrower and its Restricted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20" w:type="dxa"/>
            <w:vAlign w:val="bottom"/>
          </w:tcPr>
          <w:p>
            <w:pPr>
              <w:spacing w:after="0"/>
              <w:rPr>
                <w:sz w:val="20"/>
                <w:szCs w:val="20"/>
                <w:color w:val="auto"/>
              </w:rPr>
            </w:pP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rPr>
              <w:t>Subsidiaries on a consolidated basis equal to:</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1"/>
        </w:trPr>
        <w:tc>
          <w:tcPr>
            <w:tcW w:w="820" w:type="dxa"/>
            <w:vAlign w:val="bottom"/>
          </w:tcPr>
          <w:p>
            <w:pPr>
              <w:spacing w:after="0"/>
              <w:rPr>
                <w:sz w:val="24"/>
                <w:szCs w:val="24"/>
                <w:color w:val="auto"/>
              </w:rPr>
            </w:pPr>
          </w:p>
        </w:tc>
        <w:tc>
          <w:tcPr>
            <w:tcW w:w="7720" w:type="dxa"/>
            <w:vAlign w:val="bottom"/>
            <w:gridSpan w:val="3"/>
          </w:tcPr>
          <w:p>
            <w:pPr>
              <w:ind w:left="68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17"/>
                <w:szCs w:val="17"/>
                <w:color w:val="auto"/>
              </w:rPr>
              <w:t>Consolidated Interest Expense (Line I.E.2.) plus</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473"/>
        </w:trPr>
        <w:tc>
          <w:tcPr>
            <w:tcW w:w="820" w:type="dxa"/>
            <w:vAlign w:val="bottom"/>
          </w:tcPr>
          <w:p>
            <w:pPr>
              <w:spacing w:after="0"/>
              <w:rPr>
                <w:sz w:val="24"/>
                <w:szCs w:val="24"/>
                <w:color w:val="auto"/>
              </w:rPr>
            </w:pPr>
          </w:p>
        </w:tc>
        <w:tc>
          <w:tcPr>
            <w:tcW w:w="4260" w:type="dxa"/>
            <w:vAlign w:val="bottom"/>
          </w:tcPr>
          <w:p>
            <w:pPr>
              <w:ind w:left="68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17"/>
                <w:szCs w:val="17"/>
                <w:color w:val="auto"/>
              </w:rPr>
              <w:t>Rent Expense for such period</w:t>
            </w:r>
          </w:p>
        </w:tc>
        <w:tc>
          <w:tcPr>
            <w:tcW w:w="30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r>
      <w:tr>
        <w:trPr>
          <w:trHeight w:val="480"/>
        </w:trPr>
        <w:tc>
          <w:tcPr>
            <w:tcW w:w="820" w:type="dxa"/>
            <w:vAlign w:val="bottom"/>
          </w:tcPr>
          <w:p>
            <w:pPr>
              <w:jc w:val="right"/>
              <w:ind w:right="581"/>
              <w:spacing w:after="0"/>
              <w:rPr>
                <w:sz w:val="20"/>
                <w:szCs w:val="20"/>
                <w:color w:val="auto"/>
              </w:rPr>
            </w:pPr>
            <w:r>
              <w:rPr>
                <w:rFonts w:ascii="Arial" w:cs="Arial" w:eastAsia="Arial" w:hAnsi="Arial"/>
                <w:sz w:val="20"/>
                <w:szCs w:val="20"/>
                <w:color w:val="auto"/>
                <w:w w:val="71"/>
              </w:rPr>
              <w:t>2.</w:t>
            </w: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rPr>
              <w:t>Consolidated Fixed Charges</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85" w:lineRule="exact"/>
        <w:rPr>
          <w:sz w:val="20"/>
          <w:szCs w:val="20"/>
          <w:color w:val="auto"/>
        </w:rPr>
      </w:pPr>
    </w:p>
    <w:p>
      <w:pPr>
        <w:ind w:left="900" w:hanging="372"/>
        <w:spacing w:after="0"/>
        <w:tabs>
          <w:tab w:leader="none" w:pos="900" w:val="left"/>
        </w:tabs>
        <w:numPr>
          <w:ilvl w:val="0"/>
          <w:numId w:val="251"/>
        </w:numPr>
        <w:rPr>
          <w:rFonts w:ascii="Arial" w:cs="Arial" w:eastAsia="Arial" w:hAnsi="Arial"/>
          <w:sz w:val="20"/>
          <w:szCs w:val="20"/>
          <w:color w:val="auto"/>
        </w:rPr>
      </w:pPr>
      <w:r>
        <w:rPr>
          <w:rFonts w:ascii="Arial" w:cs="Arial" w:eastAsia="Arial" w:hAnsi="Arial"/>
          <w:sz w:val="18"/>
          <w:szCs w:val="18"/>
          <w:u w:val="single" w:color="auto"/>
          <w:color w:val="auto"/>
        </w:rPr>
        <w:t>Consolidated EBITDA</w:t>
      </w:r>
    </w:p>
    <w:p>
      <w:pPr>
        <w:spacing w:after="0" w:line="254" w:lineRule="exact"/>
        <w:rPr>
          <w:sz w:val="20"/>
          <w:szCs w:val="20"/>
          <w:color w:val="auto"/>
        </w:rPr>
      </w:pPr>
    </w:p>
    <w:tbl>
      <w:tblPr>
        <w:tblLayout w:type="fixed"/>
        <w:tblInd w:w="1180" w:type="dxa"/>
        <w:tblCellMar>
          <w:top w:w="0" w:type="dxa"/>
          <w:left w:w="0" w:type="dxa"/>
          <w:bottom w:w="0" w:type="dxa"/>
          <w:right w:w="0" w:type="dxa"/>
        </w:tblCellMar>
      </w:tblPr>
      <w:tr>
        <w:trPr>
          <w:trHeight w:val="250"/>
        </w:trPr>
        <w:tc>
          <w:tcPr>
            <w:tcW w:w="820" w:type="dxa"/>
            <w:vAlign w:val="bottom"/>
          </w:tcPr>
          <w:p>
            <w:pPr>
              <w:jc w:val="right"/>
              <w:ind w:right="581"/>
              <w:spacing w:after="0"/>
              <w:rPr>
                <w:sz w:val="20"/>
                <w:szCs w:val="20"/>
                <w:color w:val="auto"/>
              </w:rPr>
            </w:pPr>
            <w:r>
              <w:rPr>
                <w:rFonts w:ascii="Arial" w:cs="Arial" w:eastAsia="Arial" w:hAnsi="Arial"/>
                <w:sz w:val="20"/>
                <w:szCs w:val="20"/>
                <w:color w:val="auto"/>
                <w:w w:val="71"/>
              </w:rPr>
              <w:t>1.</w:t>
            </w:r>
          </w:p>
        </w:tc>
        <w:tc>
          <w:tcPr>
            <w:tcW w:w="6840" w:type="dxa"/>
            <w:vAlign w:val="bottom"/>
            <w:gridSpan w:val="3"/>
          </w:tcPr>
          <w:p>
            <w:pPr>
              <w:ind w:left="680"/>
              <w:spacing w:after="0"/>
              <w:rPr>
                <w:sz w:val="20"/>
                <w:szCs w:val="20"/>
                <w:color w:val="auto"/>
              </w:rPr>
            </w:pPr>
            <w:r>
              <w:rPr>
                <w:rFonts w:ascii="Arial" w:cs="Arial" w:eastAsia="Arial" w:hAnsi="Arial"/>
                <w:sz w:val="18"/>
                <w:szCs w:val="18"/>
                <w:color w:val="auto"/>
              </w:rPr>
              <w:t>The sum, without duplication, of:</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617"/>
        </w:trPr>
        <w:tc>
          <w:tcPr>
            <w:tcW w:w="820" w:type="dxa"/>
            <w:vAlign w:val="bottom"/>
          </w:tcPr>
          <w:p>
            <w:pPr>
              <w:spacing w:after="0"/>
              <w:rPr>
                <w:sz w:val="24"/>
                <w:szCs w:val="24"/>
                <w:color w:val="auto"/>
              </w:rPr>
            </w:pPr>
          </w:p>
        </w:tc>
        <w:tc>
          <w:tcPr>
            <w:tcW w:w="6840" w:type="dxa"/>
            <w:vAlign w:val="bottom"/>
            <w:gridSpan w:val="3"/>
          </w:tcPr>
          <w:p>
            <w:pPr>
              <w:ind w:left="68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17"/>
                <w:szCs w:val="17"/>
                <w:color w:val="auto"/>
              </w:rPr>
              <w:t>Consolidated EBITDAR (Line I.D.5), minus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r>
      <w:tr>
        <w:trPr>
          <w:trHeight w:val="473"/>
        </w:trPr>
        <w:tc>
          <w:tcPr>
            <w:tcW w:w="820" w:type="dxa"/>
            <w:vAlign w:val="bottom"/>
          </w:tcPr>
          <w:p>
            <w:pPr>
              <w:spacing w:after="0"/>
              <w:rPr>
                <w:sz w:val="24"/>
                <w:szCs w:val="24"/>
                <w:color w:val="auto"/>
              </w:rPr>
            </w:pPr>
          </w:p>
        </w:tc>
        <w:tc>
          <w:tcPr>
            <w:tcW w:w="6840" w:type="dxa"/>
            <w:vAlign w:val="bottom"/>
            <w:gridSpan w:val="3"/>
          </w:tcPr>
          <w:p>
            <w:pPr>
              <w:ind w:left="68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17"/>
                <w:szCs w:val="17"/>
                <w:color w:val="auto"/>
              </w:rPr>
              <w:t>to the extent added back to Consolidated EBITDAR, Rent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r>
      <w:tr>
        <w:trPr>
          <w:trHeight w:val="250"/>
        </w:trPr>
        <w:tc>
          <w:tcPr>
            <w:tcW w:w="820" w:type="dxa"/>
            <w:vAlign w:val="bottom"/>
          </w:tcPr>
          <w:p>
            <w:pPr>
              <w:spacing w:after="0"/>
              <w:rPr>
                <w:sz w:val="21"/>
                <w:szCs w:val="21"/>
                <w:color w:val="auto"/>
              </w:rPr>
            </w:pPr>
          </w:p>
        </w:tc>
        <w:tc>
          <w:tcPr>
            <w:tcW w:w="6840" w:type="dxa"/>
            <w:vAlign w:val="bottom"/>
            <w:gridSpan w:val="3"/>
          </w:tcPr>
          <w:p>
            <w:pPr>
              <w:ind w:left="680"/>
              <w:spacing w:after="0"/>
              <w:rPr>
                <w:sz w:val="20"/>
                <w:szCs w:val="20"/>
                <w:color w:val="auto"/>
              </w:rPr>
            </w:pPr>
            <w:r>
              <w:rPr>
                <w:rFonts w:ascii="Arial" w:cs="Arial" w:eastAsia="Arial" w:hAnsi="Arial"/>
                <w:sz w:val="18"/>
                <w:szCs w:val="18"/>
                <w:color w:val="auto"/>
              </w:rPr>
              <w:t>(Line I.D.2.n),</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46"/>
        </w:trPr>
        <w:tc>
          <w:tcPr>
            <w:tcW w:w="820" w:type="dxa"/>
            <w:vAlign w:val="bottom"/>
          </w:tcPr>
          <w:p>
            <w:pPr>
              <w:jc w:val="right"/>
              <w:ind w:right="581"/>
              <w:spacing w:after="0"/>
              <w:rPr>
                <w:sz w:val="20"/>
                <w:szCs w:val="20"/>
                <w:color w:val="auto"/>
              </w:rPr>
            </w:pPr>
            <w:r>
              <w:rPr>
                <w:rFonts w:ascii="Arial" w:cs="Arial" w:eastAsia="Arial" w:hAnsi="Arial"/>
                <w:sz w:val="20"/>
                <w:szCs w:val="20"/>
                <w:color w:val="auto"/>
                <w:w w:val="71"/>
              </w:rPr>
              <w:t>2.</w:t>
            </w:r>
          </w:p>
        </w:tc>
        <w:tc>
          <w:tcPr>
            <w:tcW w:w="6840" w:type="dxa"/>
            <w:vAlign w:val="bottom"/>
            <w:gridSpan w:val="3"/>
          </w:tcPr>
          <w:p>
            <w:pPr>
              <w:ind w:left="680"/>
              <w:spacing w:after="0"/>
              <w:rPr>
                <w:sz w:val="20"/>
                <w:szCs w:val="20"/>
                <w:color w:val="auto"/>
              </w:rPr>
            </w:pPr>
            <w:r>
              <w:rPr>
                <w:rFonts w:ascii="Arial" w:cs="Arial" w:eastAsia="Arial" w:hAnsi="Arial"/>
                <w:sz w:val="18"/>
                <w:szCs w:val="18"/>
                <w:color w:val="auto"/>
              </w:rPr>
              <w:t>Consolidated EBITDA</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20" w:hanging="353"/>
        <w:spacing w:after="0"/>
        <w:tabs>
          <w:tab w:leader="none" w:pos="820" w:val="left"/>
        </w:tabs>
        <w:numPr>
          <w:ilvl w:val="0"/>
          <w:numId w:val="252"/>
        </w:numPr>
        <w:rPr>
          <w:rFonts w:ascii="Arial" w:cs="Arial" w:eastAsia="Arial" w:hAnsi="Arial"/>
          <w:sz w:val="20"/>
          <w:szCs w:val="20"/>
          <w:color w:val="auto"/>
        </w:rPr>
      </w:pPr>
      <w:r>
        <w:rPr>
          <w:rFonts w:ascii="Arial" w:cs="Arial" w:eastAsia="Arial" w:hAnsi="Arial"/>
          <w:sz w:val="18"/>
          <w:szCs w:val="18"/>
          <w:b w:val="1"/>
          <w:bCs w:val="1"/>
          <w:u w:val="single" w:color="auto"/>
          <w:color w:val="auto"/>
        </w:rPr>
        <w:t>Section 7.12(a) — Lease Adjusted Leverage Ratio</w:t>
      </w:r>
      <w:r>
        <w:rPr>
          <w:rFonts w:ascii="Arial" w:cs="Arial" w:eastAsia="Arial" w:hAnsi="Arial"/>
          <w:sz w:val="18"/>
          <w:szCs w:val="18"/>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w:t>
      </w:r>
    </w:p>
    <w:p>
      <w:pPr>
        <w:spacing w:after="0" w:line="54" w:lineRule="exact"/>
        <w:rPr>
          <w:sz w:val="20"/>
          <w:szCs w:val="20"/>
          <w:color w:val="auto"/>
        </w:rPr>
      </w:pPr>
    </w:p>
    <w:p>
      <w:pPr>
        <w:ind w:left="1120"/>
        <w:spacing w:after="0"/>
        <w:tabs>
          <w:tab w:leader="none" w:pos="2520" w:val="left"/>
          <w:tab w:leader="none" w:pos="96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six times the Rent Expense</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for the Test Period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6217285</wp:posOffset>
            </wp:positionH>
            <wp:positionV relativeFrom="paragraph">
              <wp:posOffset>-59690</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 Adjusted Leverage Ratio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Indebtedness (Line I.B.2)</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b w:val="1"/>
          <w:bCs w:val="1"/>
          <w:color w:val="auto"/>
        </w:rPr>
        <w:t xml:space="preserve"> </w:t>
      </w:r>
      <w:r>
        <w:rPr>
          <w:rFonts w:ascii="Arial" w:cs="Arial" w:eastAsia="Arial" w:hAnsi="Arial"/>
          <w:sz w:val="18"/>
          <w:szCs w:val="18"/>
          <w:color w:val="auto"/>
        </w:rPr>
        <w:t>six times Rent</w:t>
      </w:r>
    </w:p>
    <w:p>
      <w:pPr>
        <w:spacing w:after="0" w:line="2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 xml:space="preserve">Expense (Line II.A.1.)) </w:t>
      </w:r>
      <w:r>
        <w:rPr>
          <w:rFonts w:ascii="Arial" w:cs="Arial" w:eastAsia="Arial" w:hAnsi="Arial"/>
          <w:sz w:val="18"/>
          <w:szCs w:val="18"/>
          <w:u w:val="single" w:color="auto"/>
          <w:color w:val="auto"/>
        </w:rPr>
        <w:t>divided</w:t>
      </w:r>
      <w:r>
        <w:rPr>
          <w:rFonts w:ascii="Arial" w:cs="Arial" w:eastAsia="Arial" w:hAnsi="Arial"/>
          <w:sz w:val="18"/>
          <w:szCs w:val="18"/>
          <w:color w:val="auto"/>
        </w:rPr>
        <w:t xml:space="preserve"> by Consolidated EBITDAR (Line I.D.5.)</w:t>
      </w:r>
      <w:r>
        <w:rPr>
          <w:sz w:val="20"/>
          <w:szCs w:val="20"/>
          <w:color w:val="auto"/>
        </w:rPr>
        <w:tab/>
      </w:r>
      <w:r>
        <w:rPr>
          <w:rFonts w:ascii="Arial" w:cs="Arial" w:eastAsia="Arial" w:hAnsi="Arial"/>
          <w:sz w:val="16"/>
          <w:szCs w:val="16"/>
          <w:b w:val="1"/>
          <w:bCs w:val="1"/>
          <w:color w:val="auto"/>
        </w:rPr>
        <w:t>______:1.00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Maximum Permitted (other than a Specified Test Period)</w:t>
      </w:r>
      <w:r>
        <w:rPr>
          <w:rFonts w:ascii="Arial" w:cs="Arial" w:eastAsia="Arial" w:hAnsi="Arial"/>
          <w:sz w:val="25"/>
          <w:szCs w:val="25"/>
          <w:i w:val="1"/>
          <w:iCs w:val="1"/>
          <w:color w:val="auto"/>
          <w:vertAlign w:val="superscript"/>
        </w:rPr>
        <w:t>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392430</wp:posOffset>
            </wp:positionV>
            <wp:extent cx="12084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 w:hanging="92"/>
        <w:spacing w:after="0"/>
        <w:tabs>
          <w:tab w:leader="none" w:pos="100" w:val="left"/>
        </w:tabs>
        <w:numPr>
          <w:ilvl w:val="0"/>
          <w:numId w:val="253"/>
        </w:numPr>
        <w:rPr>
          <w:rFonts w:ascii="Arial" w:cs="Arial" w:eastAsia="Arial" w:hAnsi="Arial"/>
          <w:sz w:val="24"/>
          <w:szCs w:val="24"/>
          <w:color w:val="auto"/>
          <w:vertAlign w:val="superscript"/>
        </w:rPr>
      </w:pPr>
      <w:r>
        <w:rPr>
          <w:rFonts w:ascii="Arial" w:cs="Arial" w:eastAsia="Arial" w:hAnsi="Arial"/>
          <w:sz w:val="17"/>
          <w:szCs w:val="17"/>
          <w:color w:val="auto"/>
        </w:rPr>
        <w:t>Rent expense shall be calculated on a Pro forma Basis to give effect to Specified Transactions (other than any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Permitted Acquisitions involving the payment of Acquisition Consideration of less than $1,000,000) consummated at any time on or after the first day of the relevant Test Period and on or prior to the calculation date as if (i) each Permitted Acquisition had been effected on the first day of such period (ii) each Investment that resulted in a Person becoming a Restricted Subsidiary or any designation of a Subsidiary as a Restricted Subsidiary has been effected on the first day of such period and (iii) each such Asset Sale and designation of a Subsidiary as an Unrestricted Subsidiary had been consummated on the day prior to the first day of such period.</w:t>
      </w:r>
    </w:p>
    <w:p>
      <w:pPr>
        <w:spacing w:after="0" w:line="26" w:lineRule="exact"/>
        <w:rPr>
          <w:sz w:val="20"/>
          <w:szCs w:val="20"/>
          <w:color w:val="auto"/>
        </w:rPr>
      </w:pPr>
    </w:p>
    <w:p>
      <w:pPr>
        <w:jc w:val="both"/>
        <w:ind w:firstLine="8"/>
        <w:spacing w:after="0" w:line="237" w:lineRule="auto"/>
        <w:tabs>
          <w:tab w:leader="none" w:pos="126" w:val="left"/>
        </w:tabs>
        <w:numPr>
          <w:ilvl w:val="0"/>
          <w:numId w:val="254"/>
        </w:numPr>
        <w:rPr>
          <w:rFonts w:ascii="Arial" w:cs="Arial" w:eastAsia="Arial" w:hAnsi="Arial"/>
          <w:sz w:val="25"/>
          <w:szCs w:val="25"/>
          <w:color w:val="auto"/>
          <w:vertAlign w:val="superscript"/>
        </w:rPr>
      </w:pPr>
      <w:r>
        <w:rPr>
          <w:rFonts w:ascii="Arial" w:cs="Arial" w:eastAsia="Arial" w:hAnsi="Arial"/>
          <w:sz w:val="18"/>
          <w:szCs w:val="18"/>
          <w:color w:val="auto"/>
        </w:rPr>
        <w:t xml:space="preserve">Other than during the Restricted Period, if any Material Acquisition shall occur and the Lease Adjusted Leverage Ratio, on a Pro forma Basis giving effect to the consummation of such Material Acquisition, shall be less than 4.00:1.00, then the maximum Lease Adjusted Leverage Ratio required under Section 7.12(a) of the Credit Agreement shall be increased to 4.50:1.00 for the fiscal quarter of the U.S. Borrower in which such Material Acquisition is consummated and the three (3) fiscal quarters of the U.S. Borrower immediately following such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successive Material Acquisitions, the maximum Lease Adjusted Leverage Ratio required under such Section shall not step up to 4.50:1.00 for more than four (4) fiscal quarters in any six (6) fiscal quarter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D, Schedule 2-7</w:t>
      </w:r>
    </w:p>
    <w:p>
      <w:pPr>
        <w:sectPr>
          <w:pgSz w:w="11900" w:h="16838" w:orient="portrait"/>
          <w:cols w:equalWidth="0" w:num="1">
            <w:col w:w="11240"/>
          </w:cols>
          <w:pgMar w:left="320" w:top="489" w:right="339" w:bottom="1440" w:gutter="0" w:footer="0" w:header="0"/>
        </w:sectPr>
      </w:pPr>
    </w:p>
    <w:bookmarkStart w:id="231" w:name="page232"/>
    <w:bookmarkEnd w:id="231"/>
    <w:tbl>
      <w:tblPr>
        <w:tblLayout w:type="fixed"/>
        <w:tblInd w:w="40" w:type="dxa"/>
        <w:tblCellMar>
          <w:top w:w="0" w:type="dxa"/>
          <w:left w:w="0" w:type="dxa"/>
          <w:bottom w:w="0" w:type="dxa"/>
          <w:right w:w="0" w:type="dxa"/>
        </w:tblCellMar>
      </w:tblPr>
      <w:tr>
        <w:trPr>
          <w:trHeight w:val="257"/>
        </w:trPr>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340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b w:val="1"/>
                <w:bCs w:val="1"/>
                <w:color w:val="auto"/>
              </w:rPr>
              <w:t>Date</w:t>
            </w:r>
          </w:p>
        </w:tc>
        <w:tc>
          <w:tcPr>
            <w:tcW w:w="100" w:type="dxa"/>
            <w:vAlign w:val="bottom"/>
            <w:tcBorders>
              <w:top w:val="single" w:sz="8" w:color="auto"/>
            </w:tcBorders>
          </w:tcPr>
          <w:p>
            <w:pPr>
              <w:spacing w:after="0"/>
              <w:rPr>
                <w:sz w:val="22"/>
                <w:szCs w:val="22"/>
                <w:color w:val="auto"/>
              </w:rPr>
            </w:pPr>
          </w:p>
        </w:tc>
        <w:tc>
          <w:tcPr>
            <w:tcW w:w="3000" w:type="dxa"/>
            <w:vAlign w:val="bottom"/>
            <w:tcBorders>
              <w:top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Ratio</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As of the last day of the first fiscal quarter of fiscal</w:t>
            </w:r>
          </w:p>
        </w:tc>
        <w:tc>
          <w:tcPr>
            <w:tcW w:w="100" w:type="dxa"/>
            <w:vAlign w:val="bottom"/>
          </w:tcPr>
          <w:p>
            <w:pPr>
              <w:spacing w:after="0"/>
              <w:rPr>
                <w:sz w:val="24"/>
                <w:szCs w:val="24"/>
                <w:color w:val="auto"/>
              </w:rPr>
            </w:pPr>
          </w:p>
        </w:tc>
        <w:tc>
          <w:tcPr>
            <w:tcW w:w="300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b w:val="1"/>
                <w:bCs w:val="1"/>
                <w:color w:val="auto"/>
                <w:w w:val="90"/>
              </w:rPr>
              <w:t xml:space="preserve">4.00 </w:t>
            </w:r>
            <w:r>
              <w:rPr>
                <w:rFonts w:ascii="Arial" w:cs="Arial" w:eastAsia="Arial" w:hAnsi="Arial"/>
                <w:sz w:val="18"/>
                <w:szCs w:val="18"/>
                <w:color w:val="auto"/>
                <w:w w:val="90"/>
              </w:rPr>
              <w:t>to 1.00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year 2020</w:t>
            </w:r>
          </w:p>
        </w:tc>
        <w:tc>
          <w:tcPr>
            <w:tcW w:w="100" w:type="dxa"/>
            <w:vAlign w:val="bottom"/>
          </w:tcPr>
          <w:p>
            <w:pPr>
              <w:spacing w:after="0"/>
              <w:rPr>
                <w:sz w:val="14"/>
                <w:szCs w:val="14"/>
                <w:color w:val="auto"/>
              </w:rPr>
            </w:pPr>
          </w:p>
        </w:tc>
        <w:tc>
          <w:tcPr>
            <w:tcW w:w="3000" w:type="dxa"/>
            <w:vAlign w:val="bottom"/>
            <w:tcBorders>
              <w:right w:val="single" w:sz="8" w:color="auto"/>
            </w:tcBorders>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94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As of the last day of the first fiscal quarter of fiscal</w:t>
            </w:r>
          </w:p>
        </w:tc>
        <w:tc>
          <w:tcPr>
            <w:tcW w:w="100" w:type="dxa"/>
            <w:vAlign w:val="bottom"/>
          </w:tcPr>
          <w:p>
            <w:pPr>
              <w:spacing w:after="0"/>
              <w:rPr>
                <w:sz w:val="24"/>
                <w:szCs w:val="24"/>
                <w:color w:val="auto"/>
              </w:rPr>
            </w:pPr>
          </w:p>
        </w:tc>
        <w:tc>
          <w:tcPr>
            <w:tcW w:w="300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b w:val="1"/>
                <w:bCs w:val="1"/>
                <w:color w:val="auto"/>
                <w:w w:val="90"/>
              </w:rPr>
              <w:t xml:space="preserve">5.50 </w:t>
            </w:r>
            <w:r>
              <w:rPr>
                <w:rFonts w:ascii="Arial" w:cs="Arial" w:eastAsia="Arial" w:hAnsi="Arial"/>
                <w:sz w:val="18"/>
                <w:szCs w:val="18"/>
                <w:color w:val="auto"/>
                <w:w w:val="90"/>
              </w:rPr>
              <w:t>to 1.00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year 2021</w:t>
            </w:r>
          </w:p>
        </w:tc>
        <w:tc>
          <w:tcPr>
            <w:tcW w:w="100" w:type="dxa"/>
            <w:vAlign w:val="bottom"/>
          </w:tcPr>
          <w:p>
            <w:pPr>
              <w:spacing w:after="0"/>
              <w:rPr>
                <w:sz w:val="14"/>
                <w:szCs w:val="14"/>
                <w:color w:val="auto"/>
              </w:rPr>
            </w:pPr>
          </w:p>
        </w:tc>
        <w:tc>
          <w:tcPr>
            <w:tcW w:w="3000" w:type="dxa"/>
            <w:vAlign w:val="bottom"/>
            <w:tcBorders>
              <w:right w:val="single" w:sz="8" w:color="auto"/>
            </w:tcBorders>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94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As of the last day of the second fiscal quarter of</w:t>
            </w:r>
          </w:p>
        </w:tc>
        <w:tc>
          <w:tcPr>
            <w:tcW w:w="100" w:type="dxa"/>
            <w:vAlign w:val="bottom"/>
          </w:tcPr>
          <w:p>
            <w:pPr>
              <w:spacing w:after="0"/>
              <w:rPr>
                <w:sz w:val="24"/>
                <w:szCs w:val="24"/>
                <w:color w:val="auto"/>
              </w:rPr>
            </w:pPr>
          </w:p>
        </w:tc>
        <w:tc>
          <w:tcPr>
            <w:tcW w:w="300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b w:val="1"/>
                <w:bCs w:val="1"/>
                <w:color w:val="auto"/>
                <w:w w:val="90"/>
              </w:rPr>
              <w:t xml:space="preserve">5.00 </w:t>
            </w:r>
            <w:r>
              <w:rPr>
                <w:rFonts w:ascii="Arial" w:cs="Arial" w:eastAsia="Arial" w:hAnsi="Arial"/>
                <w:sz w:val="18"/>
                <w:szCs w:val="18"/>
                <w:color w:val="auto"/>
                <w:w w:val="90"/>
              </w:rPr>
              <w:t>to 1.00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fiscal year 2021</w:t>
            </w:r>
          </w:p>
        </w:tc>
        <w:tc>
          <w:tcPr>
            <w:tcW w:w="100" w:type="dxa"/>
            <w:vAlign w:val="bottom"/>
          </w:tcPr>
          <w:p>
            <w:pPr>
              <w:spacing w:after="0"/>
              <w:rPr>
                <w:sz w:val="14"/>
                <w:szCs w:val="14"/>
                <w:color w:val="auto"/>
              </w:rPr>
            </w:pPr>
          </w:p>
        </w:tc>
        <w:tc>
          <w:tcPr>
            <w:tcW w:w="3000" w:type="dxa"/>
            <w:vAlign w:val="bottom"/>
            <w:tcBorders>
              <w:right w:val="single" w:sz="8" w:color="auto"/>
            </w:tcBorders>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94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As of the last day of the third fiscal quarter of fiscal</w:t>
            </w:r>
          </w:p>
        </w:tc>
        <w:tc>
          <w:tcPr>
            <w:tcW w:w="100" w:type="dxa"/>
            <w:vAlign w:val="bottom"/>
          </w:tcPr>
          <w:p>
            <w:pPr>
              <w:spacing w:after="0"/>
              <w:rPr>
                <w:sz w:val="24"/>
                <w:szCs w:val="24"/>
                <w:color w:val="auto"/>
              </w:rPr>
            </w:pPr>
          </w:p>
        </w:tc>
        <w:tc>
          <w:tcPr>
            <w:tcW w:w="300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b w:val="1"/>
                <w:bCs w:val="1"/>
                <w:color w:val="auto"/>
                <w:w w:val="90"/>
              </w:rPr>
              <w:t xml:space="preserve">4.50 </w:t>
            </w:r>
            <w:r>
              <w:rPr>
                <w:rFonts w:ascii="Arial" w:cs="Arial" w:eastAsia="Arial" w:hAnsi="Arial"/>
                <w:sz w:val="18"/>
                <w:szCs w:val="18"/>
                <w:color w:val="auto"/>
                <w:w w:val="90"/>
              </w:rPr>
              <w:t>to 1.00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year 2021</w:t>
            </w:r>
          </w:p>
        </w:tc>
        <w:tc>
          <w:tcPr>
            <w:tcW w:w="100" w:type="dxa"/>
            <w:vAlign w:val="bottom"/>
          </w:tcPr>
          <w:p>
            <w:pPr>
              <w:spacing w:after="0"/>
              <w:rPr>
                <w:sz w:val="14"/>
                <w:szCs w:val="14"/>
                <w:color w:val="auto"/>
              </w:rPr>
            </w:pPr>
          </w:p>
        </w:tc>
        <w:tc>
          <w:tcPr>
            <w:tcW w:w="3000" w:type="dxa"/>
            <w:vAlign w:val="bottom"/>
            <w:tcBorders>
              <w:right w:val="single" w:sz="8" w:color="auto"/>
            </w:tcBorders>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94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3"/>
              </w:rPr>
              <w:t>As of the last day of the fourth fiscal quarter of fiscal</w:t>
            </w:r>
          </w:p>
        </w:tc>
        <w:tc>
          <w:tcPr>
            <w:tcW w:w="100" w:type="dxa"/>
            <w:vAlign w:val="bottom"/>
          </w:tcPr>
          <w:p>
            <w:pPr>
              <w:spacing w:after="0"/>
              <w:rPr>
                <w:sz w:val="24"/>
                <w:szCs w:val="24"/>
                <w:color w:val="auto"/>
              </w:rPr>
            </w:pPr>
          </w:p>
        </w:tc>
        <w:tc>
          <w:tcPr>
            <w:tcW w:w="300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b w:val="1"/>
                <w:bCs w:val="1"/>
                <w:color w:val="auto"/>
                <w:w w:val="90"/>
              </w:rPr>
              <w:t xml:space="preserve">4.00 </w:t>
            </w:r>
            <w:r>
              <w:rPr>
                <w:rFonts w:ascii="Arial" w:cs="Arial" w:eastAsia="Arial" w:hAnsi="Arial"/>
                <w:sz w:val="18"/>
                <w:szCs w:val="18"/>
                <w:color w:val="auto"/>
                <w:w w:val="90"/>
              </w:rPr>
              <w:t>to 1.00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year 2021 or thereafter</w:t>
            </w:r>
          </w:p>
        </w:tc>
        <w:tc>
          <w:tcPr>
            <w:tcW w:w="100" w:type="dxa"/>
            <w:vAlign w:val="bottom"/>
          </w:tcPr>
          <w:p>
            <w:pPr>
              <w:spacing w:after="0"/>
              <w:rPr>
                <w:sz w:val="14"/>
                <w:szCs w:val="14"/>
                <w:color w:val="auto"/>
              </w:rPr>
            </w:pPr>
          </w:p>
        </w:tc>
        <w:tc>
          <w:tcPr>
            <w:tcW w:w="3000" w:type="dxa"/>
            <w:vAlign w:val="bottom"/>
            <w:tcBorders>
              <w:right w:val="single" w:sz="8" w:color="auto"/>
            </w:tcBorders>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94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right w:val="single" w:sz="8" w:color="auto"/>
            </w:tcBorders>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___: 1.00</w:t>
            </w:r>
          </w:p>
        </w:tc>
        <w:tc>
          <w:tcPr>
            <w:tcW w:w="0" w:type="dxa"/>
            <w:vAlign w:val="bottom"/>
          </w:tcPr>
          <w:p>
            <w:pPr>
              <w:spacing w:after="0"/>
              <w:rPr>
                <w:sz w:val="1"/>
                <w:szCs w:val="1"/>
                <w:color w:val="auto"/>
              </w:rPr>
            </w:pPr>
          </w:p>
        </w:tc>
      </w:tr>
      <w:tr>
        <w:trPr>
          <w:trHeight w:val="344"/>
        </w:trPr>
        <w:tc>
          <w:tcPr>
            <w:tcW w:w="8160" w:type="dxa"/>
            <w:vAlign w:val="bottom"/>
            <w:gridSpan w:val="7"/>
          </w:tcPr>
          <w:p>
            <w:pPr>
              <w:spacing w:after="0"/>
              <w:rPr>
                <w:sz w:val="20"/>
                <w:szCs w:val="20"/>
                <w:color w:val="auto"/>
              </w:rPr>
            </w:pPr>
            <w:r>
              <w:rPr>
                <w:rFonts w:ascii="Arial" w:cs="Arial" w:eastAsia="Arial" w:hAnsi="Arial"/>
                <w:sz w:val="20"/>
                <w:szCs w:val="20"/>
                <w:color w:val="auto"/>
              </w:rPr>
              <w:t xml:space="preserve">III.  </w:t>
            </w:r>
            <w:r>
              <w:rPr>
                <w:rFonts w:ascii="Arial" w:cs="Arial" w:eastAsia="Arial" w:hAnsi="Arial"/>
                <w:sz w:val="17"/>
                <w:szCs w:val="17"/>
                <w:b w:val="1"/>
                <w:bCs w:val="1"/>
                <w:color w:val="auto"/>
              </w:rPr>
              <w:t>Section 7.12(b) — Consolidated Fixed Charge Coverage Ratio:</w:t>
            </w:r>
            <w:r>
              <w:rPr>
                <w:rFonts w:ascii="Arial" w:cs="Arial" w:eastAsia="Arial" w:hAnsi="Arial"/>
                <w:sz w:val="20"/>
                <w:szCs w:val="20"/>
                <w:color w:val="auto"/>
              </w:rPr>
              <w:t xml:space="preserve"> </w:t>
            </w:r>
            <w:r>
              <w:rPr>
                <w:rFonts w:ascii="Arial" w:cs="Arial" w:eastAsia="Arial" w:hAnsi="Arial"/>
                <w:sz w:val="17"/>
                <w:szCs w:val="17"/>
                <w:color w:val="auto"/>
              </w:rPr>
              <w:t>Consolidated EBITDAR</w:t>
            </w: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5"/>
          </w:tcPr>
          <w:p>
            <w:pPr>
              <w:spacing w:after="0" w:line="196" w:lineRule="exact"/>
              <w:rPr>
                <w:sz w:val="20"/>
                <w:szCs w:val="20"/>
                <w:color w:val="auto"/>
              </w:rPr>
            </w:pPr>
            <w:r>
              <w:rPr>
                <w:rFonts w:ascii="Arial" w:cs="Arial" w:eastAsia="Arial" w:hAnsi="Arial"/>
                <w:sz w:val="18"/>
                <w:szCs w:val="18"/>
                <w:color w:val="auto"/>
              </w:rPr>
              <w:t>(Line I.D.5) divided by Consolidated Fixed Charges (Line I.F.2)</w:t>
            </w: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Minimum permitted (other than during a Specified Test Period)</w:t>
      </w:r>
      <w:r>
        <w:rPr>
          <w:rFonts w:ascii="Arial" w:cs="Arial" w:eastAsia="Arial" w:hAnsi="Arial"/>
          <w:sz w:val="25"/>
          <w:szCs w:val="25"/>
          <w:i w:val="1"/>
          <w:iCs w:val="1"/>
          <w:color w:val="auto"/>
          <w:vertAlign w:val="superscript"/>
        </w:rPr>
        <w:t>7</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30" w:lineRule="exact"/>
        <w:rPr>
          <w:sz w:val="20"/>
          <w:szCs w:val="20"/>
          <w:color w:val="auto"/>
        </w:rPr>
      </w:pPr>
    </w:p>
    <w:tbl>
      <w:tblPr>
        <w:tblLayout w:type="fixed"/>
        <w:tblInd w:w="1090" w:type="dxa"/>
        <w:tblCellMar>
          <w:top w:w="0" w:type="dxa"/>
          <w:left w:w="0" w:type="dxa"/>
          <w:bottom w:w="0" w:type="dxa"/>
          <w:right w:w="0" w:type="dxa"/>
        </w:tblCellMar>
      </w:tblPr>
      <w:tr>
        <w:trPr>
          <w:trHeight w:val="257"/>
        </w:trPr>
        <w:tc>
          <w:tcPr>
            <w:tcW w:w="4020" w:type="dxa"/>
            <w:vAlign w:val="bottom"/>
            <w:tcBorders>
              <w:top w:val="single" w:sz="8" w:color="00000A"/>
              <w:left w:val="single" w:sz="8" w:color="00000A"/>
              <w:right w:val="single" w:sz="8" w:color="00000A"/>
            </w:tcBorders>
          </w:tcPr>
          <w:p>
            <w:pPr>
              <w:ind w:left="1820"/>
              <w:spacing w:after="0"/>
              <w:rPr>
                <w:sz w:val="20"/>
                <w:szCs w:val="20"/>
                <w:color w:val="auto"/>
              </w:rPr>
            </w:pPr>
            <w:r>
              <w:rPr>
                <w:rFonts w:ascii="Arial" w:cs="Arial" w:eastAsia="Arial" w:hAnsi="Arial"/>
                <w:sz w:val="18"/>
                <w:szCs w:val="18"/>
                <w:b w:val="1"/>
                <w:bCs w:val="1"/>
                <w:color w:val="auto"/>
              </w:rPr>
              <w:t>Date</w:t>
            </w:r>
          </w:p>
        </w:tc>
        <w:tc>
          <w:tcPr>
            <w:tcW w:w="3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3"/>
              </w:rPr>
              <w:t>Ratio</w:t>
            </w:r>
          </w:p>
        </w:tc>
        <w:tc>
          <w:tcPr>
            <w:tcW w:w="0" w:type="dxa"/>
            <w:vAlign w:val="bottom"/>
          </w:tcPr>
          <w:p>
            <w:pPr>
              <w:spacing w:after="0"/>
              <w:rPr>
                <w:sz w:val="1"/>
                <w:szCs w:val="1"/>
                <w:color w:val="auto"/>
              </w:rPr>
            </w:pP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As of the last day of the first fiscal quarter of fiscal</w:t>
            </w:r>
          </w:p>
        </w:tc>
        <w:tc>
          <w:tcPr>
            <w:tcW w:w="32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0"/>
              </w:rPr>
              <w:t xml:space="preserve">2.25 </w:t>
            </w:r>
            <w:r>
              <w:rPr>
                <w:rFonts w:ascii="Arial" w:cs="Arial" w:eastAsia="Arial" w:hAnsi="Arial"/>
                <w:sz w:val="18"/>
                <w:szCs w:val="18"/>
                <w:color w:val="auto"/>
                <w:w w:val="90"/>
              </w:rPr>
              <w:t>to 1.00</w:t>
            </w:r>
          </w:p>
        </w:tc>
        <w:tc>
          <w:tcPr>
            <w:tcW w:w="0" w:type="dxa"/>
            <w:vAlign w:val="bottom"/>
          </w:tcPr>
          <w:p>
            <w:pPr>
              <w:spacing w:after="0"/>
              <w:rPr>
                <w:sz w:val="1"/>
                <w:szCs w:val="1"/>
                <w:color w:val="auto"/>
              </w:rPr>
            </w:pPr>
          </w:p>
        </w:tc>
      </w:tr>
      <w:tr>
        <w:trPr>
          <w:trHeight w:val="122"/>
        </w:trPr>
        <w:tc>
          <w:tcPr>
            <w:tcW w:w="40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year 2020</w:t>
            </w:r>
          </w:p>
        </w:tc>
        <w:tc>
          <w:tcPr>
            <w:tcW w:w="324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20" w:type="dxa"/>
            <w:vAlign w:val="bottom"/>
            <w:tcBorders>
              <w:left w:val="single" w:sz="8" w:color="00000A"/>
              <w:right w:val="single" w:sz="8" w:color="00000A"/>
            </w:tcBorders>
            <w:vMerge w:val="continue"/>
          </w:tcPr>
          <w:p>
            <w:pPr>
              <w:spacing w:after="0"/>
              <w:rPr>
                <w:sz w:val="9"/>
                <w:szCs w:val="9"/>
                <w:color w:val="auto"/>
              </w:rPr>
            </w:pPr>
          </w:p>
        </w:tc>
        <w:tc>
          <w:tcPr>
            <w:tcW w:w="32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As of the last day of the first fiscal quarter of fiscal</w:t>
            </w:r>
          </w:p>
        </w:tc>
        <w:tc>
          <w:tcPr>
            <w:tcW w:w="32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0"/>
              </w:rPr>
              <w:t xml:space="preserve">1.25 </w:t>
            </w:r>
            <w:r>
              <w:rPr>
                <w:rFonts w:ascii="Arial" w:cs="Arial" w:eastAsia="Arial" w:hAnsi="Arial"/>
                <w:sz w:val="18"/>
                <w:szCs w:val="18"/>
                <w:color w:val="auto"/>
                <w:w w:val="90"/>
              </w:rPr>
              <w:t>to 1.00</w:t>
            </w:r>
          </w:p>
        </w:tc>
        <w:tc>
          <w:tcPr>
            <w:tcW w:w="0" w:type="dxa"/>
            <w:vAlign w:val="bottom"/>
          </w:tcPr>
          <w:p>
            <w:pPr>
              <w:spacing w:after="0"/>
              <w:rPr>
                <w:sz w:val="1"/>
                <w:szCs w:val="1"/>
                <w:color w:val="auto"/>
              </w:rPr>
            </w:pPr>
          </w:p>
        </w:tc>
      </w:tr>
      <w:tr>
        <w:trPr>
          <w:trHeight w:val="122"/>
        </w:trPr>
        <w:tc>
          <w:tcPr>
            <w:tcW w:w="40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year 2021</w:t>
            </w:r>
          </w:p>
        </w:tc>
        <w:tc>
          <w:tcPr>
            <w:tcW w:w="324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20" w:type="dxa"/>
            <w:vAlign w:val="bottom"/>
            <w:tcBorders>
              <w:left w:val="single" w:sz="8" w:color="00000A"/>
              <w:right w:val="single" w:sz="8" w:color="00000A"/>
            </w:tcBorders>
            <w:vMerge w:val="continue"/>
          </w:tcPr>
          <w:p>
            <w:pPr>
              <w:spacing w:after="0"/>
              <w:rPr>
                <w:sz w:val="9"/>
                <w:szCs w:val="9"/>
                <w:color w:val="auto"/>
              </w:rPr>
            </w:pPr>
          </w:p>
        </w:tc>
        <w:tc>
          <w:tcPr>
            <w:tcW w:w="32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2"/>
              </w:rPr>
              <w:t>As of the last day of the second fiscal quarter of fiscal</w:t>
            </w:r>
          </w:p>
        </w:tc>
        <w:tc>
          <w:tcPr>
            <w:tcW w:w="32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0"/>
              </w:rPr>
              <w:t xml:space="preserve">1.50 </w:t>
            </w:r>
            <w:r>
              <w:rPr>
                <w:rFonts w:ascii="Arial" w:cs="Arial" w:eastAsia="Arial" w:hAnsi="Arial"/>
                <w:sz w:val="18"/>
                <w:szCs w:val="18"/>
                <w:color w:val="auto"/>
                <w:w w:val="90"/>
              </w:rPr>
              <w:t>to 1.00</w:t>
            </w:r>
          </w:p>
        </w:tc>
        <w:tc>
          <w:tcPr>
            <w:tcW w:w="0" w:type="dxa"/>
            <w:vAlign w:val="bottom"/>
          </w:tcPr>
          <w:p>
            <w:pPr>
              <w:spacing w:after="0"/>
              <w:rPr>
                <w:sz w:val="1"/>
                <w:szCs w:val="1"/>
                <w:color w:val="auto"/>
              </w:rPr>
            </w:pPr>
          </w:p>
        </w:tc>
      </w:tr>
      <w:tr>
        <w:trPr>
          <w:trHeight w:val="122"/>
        </w:trPr>
        <w:tc>
          <w:tcPr>
            <w:tcW w:w="40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year 2021</w:t>
            </w:r>
          </w:p>
        </w:tc>
        <w:tc>
          <w:tcPr>
            <w:tcW w:w="324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20" w:type="dxa"/>
            <w:vAlign w:val="bottom"/>
            <w:tcBorders>
              <w:left w:val="single" w:sz="8" w:color="00000A"/>
              <w:right w:val="single" w:sz="8" w:color="00000A"/>
            </w:tcBorders>
            <w:vMerge w:val="continue"/>
          </w:tcPr>
          <w:p>
            <w:pPr>
              <w:spacing w:after="0"/>
              <w:rPr>
                <w:sz w:val="9"/>
                <w:szCs w:val="9"/>
                <w:color w:val="auto"/>
              </w:rPr>
            </w:pPr>
          </w:p>
        </w:tc>
        <w:tc>
          <w:tcPr>
            <w:tcW w:w="32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7"/>
              </w:rPr>
              <w:t>As of the last day of the third fiscal quarter of fiscal</w:t>
            </w:r>
          </w:p>
        </w:tc>
        <w:tc>
          <w:tcPr>
            <w:tcW w:w="32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0"/>
              </w:rPr>
              <w:t xml:space="preserve">1.75 </w:t>
            </w:r>
            <w:r>
              <w:rPr>
                <w:rFonts w:ascii="Arial" w:cs="Arial" w:eastAsia="Arial" w:hAnsi="Arial"/>
                <w:sz w:val="18"/>
                <w:szCs w:val="18"/>
                <w:color w:val="auto"/>
                <w:w w:val="90"/>
              </w:rPr>
              <w:t>to 1.00</w:t>
            </w:r>
          </w:p>
        </w:tc>
        <w:tc>
          <w:tcPr>
            <w:tcW w:w="0" w:type="dxa"/>
            <w:vAlign w:val="bottom"/>
          </w:tcPr>
          <w:p>
            <w:pPr>
              <w:spacing w:after="0"/>
              <w:rPr>
                <w:sz w:val="1"/>
                <w:szCs w:val="1"/>
                <w:color w:val="auto"/>
              </w:rPr>
            </w:pPr>
          </w:p>
        </w:tc>
      </w:tr>
      <w:tr>
        <w:trPr>
          <w:trHeight w:val="122"/>
        </w:trPr>
        <w:tc>
          <w:tcPr>
            <w:tcW w:w="40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year 2021</w:t>
            </w:r>
          </w:p>
        </w:tc>
        <w:tc>
          <w:tcPr>
            <w:tcW w:w="324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20" w:type="dxa"/>
            <w:vAlign w:val="bottom"/>
            <w:tcBorders>
              <w:left w:val="single" w:sz="8" w:color="00000A"/>
              <w:right w:val="single" w:sz="8" w:color="00000A"/>
            </w:tcBorders>
            <w:vMerge w:val="continue"/>
          </w:tcPr>
          <w:p>
            <w:pPr>
              <w:spacing w:after="0"/>
              <w:rPr>
                <w:sz w:val="9"/>
                <w:szCs w:val="9"/>
                <w:color w:val="auto"/>
              </w:rPr>
            </w:pPr>
          </w:p>
        </w:tc>
        <w:tc>
          <w:tcPr>
            <w:tcW w:w="32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5"/>
              </w:rPr>
              <w:t>As of the last day of the fourth fiscal quarter of fiscal</w:t>
            </w:r>
          </w:p>
        </w:tc>
        <w:tc>
          <w:tcPr>
            <w:tcW w:w="32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0"/>
              </w:rPr>
              <w:t xml:space="preserve">1.85 </w:t>
            </w:r>
            <w:r>
              <w:rPr>
                <w:rFonts w:ascii="Arial" w:cs="Arial" w:eastAsia="Arial" w:hAnsi="Arial"/>
                <w:sz w:val="18"/>
                <w:szCs w:val="18"/>
                <w:color w:val="auto"/>
                <w:w w:val="90"/>
              </w:rPr>
              <w:t>to 1.00</w:t>
            </w:r>
          </w:p>
        </w:tc>
        <w:tc>
          <w:tcPr>
            <w:tcW w:w="0" w:type="dxa"/>
            <w:vAlign w:val="bottom"/>
          </w:tcPr>
          <w:p>
            <w:pPr>
              <w:spacing w:after="0"/>
              <w:rPr>
                <w:sz w:val="1"/>
                <w:szCs w:val="1"/>
                <w:color w:val="auto"/>
              </w:rPr>
            </w:pPr>
          </w:p>
        </w:tc>
      </w:tr>
      <w:tr>
        <w:trPr>
          <w:trHeight w:val="216"/>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2"/>
              </w:rPr>
              <w:t>year 2021 and the last day of the first fiscal quarter of</w:t>
            </w:r>
          </w:p>
        </w:tc>
        <w:tc>
          <w:tcPr>
            <w:tcW w:w="3240" w:type="dxa"/>
            <w:vAlign w:val="bottom"/>
            <w:tcBorders>
              <w:right w:val="single" w:sz="8" w:color="00000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fiscal year 2022</w:t>
            </w:r>
          </w:p>
        </w:tc>
        <w:tc>
          <w:tcPr>
            <w:tcW w:w="324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2"/>
              </w:rPr>
              <w:t>As of the last day of the second fiscal quarter of fiscal</w:t>
            </w:r>
          </w:p>
        </w:tc>
        <w:tc>
          <w:tcPr>
            <w:tcW w:w="32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0"/>
              </w:rPr>
              <w:t>[2.25][1.85]</w:t>
            </w:r>
            <w:r>
              <w:rPr>
                <w:rFonts w:ascii="Arial" w:cs="Arial" w:eastAsia="Arial" w:hAnsi="Arial"/>
                <w:sz w:val="25"/>
                <w:szCs w:val="25"/>
                <w:b w:val="1"/>
                <w:bCs w:val="1"/>
                <w:color w:val="auto"/>
                <w:w w:val="90"/>
                <w:vertAlign w:val="superscript"/>
              </w:rPr>
              <w:t>8</w:t>
            </w:r>
            <w:r>
              <w:rPr>
                <w:rFonts w:ascii="Arial" w:cs="Arial" w:eastAsia="Arial" w:hAnsi="Arial"/>
                <w:sz w:val="18"/>
                <w:szCs w:val="18"/>
                <w:b w:val="1"/>
                <w:bCs w:val="1"/>
                <w:color w:val="auto"/>
                <w:w w:val="90"/>
              </w:rPr>
              <w:t xml:space="preserve"> </w:t>
            </w:r>
            <w:r>
              <w:rPr>
                <w:rFonts w:ascii="Arial" w:cs="Arial" w:eastAsia="Arial" w:hAnsi="Arial"/>
                <w:sz w:val="18"/>
                <w:szCs w:val="18"/>
                <w:color w:val="auto"/>
                <w:w w:val="90"/>
              </w:rPr>
              <w:t>to 1.00</w:t>
            </w:r>
          </w:p>
        </w:tc>
        <w:tc>
          <w:tcPr>
            <w:tcW w:w="0" w:type="dxa"/>
            <w:vAlign w:val="bottom"/>
          </w:tcPr>
          <w:p>
            <w:pPr>
              <w:spacing w:after="0"/>
              <w:rPr>
                <w:sz w:val="1"/>
                <w:szCs w:val="1"/>
                <w:color w:val="auto"/>
              </w:rPr>
            </w:pPr>
          </w:p>
        </w:tc>
      </w:tr>
      <w:tr>
        <w:trPr>
          <w:trHeight w:val="176"/>
        </w:trPr>
        <w:tc>
          <w:tcPr>
            <w:tcW w:w="40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year 2022 or thereafter</w:t>
            </w:r>
          </w:p>
        </w:tc>
        <w:tc>
          <w:tcPr>
            <w:tcW w:w="3240" w:type="dxa"/>
            <w:vAlign w:val="bottom"/>
            <w:tcBorders>
              <w:right w:val="single" w:sz="8" w:color="00000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20" w:type="dxa"/>
            <w:vAlign w:val="bottom"/>
            <w:tcBorders>
              <w:left w:val="single" w:sz="8" w:color="00000A"/>
              <w:right w:val="single" w:sz="8" w:color="00000A"/>
            </w:tcBorders>
            <w:vMerge w:val="continue"/>
          </w:tcPr>
          <w:p>
            <w:pPr>
              <w:spacing w:after="0"/>
              <w:rPr>
                <w:sz w:val="4"/>
                <w:szCs w:val="4"/>
                <w:color w:val="auto"/>
              </w:rPr>
            </w:pPr>
          </w:p>
        </w:tc>
        <w:tc>
          <w:tcPr>
            <w:tcW w:w="324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291465</wp:posOffset>
            </wp:positionV>
            <wp:extent cx="1097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80"/>
        <w:spacing w:after="0" w:line="245" w:lineRule="auto"/>
        <w:rPr>
          <w:sz w:val="20"/>
          <w:szCs w:val="20"/>
          <w:color w:val="auto"/>
        </w:rPr>
      </w:pPr>
      <w:r>
        <w:rPr>
          <w:rFonts w:ascii="Arial" w:cs="Arial" w:eastAsia="Arial" w:hAnsi="Arial"/>
          <w:sz w:val="22"/>
          <w:szCs w:val="22"/>
          <w:color w:val="auto"/>
          <w:vertAlign w:val="superscript"/>
        </w:rPr>
        <w:t>7</w:t>
      </w:r>
      <w:r>
        <w:rPr>
          <w:rFonts w:ascii="Arial" w:cs="Arial" w:eastAsia="Arial" w:hAnsi="Arial"/>
          <w:sz w:val="16"/>
          <w:szCs w:val="16"/>
          <w:color w:val="auto"/>
        </w:rPr>
        <w:t>Other than during the Restricted Period, if any Material Acquisition shall occur and the minimum Consolidated Fixed Charge Coverage Ratio, on a Pro forma Basis giving effect to the consummation of such Material Acquisition, shall be at least 2.25:1.00 (or, if the Adjusted FCCR Level is in effect,</w:t>
      </w:r>
    </w:p>
    <w:p>
      <w:pPr>
        <w:spacing w:after="0"/>
        <w:rPr>
          <w:sz w:val="20"/>
          <w:szCs w:val="20"/>
          <w:color w:val="auto"/>
        </w:rPr>
      </w:pPr>
      <w:r>
        <w:rPr>
          <w:rFonts w:ascii="Arial" w:cs="Arial" w:eastAsia="Arial" w:hAnsi="Arial"/>
          <w:sz w:val="16"/>
          <w:szCs w:val="16"/>
          <w:color w:val="auto"/>
        </w:rPr>
        <w:t>1.85:1.00), then the minimum Consolidated Fixed Charge Coverage Ratio required under Section 7.12(b) of the Credit Agreement shall be decreased from</w:t>
      </w:r>
    </w:p>
    <w:p>
      <w:pPr>
        <w:spacing w:after="0" w:line="32"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 xml:space="preserve">2.25:1.00 to 2.00:1.00 (or, if the Adjusted FCCR Level is in effect, 1.60:1.00) for the fiscal quarter of the U.S. Borrower in which such Material Acquisition is consummated and the three (3) fiscal quarters of the U.S. Borrower immediately following such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other than during the Restricted Period and notwithstanding successive Material Acquisitions, the minimum Consolidated Fixed Charge Coverage Ratio required under such Section shall not step down to (x) if the Adjusted FCCR Level is in effect, 1.60:1.00 or (y) otherwise, 2.00:1.00 for more than four (4) fiscal quarters in any six (6) fiscal quarter period.</w:t>
      </w:r>
    </w:p>
    <w:p>
      <w:pPr>
        <w:ind w:left="120" w:hanging="112"/>
        <w:spacing w:after="0" w:line="196" w:lineRule="auto"/>
        <w:tabs>
          <w:tab w:leader="none" w:pos="120" w:val="left"/>
        </w:tabs>
        <w:numPr>
          <w:ilvl w:val="0"/>
          <w:numId w:val="255"/>
        </w:numPr>
        <w:rPr>
          <w:rFonts w:ascii="Arial" w:cs="Arial" w:eastAsia="Arial" w:hAnsi="Arial"/>
          <w:sz w:val="25"/>
          <w:szCs w:val="25"/>
          <w:color w:val="auto"/>
          <w:vertAlign w:val="superscript"/>
        </w:rPr>
      </w:pPr>
      <w:r>
        <w:rPr>
          <w:rFonts w:ascii="Arial" w:cs="Arial" w:eastAsia="Arial" w:hAnsi="Arial"/>
          <w:sz w:val="18"/>
          <w:szCs w:val="18"/>
          <w:color w:val="auto"/>
        </w:rPr>
        <w:t>If prior to the last day of such fiscal quarter, the Post-Amendment No. 2 Bond Issuance shall have occurred</w:t>
      </w: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50" w:lineRule="exact"/>
        <w:rPr>
          <w:rFonts w:ascii="Arial" w:cs="Arial" w:eastAsia="Arial" w:hAnsi="Arial"/>
          <w:sz w:val="25"/>
          <w:szCs w:val="25"/>
          <w:color w:val="auto"/>
          <w:vertAlign w:val="superscript"/>
        </w:rPr>
      </w:pPr>
    </w:p>
    <w:p>
      <w:pPr>
        <w:ind w:left="4900"/>
        <w:spacing w:after="0"/>
        <w:rPr>
          <w:rFonts w:ascii="Arial" w:cs="Arial" w:eastAsia="Arial" w:hAnsi="Arial"/>
          <w:sz w:val="25"/>
          <w:szCs w:val="25"/>
          <w:color w:val="auto"/>
          <w:vertAlign w:val="superscript"/>
        </w:rPr>
      </w:pPr>
      <w:r>
        <w:rPr>
          <w:rFonts w:ascii="Arial" w:cs="Arial" w:eastAsia="Arial" w:hAnsi="Arial"/>
          <w:sz w:val="18"/>
          <w:szCs w:val="18"/>
          <w:color w:val="auto"/>
        </w:rPr>
        <w:t>Ex. D, Schedule 2-8</w:t>
      </w:r>
    </w:p>
    <w:p>
      <w:pPr>
        <w:sectPr>
          <w:pgSz w:w="11900" w:h="16838" w:orient="portrait"/>
          <w:cols w:equalWidth="0" w:num="1">
            <w:col w:w="11140"/>
          </w:cols>
          <w:pgMar w:left="320" w:top="687" w:right="439" w:bottom="1440" w:gutter="0" w:footer="0" w:header="0"/>
        </w:sectPr>
      </w:pPr>
    </w:p>
    <w:bookmarkStart w:id="232" w:name="page233"/>
    <w:bookmarkEnd w:id="232"/>
    <w:p>
      <w:pPr>
        <w:ind w:left="480"/>
        <w:spacing w:after="0"/>
        <w:tabs>
          <w:tab w:leader="none" w:pos="8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6"/>
          <w:szCs w:val="16"/>
          <w:b w:val="1"/>
          <w:bCs w:val="1"/>
          <w:u w:val="single" w:color="auto"/>
          <w:color w:val="auto"/>
        </w:rPr>
        <w:t>Section 7.12(d) — Minimum Consolidated EBITDA</w:t>
      </w:r>
      <w:r>
        <w:rPr>
          <w:rFonts w:ascii="Arial" w:cs="Arial" w:eastAsia="Arial" w:hAnsi="Arial"/>
          <w:sz w:val="22"/>
          <w:szCs w:val="22"/>
          <w:b w:val="1"/>
          <w:bCs w:val="1"/>
          <w:u w:val="single" w:color="auto"/>
          <w:color w:val="auto"/>
          <w:vertAlign w:val="superscript"/>
        </w:rPr>
        <w:t>9</w:t>
      </w:r>
    </w:p>
    <w:p>
      <w:pPr>
        <w:spacing w:after="0" w:line="24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60" w:type="dxa"/>
            <w:vAlign w:val="bottom"/>
            <w:gridSpan w:val="2"/>
          </w:tcPr>
          <w:p>
            <w:pPr>
              <w:ind w:left="1120"/>
              <w:spacing w:after="0"/>
              <w:rPr>
                <w:sz w:val="20"/>
                <w:szCs w:val="20"/>
                <w:color w:val="auto"/>
              </w:rPr>
            </w:pPr>
            <w:r>
              <w:rPr>
                <w:rFonts w:ascii="Arial" w:cs="Arial" w:eastAsia="Arial" w:hAnsi="Arial"/>
                <w:sz w:val="20"/>
                <w:szCs w:val="20"/>
                <w:color w:val="auto"/>
              </w:rPr>
              <w:t>1.</w:t>
            </w:r>
          </w:p>
        </w:tc>
        <w:tc>
          <w:tcPr>
            <w:tcW w:w="6960" w:type="dxa"/>
            <w:vAlign w:val="bottom"/>
            <w:gridSpan w:val="3"/>
          </w:tcPr>
          <w:p>
            <w:pPr>
              <w:ind w:left="380"/>
              <w:spacing w:after="0"/>
              <w:rPr>
                <w:sz w:val="20"/>
                <w:szCs w:val="20"/>
                <w:color w:val="auto"/>
              </w:rPr>
            </w:pPr>
            <w:r>
              <w:rPr>
                <w:rFonts w:ascii="Arial" w:cs="Arial" w:eastAsia="Arial" w:hAnsi="Arial"/>
                <w:sz w:val="18"/>
                <w:szCs w:val="18"/>
                <w:color w:val="auto"/>
                <w:w w:val="97"/>
              </w:rPr>
              <w:t>If during the Restricted Period, Consolidated EBITDA for the Test Period (Line I.G.2)</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723"/>
        </w:trPr>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Minimum Consolidated EBITDA</w:t>
            </w:r>
            <w:r>
              <w:rPr>
                <w:rFonts w:ascii="Arial" w:cs="Arial" w:eastAsia="Arial" w:hAnsi="Arial"/>
                <w:sz w:val="18"/>
                <w:szCs w:val="18"/>
                <w:color w:val="auto"/>
              </w:rPr>
              <w:t>:</w:t>
            </w:r>
          </w:p>
        </w:tc>
        <w:tc>
          <w:tcPr>
            <w:tcW w:w="3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351"/>
        </w:trPr>
        <w:tc>
          <w:tcPr>
            <w:tcW w:w="10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60" w:type="dxa"/>
            <w:vAlign w:val="bottom"/>
          </w:tcPr>
          <w:p>
            <w:pPr>
              <w:ind w:left="760"/>
              <w:spacing w:after="0"/>
              <w:rPr>
                <w:sz w:val="20"/>
                <w:szCs w:val="20"/>
                <w:color w:val="auto"/>
              </w:rPr>
            </w:pPr>
            <w:r>
              <w:rPr>
                <w:rFonts w:ascii="Arial" w:cs="Arial" w:eastAsia="Arial" w:hAnsi="Arial"/>
                <w:sz w:val="18"/>
                <w:szCs w:val="18"/>
                <w:b w:val="1"/>
                <w:bCs w:val="1"/>
                <w:color w:val="auto"/>
              </w:rPr>
              <w:t>Fiscal Quarter</w:t>
            </w:r>
          </w:p>
        </w:tc>
        <w:tc>
          <w:tcPr>
            <w:tcW w:w="4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Minimum Consolidated EBITDA</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1080" w:type="dxa"/>
            <w:vAlign w:val="bottom"/>
          </w:tcPr>
          <w:p>
            <w:pPr>
              <w:spacing w:after="0"/>
              <w:rPr>
                <w:sz w:val="2"/>
                <w:szCs w:val="2"/>
                <w:color w:val="auto"/>
              </w:rPr>
            </w:pPr>
          </w:p>
        </w:tc>
        <w:tc>
          <w:tcPr>
            <w:tcW w:w="3540" w:type="dxa"/>
            <w:vAlign w:val="bottom"/>
            <w:tcBorders>
              <w:bottom w:val="single" w:sz="8" w:color="auto"/>
            </w:tcBorders>
            <w:gridSpan w:val="2"/>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1080" w:type="dxa"/>
            <w:vAlign w:val="bottom"/>
          </w:tcPr>
          <w:p>
            <w:pPr>
              <w:spacing w:after="0"/>
              <w:rPr>
                <w:sz w:val="20"/>
                <w:szCs w:val="20"/>
                <w:color w:val="auto"/>
              </w:rPr>
            </w:pP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Second fiscal quarter of fiscal year 2020</w:t>
            </w:r>
          </w:p>
        </w:tc>
        <w:tc>
          <w:tcPr>
            <w:tcW w:w="3500" w:type="dxa"/>
            <w:vAlign w:val="bottom"/>
          </w:tcPr>
          <w:p>
            <w:pPr>
              <w:jc w:val="right"/>
              <w:ind w:right="1030"/>
              <w:spacing w:after="0"/>
              <w:rPr>
                <w:sz w:val="20"/>
                <w:szCs w:val="20"/>
                <w:color w:val="auto"/>
              </w:rPr>
            </w:pPr>
            <w:r>
              <w:rPr>
                <w:rFonts w:ascii="Arial" w:cs="Arial" w:eastAsia="Arial" w:hAnsi="Arial"/>
                <w:sz w:val="18"/>
                <w:szCs w:val="18"/>
                <w:color w:val="auto"/>
              </w:rPr>
              <w:t>$247,100,000</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-342265</wp:posOffset>
            </wp:positionV>
            <wp:extent cx="4465955" cy="1499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4465955" cy="149987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Third fiscal quarter of fiscal year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$220,600,000</w:t>
      </w:r>
    </w:p>
    <w:p>
      <w:pPr>
        <w:spacing w:after="0" w:line="200" w:lineRule="exact"/>
        <w:rPr>
          <w:sz w:val="20"/>
          <w:szCs w:val="20"/>
          <w:color w:val="auto"/>
        </w:rPr>
      </w:pPr>
    </w:p>
    <w:p>
      <w:pPr>
        <w:sectPr>
          <w:pgSz w:w="11900" w:h="16838" w:orient="portrait"/>
          <w:cols w:equalWidth="0" w:num="2">
            <w:col w:w="5280" w:space="720"/>
            <w:col w:w="5240"/>
          </w:cols>
          <w:pgMar w:left="320" w:top="499" w:right="339" w:bottom="1440" w:gutter="0" w:footer="0" w:header="0"/>
          <w:type w:val="continuous"/>
        </w:sectPr>
      </w:pPr>
    </w:p>
    <w:p>
      <w:pPr>
        <w:spacing w:after="0" w:line="30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Fourth fiscal quarter of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4890135</wp:posOffset>
            </wp:positionV>
            <wp:extent cx="1714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$204,650,000</w:t>
      </w:r>
    </w:p>
    <w:p>
      <w:pPr>
        <w:spacing w:after="0" w:line="200" w:lineRule="exact"/>
        <w:rPr>
          <w:sz w:val="20"/>
          <w:szCs w:val="20"/>
          <w:color w:val="auto"/>
        </w:rPr>
      </w:pPr>
    </w:p>
    <w:p>
      <w:pPr>
        <w:sectPr>
          <w:pgSz w:w="11900" w:h="16838" w:orient="portrait"/>
          <w:cols w:equalWidth="0" w:num="2">
            <w:col w:w="5280" w:space="720"/>
            <w:col w:w="5240"/>
          </w:cols>
          <w:pgMar w:left="320" w:top="4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resulting in an issuance of debt securities by U.S. Borrower in an aggregate principal amount of no less than $400,000,000, then the minimum Consolidated Fixed Charge Coverage Ratio required under Section 7.12(b) of the Credit Agreement shall be decreased from 2.25:1.00 to 1.85:1.00 (the “Adjusted FCCR Level”).</w:t>
      </w:r>
    </w:p>
    <w:p>
      <w:pPr>
        <w:spacing w:after="0" w:line="35" w:lineRule="exact"/>
        <w:rPr>
          <w:sz w:val="20"/>
          <w:szCs w:val="20"/>
          <w:color w:val="auto"/>
        </w:rPr>
      </w:pPr>
    </w:p>
    <w:p>
      <w:pPr>
        <w:jc w:val="both"/>
        <w:ind w:right="360" w:firstLine="8"/>
        <w:spacing w:after="0" w:line="235" w:lineRule="auto"/>
        <w:tabs>
          <w:tab w:leader="none" w:pos="112" w:val="left"/>
        </w:tabs>
        <w:numPr>
          <w:ilvl w:val="0"/>
          <w:numId w:val="256"/>
        </w:numPr>
        <w:rPr>
          <w:rFonts w:ascii="Arial" w:cs="Arial" w:eastAsia="Arial" w:hAnsi="Arial"/>
          <w:sz w:val="25"/>
          <w:szCs w:val="25"/>
          <w:color w:val="auto"/>
          <w:vertAlign w:val="superscript"/>
        </w:rPr>
      </w:pPr>
      <w:r>
        <w:rPr>
          <w:rFonts w:ascii="Arial" w:cs="Arial" w:eastAsia="Arial" w:hAnsi="Arial"/>
          <w:sz w:val="18"/>
          <w:szCs w:val="18"/>
          <w:color w:val="auto"/>
        </w:rPr>
        <w:t>To be applicable for any Specified Test Period the last fiscal quarter of which is set forth below (unless, prior to the last day of such fiscal quarter, the Post-Amendment No. 2 Bond Issuance shall have occurred resulting in an issuance of debt securities by U.S. Borrower in an aggregate gross principal amount of no less than $400,000,000).</w:t>
      </w:r>
    </w:p>
    <w:p>
      <w:pPr>
        <w:sectPr>
          <w:pgSz w:w="11900" w:h="16838" w:orient="portrait"/>
          <w:cols w:equalWidth="0" w:num="1">
            <w:col w:w="11240"/>
          </w:cols>
          <w:pgMar w:left="320" w:top="4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 D, Schedule 2-9</w:t>
      </w:r>
    </w:p>
    <w:p>
      <w:pPr>
        <w:sectPr>
          <w:pgSz w:w="11900" w:h="16838" w:orient="portrait"/>
          <w:cols w:equalWidth="0" w:num="1">
            <w:col w:w="11240"/>
          </w:cols>
          <w:pgMar w:left="320" w:top="499" w:right="339" w:bottom="1440" w:gutter="0" w:footer="0" w:header="0"/>
          <w:type w:val="continuous"/>
        </w:sectPr>
      </w:pPr>
    </w:p>
    <w:bookmarkStart w:id="233" w:name="page234"/>
    <w:bookmarkEnd w:id="233"/>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80"/>
        <w:spacing w:after="0"/>
        <w:tabs>
          <w:tab w:leader="none" w:pos="6880" w:val="left"/>
        </w:tabs>
        <w:rPr>
          <w:sz w:val="20"/>
          <w:szCs w:val="20"/>
          <w:color w:val="auto"/>
        </w:rPr>
      </w:pPr>
      <w:r>
        <w:rPr>
          <w:rFonts w:ascii="Arial" w:cs="Arial" w:eastAsia="Arial" w:hAnsi="Arial"/>
          <w:sz w:val="18"/>
          <w:szCs w:val="18"/>
          <w:color w:val="auto"/>
        </w:rPr>
        <w:t>July 24, 2020</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31750</wp:posOffset>
            </wp:positionV>
            <wp:extent cx="18345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7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341"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80"/>
        <w:spacing w:after="0"/>
        <w:tabs>
          <w:tab w:leader="none" w:pos="6320" w:val="left"/>
        </w:tabs>
        <w:rPr>
          <w:sz w:val="20"/>
          <w:szCs w:val="20"/>
          <w:color w:val="auto"/>
        </w:rPr>
      </w:pPr>
      <w:r>
        <w:rPr>
          <w:rFonts w:ascii="Arial" w:cs="Arial" w:eastAsia="Arial" w:hAnsi="Arial"/>
          <w:sz w:val="18"/>
          <w:szCs w:val="18"/>
          <w:color w:val="auto"/>
        </w:rPr>
        <w:t>July 24, 2020</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21685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8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247"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of the undersigned in the capacity indicated hereby certifies that, to his knowledge, this Report on Form 10-Q for the fiscal quarter ended</w:t>
      </w:r>
    </w:p>
    <w:p>
      <w:pPr>
        <w:spacing w:after="0" w:line="3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June 27, 2020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40"/>
        <w:spacing w:after="0"/>
        <w:tabs>
          <w:tab w:leader="none" w:pos="6460" w:val="left"/>
        </w:tabs>
        <w:rPr>
          <w:sz w:val="20"/>
          <w:szCs w:val="20"/>
          <w:color w:val="auto"/>
        </w:rPr>
      </w:pPr>
      <w:r>
        <w:rPr>
          <w:rFonts w:ascii="Arial" w:cs="Arial" w:eastAsia="Arial" w:hAnsi="Arial"/>
          <w:sz w:val="18"/>
          <w:szCs w:val="18"/>
          <w:color w:val="auto"/>
        </w:rPr>
        <w:t>July 24, 2020</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143510</wp:posOffset>
            </wp:positionV>
            <wp:extent cx="279463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59"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40"/>
        <w:spacing w:after="0"/>
        <w:tabs>
          <w:tab w:leader="none" w:pos="6080" w:val="left"/>
        </w:tabs>
        <w:rPr>
          <w:sz w:val="20"/>
          <w:szCs w:val="20"/>
          <w:color w:val="auto"/>
        </w:rPr>
      </w:pPr>
      <w:r>
        <w:rPr>
          <w:rFonts w:ascii="Arial" w:cs="Arial" w:eastAsia="Arial" w:hAnsi="Arial"/>
          <w:sz w:val="18"/>
          <w:szCs w:val="18"/>
          <w:color w:val="auto"/>
        </w:rPr>
        <w:t>July 24, 2020</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143510</wp:posOffset>
            </wp:positionV>
            <wp:extent cx="27946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C6AFD4"/>
    <w:multiLevelType w:val="hybridMultilevel"/>
    <w:lvl w:ilvl="0">
      <w:lvlJc w:val="left"/>
      <w:lvlText w:val="☐"/>
      <w:numFmt w:val="bullet"/>
      <w:start w:val="1"/>
    </w:lvl>
  </w:abstractNum>
  <w:abstractNum w:abstractNumId="1">
    <w:nsid w:val="19E21BB2"/>
    <w:multiLevelType w:val="hybridMultilevel"/>
    <w:lvl w:ilvl="0">
      <w:lvlJc w:val="left"/>
      <w:lvlText w:val="(*)"/>
      <w:numFmt w:val="bullet"/>
      <w:start w:val="1"/>
    </w:lvl>
  </w:abstractNum>
  <w:abstractNum w:abstractNumId="2">
    <w:nsid w:val="75E0858A"/>
    <w:multiLevelType w:val="hybridMultilevel"/>
    <w:lvl w:ilvl="0">
      <w:lvlJc w:val="left"/>
      <w:lvlText w:val="(*)"/>
      <w:numFmt w:val="bullet"/>
      <w:start w:val="1"/>
    </w:lvl>
  </w:abstractNum>
  <w:abstractNum w:abstractNumId="3">
    <w:nsid w:val="57A61A29"/>
    <w:multiLevelType w:val="hybridMultilevel"/>
    <w:lvl w:ilvl="0">
      <w:lvlJc w:val="left"/>
      <w:lvlText w:val="(%1)"/>
      <w:numFmt w:val="decimal"/>
      <w:start w:val="1"/>
    </w:lvl>
  </w:abstractNum>
  <w:abstractNum w:abstractNumId="4">
    <w:nsid w:val="5399C654"/>
    <w:multiLevelType w:val="hybridMultilevel"/>
    <w:lvl w:ilvl="0">
      <w:lvlJc w:val="left"/>
      <w:lvlText w:val="(*)"/>
      <w:numFmt w:val="bullet"/>
      <w:start w:val="1"/>
    </w:lvl>
  </w:abstractNum>
  <w:abstractNum w:abstractNumId="5">
    <w:nsid w:val="20EE1348"/>
    <w:multiLevelType w:val="hybridMultilevel"/>
    <w:lvl w:ilvl="0">
      <w:lvlJc w:val="left"/>
      <w:lvlText w:val="(*)"/>
      <w:numFmt w:val="bullet"/>
      <w:start w:val="1"/>
    </w:lvl>
  </w:abstractNum>
  <w:abstractNum w:abstractNumId="6">
    <w:nsid w:val="4427069A"/>
    <w:multiLevelType w:val="hybridMultilevel"/>
    <w:lvl w:ilvl="0">
      <w:lvlJc w:val="left"/>
      <w:lvlText w:val="(*)"/>
      <w:numFmt w:val="bullet"/>
      <w:start w:val="1"/>
    </w:lvl>
  </w:abstractNum>
  <w:abstractNum w:abstractNumId="7">
    <w:nsid w:val="B37E80A"/>
    <w:multiLevelType w:val="hybridMultilevel"/>
    <w:lvl w:ilvl="0">
      <w:lvlJc w:val="left"/>
      <w:lvlText w:val="(*)"/>
      <w:numFmt w:val="bullet"/>
      <w:start w:val="1"/>
    </w:lvl>
  </w:abstractNum>
  <w:abstractNum w:abstractNumId="8">
    <w:nsid w:val="2157F6BC"/>
    <w:multiLevelType w:val="hybridMultilevel"/>
    <w:lvl w:ilvl="0">
      <w:lvlJc w:val="left"/>
      <w:lvlText w:val="(%1)"/>
      <w:numFmt w:val="decimal"/>
      <w:start w:val="1"/>
    </w:lvl>
  </w:abstractNum>
  <w:abstractNum w:abstractNumId="9">
    <w:nsid w:val="704E1DD5"/>
    <w:multiLevelType w:val="hybridMultilevel"/>
    <w:lvl w:ilvl="0">
      <w:lvlJc w:val="left"/>
      <w:lvlText w:val="(*)"/>
      <w:numFmt w:val="bullet"/>
      <w:start w:val="1"/>
    </w:lvl>
  </w:abstractNum>
  <w:abstractNum w:abstractNumId="10">
    <w:nsid w:val="57D2F10E"/>
    <w:multiLevelType w:val="hybridMultilevel"/>
    <w:lvl w:ilvl="0">
      <w:lvlJc w:val="left"/>
      <w:lvlText w:val="(*)"/>
      <w:numFmt w:val="bullet"/>
      <w:start w:val="1"/>
    </w:lvl>
  </w:abstractNum>
  <w:abstractNum w:abstractNumId="11">
    <w:nsid w:val="BFFAE18"/>
    <w:multiLevelType w:val="hybridMultilevel"/>
    <w:lvl w:ilvl="0">
      <w:lvlJc w:val="left"/>
      <w:lvlText w:val="•"/>
      <w:numFmt w:val="bullet"/>
      <w:start w:val="1"/>
    </w:lvl>
  </w:abstractNum>
  <w:abstractNum w:abstractNumId="12">
    <w:nsid w:val="E3E47A8"/>
    <w:multiLevelType w:val="hybridMultilevel"/>
    <w:lvl w:ilvl="0">
      <w:lvlJc w:val="left"/>
      <w:lvlText w:val="•"/>
      <w:numFmt w:val="bullet"/>
      <w:start w:val="1"/>
    </w:lvl>
    <w:lvl w:ilvl="1">
      <w:lvlJc w:val="left"/>
      <w:lvlText w:val="◦"/>
      <w:numFmt w:val="bullet"/>
      <w:start w:val="1"/>
    </w:lvl>
  </w:abstractNum>
  <w:abstractNum w:abstractNumId="13">
    <w:nsid w:val="2E48F044"/>
    <w:multiLevelType w:val="hybridMultilevel"/>
    <w:lvl w:ilvl="0">
      <w:lvlJc w:val="left"/>
      <w:lvlText w:val="•"/>
      <w:numFmt w:val="bullet"/>
      <w:start w:val="1"/>
    </w:lvl>
  </w:abstractNum>
  <w:abstractNum w:abstractNumId="14">
    <w:nsid w:val="49D0FEAC"/>
    <w:multiLevelType w:val="hybridMultilevel"/>
    <w:lvl w:ilvl="0">
      <w:lvlJc w:val="left"/>
      <w:lvlText w:val="(*)"/>
      <w:numFmt w:val="bullet"/>
      <w:start w:val="1"/>
    </w:lvl>
  </w:abstractNum>
  <w:abstractNum w:abstractNumId="15">
    <w:nsid w:val="4BEE5A5B"/>
    <w:multiLevelType w:val="hybridMultilevel"/>
    <w:lvl w:ilvl="0">
      <w:lvlJc w:val="left"/>
      <w:lvlText w:val="(*)"/>
      <w:numFmt w:val="bullet"/>
      <w:start w:val="1"/>
    </w:lvl>
  </w:abstractNum>
  <w:abstractNum w:abstractNumId="16">
    <w:nsid w:val="5551B9F3"/>
    <w:multiLevelType w:val="hybridMultilevel"/>
    <w:lvl w:ilvl="0">
      <w:lvlJc w:val="left"/>
      <w:lvlText w:val="(%1)"/>
      <w:numFmt w:val="decimal"/>
      <w:start w:val="1"/>
    </w:lvl>
  </w:abstractNum>
  <w:abstractNum w:abstractNumId="17">
    <w:nsid w:val="24F6AB8E"/>
    <w:multiLevelType w:val="hybridMultilevel"/>
    <w:lvl w:ilvl="0">
      <w:lvlJc w:val="left"/>
      <w:lvlText w:val="%1"/>
      <w:numFmt w:val="decimal"/>
      <w:start w:val="32"/>
    </w:lvl>
  </w:abstractNum>
  <w:abstractNum w:abstractNumId="18">
    <w:nsid w:val="634C574C"/>
    <w:multiLevelType w:val="hybridMultilevel"/>
    <w:lvl w:ilvl="0">
      <w:lvlJc w:val="left"/>
      <w:lvlText w:val="(%1)"/>
      <w:numFmt w:val="lowerLetter"/>
      <w:start w:val="4"/>
    </w:lvl>
  </w:abstractNum>
  <w:abstractNum w:abstractNumId="19">
    <w:nsid w:val="24E99DD7"/>
    <w:multiLevelType w:val="hybridMultilevel"/>
    <w:lvl w:ilvl="0">
      <w:lvlJc w:val="left"/>
      <w:lvlText w:val="+"/>
      <w:numFmt w:val="bullet"/>
      <w:start w:val="1"/>
    </w:lvl>
  </w:abstractNum>
  <w:abstractNum w:abstractNumId="20">
    <w:nsid w:val="2A31B62D"/>
    <w:multiLevelType w:val="hybridMultilevel"/>
    <w:lvl w:ilvl="0">
      <w:lvlJc w:val="left"/>
      <w:lvlText w:val="(%1)"/>
      <w:numFmt w:val="lowerLetter"/>
      <w:start w:val="1"/>
    </w:lvl>
    <w:lvl w:ilvl="1">
      <w:lvlJc w:val="left"/>
      <w:lvlText w:val="(%2)"/>
      <w:numFmt w:val="lowerRoman"/>
      <w:start w:val="1"/>
    </w:lvl>
  </w:abstractNum>
  <w:abstractNum w:abstractNumId="21">
    <w:nsid w:val="1849C29B"/>
    <w:multiLevelType w:val="hybridMultilevel"/>
    <w:lvl w:ilvl="0">
      <w:lvlJc w:val="left"/>
      <w:lvlText w:val="%1"/>
      <w:numFmt w:val="upperLetter"/>
      <w:start w:val="1"/>
    </w:lvl>
    <w:lvl w:ilvl="1">
      <w:lvlJc w:val="left"/>
      <w:lvlText w:val="(%2)"/>
      <w:numFmt w:val="lowerLetter"/>
      <w:start w:val="2"/>
    </w:lvl>
  </w:abstractNum>
  <w:abstractNum w:abstractNumId="22">
    <w:nsid w:val="7DFF9D09"/>
    <w:multiLevelType w:val="hybridMultilevel"/>
    <w:lvl w:ilvl="0">
      <w:lvlJc w:val="left"/>
      <w:lvlText w:val="(%1)"/>
      <w:numFmt w:val="lowerLetter"/>
      <w:start w:val="8"/>
    </w:lvl>
  </w:abstractNum>
  <w:abstractNum w:abstractNumId="23">
    <w:nsid w:val="754342"/>
    <w:multiLevelType w:val="hybridMultilevel"/>
    <w:lvl w:ilvl="0">
      <w:lvlJc w:val="left"/>
      <w:lvlText w:val="(%1)"/>
      <w:numFmt w:val="lowerRoman"/>
      <w:start w:val="2"/>
    </w:lvl>
  </w:abstractNum>
  <w:abstractNum w:abstractNumId="24">
    <w:nsid w:val="69E7F3E5"/>
    <w:multiLevelType w:val="hybridMultilevel"/>
    <w:lvl w:ilvl="0">
      <w:lvlJc w:val="left"/>
      <w:lvlText w:val="%1"/>
      <w:numFmt w:val="lowerRoman"/>
      <w:start w:val="1"/>
    </w:lvl>
    <w:lvl w:ilvl="1">
      <w:lvlJc w:val="left"/>
      <w:lvlText w:val="(%2)"/>
      <w:numFmt w:val="lowerLetter"/>
      <w:start w:val="1"/>
    </w:lvl>
  </w:abstractNum>
  <w:abstractNum w:abstractNumId="25">
    <w:nsid w:val="2A6DE806"/>
    <w:multiLevelType w:val="hybridMultilevel"/>
    <w:lvl w:ilvl="0">
      <w:lvlJc w:val="left"/>
      <w:lvlText w:val="(%1)"/>
      <w:numFmt w:val="lowerRoman"/>
      <w:start w:val="4"/>
    </w:lvl>
    <w:lvl w:ilvl="1">
      <w:lvlJc w:val="left"/>
      <w:lvlText w:val="%2"/>
      <w:numFmt w:val="lowerLetter"/>
      <w:start w:val="1"/>
    </w:lvl>
  </w:abstractNum>
  <w:abstractNum w:abstractNumId="26">
    <w:nsid w:val="1816F8C4"/>
    <w:multiLevelType w:val="hybridMultilevel"/>
    <w:lvl w:ilvl="0">
      <w:lvlJc w:val="left"/>
      <w:lvlText w:val="(%1)"/>
      <w:numFmt w:val="lowerLetter"/>
      <w:start w:val="3"/>
    </w:lvl>
  </w:abstractNum>
  <w:abstractNum w:abstractNumId="27">
    <w:nsid w:val="37DF2233"/>
    <w:multiLevelType w:val="hybridMultilevel"/>
    <w:lvl w:ilvl="0">
      <w:lvlJc w:val="left"/>
      <w:lvlText w:val="(%1)"/>
      <w:numFmt w:val="lowerLetter"/>
      <w:start w:val="25"/>
    </w:lvl>
  </w:abstractNum>
  <w:abstractNum w:abstractNumId="28">
    <w:nsid w:val="7AB49DAF"/>
    <w:multiLevelType w:val="hybridMultilevel"/>
    <w:lvl w:ilvl="0">
      <w:lvlJc w:val="left"/>
      <w:lvlText w:val="(%1)"/>
      <w:numFmt w:val="lowerRoman"/>
      <w:start w:val="1"/>
    </w:lvl>
  </w:abstractNum>
  <w:abstractNum w:abstractNumId="29">
    <w:nsid w:val="759F82CD"/>
    <w:multiLevelType w:val="hybridMultilevel"/>
    <w:lvl w:ilvl="0">
      <w:lvlJc w:val="left"/>
      <w:lvlText w:val="(%1)"/>
      <w:numFmt w:val="lowerRoman"/>
      <w:start w:val="4"/>
    </w:lvl>
  </w:abstractNum>
  <w:abstractNum w:abstractNumId="30">
    <w:nsid w:val="61E74EA3"/>
    <w:multiLevelType w:val="hybridMultilevel"/>
    <w:lvl w:ilvl="0">
      <w:lvlJc w:val="left"/>
      <w:lvlText w:val="(%1)"/>
      <w:numFmt w:val="lowerRoman"/>
      <w:start w:val="10"/>
    </w:lvl>
  </w:abstractNum>
  <w:abstractNum w:abstractNumId="31">
    <w:nsid w:val="597B4D84"/>
    <w:multiLevelType w:val="hybridMultilevel"/>
    <w:lvl w:ilvl="0">
      <w:lvlJc w:val="left"/>
      <w:lvlText w:val="(%1)"/>
      <w:numFmt w:val="lowerLetter"/>
      <w:start w:val="1"/>
    </w:lvl>
  </w:abstractNum>
  <w:abstractNum w:abstractNumId="32">
    <w:nsid w:val="F819E7F"/>
    <w:multiLevelType w:val="hybridMultilevel"/>
    <w:lvl w:ilvl="0">
      <w:lvlJc w:val="left"/>
      <w:lvlText w:val="(%1)"/>
      <w:numFmt w:val="lowerLetter"/>
      <w:start w:val="8"/>
    </w:lvl>
  </w:abstractNum>
  <w:abstractNum w:abstractNumId="33">
    <w:nsid w:val="57C7D42D"/>
    <w:multiLevelType w:val="hybridMultilevel"/>
    <w:lvl w:ilvl="0">
      <w:lvlJc w:val="left"/>
      <w:lvlText w:val="(%1)"/>
      <w:numFmt w:val="lowerLetter"/>
      <w:start w:val="35"/>
    </w:lvl>
  </w:abstractNum>
  <w:abstractNum w:abstractNumId="34">
    <w:nsid w:val="312167AD"/>
    <w:multiLevelType w:val="hybridMultilevel"/>
    <w:lvl w:ilvl="0">
      <w:lvlJc w:val="left"/>
      <w:lvlText w:val="(%1)"/>
      <w:numFmt w:val="lowerLetter"/>
      <w:start w:val="3"/>
    </w:lvl>
  </w:abstractNum>
  <w:abstractNum w:abstractNumId="35">
    <w:nsid w:val="631B64D4"/>
    <w:multiLevelType w:val="hybridMultilevel"/>
    <w:lvl w:ilvl="0">
      <w:lvlJc w:val="left"/>
      <w:lvlText w:val="(%1)"/>
      <w:numFmt w:val="lowerLetter"/>
      <w:start w:val="3"/>
    </w:lvl>
  </w:abstractNum>
  <w:abstractNum w:abstractNumId="36">
    <w:nsid w:val="78B5E776"/>
    <w:multiLevelType w:val="hybridMultilevel"/>
    <w:lvl w:ilvl="0">
      <w:lvlJc w:val="left"/>
      <w:lvlText w:val="(%1)"/>
      <w:numFmt w:val="lowerLetter"/>
      <w:start w:val="1"/>
    </w:lvl>
  </w:abstractNum>
  <w:abstractNum w:abstractNumId="37">
    <w:nsid w:val="75486E47"/>
    <w:multiLevelType w:val="hybridMultilevel"/>
    <w:lvl w:ilvl="0">
      <w:lvlJc w:val="left"/>
      <w:lvlText w:val="(%1)"/>
      <w:numFmt w:val="lowerLetter"/>
      <w:start w:val="4"/>
    </w:lvl>
  </w:abstractNum>
  <w:abstractNum w:abstractNumId="38">
    <w:nsid w:val="6E534CDE"/>
    <w:multiLevelType w:val="hybridMultilevel"/>
    <w:lvl w:ilvl="0">
      <w:lvlJc w:val="left"/>
      <w:lvlText w:val="%1"/>
      <w:numFmt w:val="lowerLetter"/>
      <w:start w:val="1"/>
    </w:lvl>
    <w:lvl w:ilvl="1">
      <w:lvlJc w:val="left"/>
      <w:lvlText w:val="(%2)"/>
      <w:numFmt w:val="lowerLetter"/>
      <w:start w:val="1"/>
    </w:lvl>
  </w:abstractNum>
  <w:abstractNum w:abstractNumId="39">
    <w:nsid w:val="1A0DDE32"/>
    <w:multiLevelType w:val="hybridMultilevel"/>
    <w:lvl w:ilvl="0">
      <w:lvlJc w:val="left"/>
      <w:lvlText w:val="(%1)"/>
      <w:numFmt w:val="lowerLetter"/>
      <w:start w:val="35"/>
    </w:lvl>
    <w:lvl w:ilvl="1">
      <w:lvlJc w:val="left"/>
      <w:lvlText w:val="(%2)"/>
      <w:numFmt w:val="lowerLetter"/>
      <w:start w:val="5"/>
    </w:lvl>
  </w:abstractNum>
  <w:abstractNum w:abstractNumId="40">
    <w:nsid w:val="65968C1C"/>
    <w:multiLevelType w:val="hybridMultilevel"/>
    <w:lvl w:ilvl="0">
      <w:lvlJc w:val="left"/>
      <w:lvlText w:val="(%1)"/>
      <w:numFmt w:val="lowerRoman"/>
      <w:start w:val="1"/>
    </w:lvl>
  </w:abstractNum>
  <w:abstractNum w:abstractNumId="41">
    <w:nsid w:val="46263DEC"/>
    <w:multiLevelType w:val="hybridMultilevel"/>
    <w:lvl w:ilvl="0">
      <w:lvlJc w:val="left"/>
      <w:lvlText w:val="(%1)"/>
      <w:numFmt w:val="lowerLetter"/>
      <w:start w:val="1"/>
    </w:lvl>
  </w:abstractNum>
  <w:abstractNum w:abstractNumId="42">
    <w:nsid w:val="260D8C4A"/>
    <w:multiLevelType w:val="hybridMultilevel"/>
    <w:lvl w:ilvl="0">
      <w:lvlJc w:val="left"/>
      <w:lvlText w:val="(%1)"/>
      <w:numFmt w:val="lowerLetter"/>
      <w:start w:val="2"/>
    </w:lvl>
  </w:abstractNum>
  <w:abstractNum w:abstractNumId="43">
    <w:nsid w:val="73D4D3C4"/>
    <w:multiLevelType w:val="hybridMultilevel"/>
    <w:lvl w:ilvl="0">
      <w:lvlJc w:val="left"/>
      <w:lvlText w:val="(%1)"/>
      <w:numFmt w:val="lowerLetter"/>
      <w:start w:val="3"/>
    </w:lvl>
  </w:abstractNum>
  <w:abstractNum w:abstractNumId="44">
    <w:nsid w:val="746F2E30"/>
    <w:multiLevelType w:val="hybridMultilevel"/>
    <w:lvl w:ilvl="0">
      <w:lvlJc w:val="left"/>
      <w:lvlText w:val="(%1)"/>
      <w:numFmt w:val="lowerLetter"/>
      <w:start w:val="2"/>
    </w:lvl>
  </w:abstractNum>
  <w:abstractNum w:abstractNumId="45">
    <w:nsid w:val="6FDE8AF6"/>
    <w:multiLevelType w:val="hybridMultilevel"/>
    <w:lvl w:ilvl="0">
      <w:lvlJc w:val="left"/>
      <w:lvlText w:val="(%1)"/>
      <w:numFmt w:val="lowerLetter"/>
      <w:start w:val="2"/>
    </w:lvl>
  </w:abstractNum>
  <w:abstractNum w:abstractNumId="46">
    <w:nsid w:val="3FC32E20"/>
    <w:multiLevelType w:val="hybridMultilevel"/>
    <w:lvl w:ilvl="0">
      <w:lvlJc w:val="left"/>
      <w:lvlText w:val="(%1)"/>
      <w:numFmt w:val="lowerRoman"/>
      <w:start w:val="1"/>
    </w:lvl>
  </w:abstractNum>
  <w:abstractNum w:abstractNumId="47">
    <w:nsid w:val="49C0E823"/>
    <w:multiLevelType w:val="hybridMultilevel"/>
    <w:lvl w:ilvl="0">
      <w:lvlJc w:val="left"/>
      <w:lvlText w:val="(%1)"/>
      <w:numFmt w:val="lowerLetter"/>
      <w:start w:val="1"/>
    </w:lvl>
  </w:abstractNum>
  <w:abstractNum w:abstractNumId="48">
    <w:nsid w:val="14D53685"/>
    <w:multiLevelType w:val="hybridMultilevel"/>
    <w:lvl w:ilvl="0">
      <w:lvlJc w:val="left"/>
      <w:lvlText w:val="(%1)"/>
      <w:numFmt w:val="lowerLetter"/>
      <w:start w:val="2"/>
    </w:lvl>
  </w:abstractNum>
  <w:abstractNum w:abstractNumId="49">
    <w:nsid w:val="230F856C"/>
    <w:multiLevelType w:val="hybridMultilevel"/>
    <w:lvl w:ilvl="0">
      <w:lvlJc w:val="left"/>
      <w:lvlText w:val="(%1)"/>
      <w:numFmt w:val="lowerLetter"/>
      <w:start w:val="1"/>
    </w:lvl>
  </w:abstractNum>
  <w:abstractNum w:abstractNumId="50">
    <w:nsid w:val="6EAA85FB"/>
    <w:multiLevelType w:val="hybridMultilevel"/>
    <w:lvl w:ilvl="0">
      <w:lvlJc w:val="left"/>
      <w:lvlText w:val="(%1)"/>
      <w:numFmt w:val="lowerLetter"/>
      <w:start w:val="2"/>
    </w:lvl>
    <w:lvl w:ilvl="1">
      <w:lvlJc w:val="left"/>
      <w:lvlText w:val="(%2)"/>
      <w:numFmt w:val="lowerRoman"/>
      <w:start w:val="1"/>
    </w:lvl>
  </w:abstractNum>
  <w:abstractNum w:abstractNumId="51">
    <w:nsid w:val="3F06ECB2"/>
    <w:multiLevelType w:val="hybridMultilevel"/>
    <w:lvl w:ilvl="0">
      <w:lvlJc w:val="left"/>
      <w:lvlText w:val="(%1)"/>
      <w:numFmt w:val="lowerLetter"/>
      <w:start w:val="1"/>
    </w:lvl>
  </w:abstractNum>
  <w:abstractNum w:abstractNumId="52">
    <w:nsid w:val="3B594807"/>
    <w:multiLevelType w:val="hybridMultilevel"/>
    <w:lvl w:ilvl="0">
      <w:lvlJc w:val="left"/>
      <w:lvlText w:val="(%1)"/>
      <w:numFmt w:val="lowerLetter"/>
      <w:start w:val="1"/>
    </w:lvl>
  </w:abstractNum>
  <w:abstractNum w:abstractNumId="53">
    <w:nsid w:val="6CAA2304"/>
    <w:multiLevelType w:val="hybridMultilevel"/>
    <w:lvl w:ilvl="0">
      <w:lvlJc w:val="left"/>
      <w:lvlText w:val="(%1)"/>
      <w:numFmt w:val="lowerLetter"/>
      <w:start w:val="2"/>
    </w:lvl>
  </w:abstractNum>
  <w:abstractNum w:abstractNumId="54">
    <w:nsid w:val="3F7C2FF4"/>
    <w:multiLevelType w:val="hybridMultilevel"/>
    <w:lvl w:ilvl="0">
      <w:lvlJc w:val="left"/>
      <w:lvlText w:val="(%1)"/>
      <w:numFmt w:val="lowerLetter"/>
      <w:start w:val="1"/>
    </w:lvl>
  </w:abstractNum>
  <w:abstractNum w:abstractNumId="55">
    <w:nsid w:val="25413BEC"/>
    <w:multiLevelType w:val="hybridMultilevel"/>
    <w:lvl w:ilvl="0">
      <w:lvlJc w:val="left"/>
      <w:lvlText w:val="(%1)"/>
      <w:numFmt w:val="lowerLetter"/>
      <w:start w:val="2"/>
    </w:lvl>
  </w:abstractNum>
  <w:abstractNum w:abstractNumId="56">
    <w:nsid w:val="17180B0B"/>
    <w:multiLevelType w:val="hybridMultilevel"/>
    <w:lvl w:ilvl="0">
      <w:lvlJc w:val="left"/>
      <w:lvlText w:val="(%1)"/>
      <w:numFmt w:val="lowerLetter"/>
      <w:start w:val="1"/>
    </w:lvl>
  </w:abstractNum>
  <w:abstractNum w:abstractNumId="57">
    <w:nsid w:val="579328B9"/>
    <w:multiLevelType w:val="hybridMultilevel"/>
    <w:lvl w:ilvl="0">
      <w:lvlJc w:val="left"/>
      <w:lvlText w:val="(%1)"/>
      <w:numFmt w:val="lowerLetter"/>
      <w:start w:val="3"/>
    </w:lvl>
  </w:abstractNum>
  <w:abstractNum w:abstractNumId="58">
    <w:nsid w:val="5D205E20"/>
    <w:multiLevelType w:val="hybridMultilevel"/>
    <w:lvl w:ilvl="0">
      <w:lvlJc w:val="left"/>
      <w:lvlText w:val="(%1)"/>
      <w:numFmt w:val="lowerLetter"/>
      <w:start w:val="1"/>
    </w:lvl>
  </w:abstractNum>
  <w:abstractNum w:abstractNumId="59">
    <w:nsid w:val="11CCA8BA"/>
    <w:multiLevelType w:val="hybridMultilevel"/>
    <w:lvl w:ilvl="0">
      <w:lvlJc w:val="left"/>
      <w:lvlText w:val="(%1)"/>
      <w:numFmt w:val="lowerLetter"/>
      <w:start w:val="1"/>
    </w:lvl>
  </w:abstractNum>
  <w:abstractNum w:abstractNumId="60">
    <w:nsid w:val="4D32AB86"/>
    <w:multiLevelType w:val="hybridMultilevel"/>
    <w:lvl w:ilvl="0">
      <w:lvlJc w:val="left"/>
      <w:lvlText w:val="(%1)"/>
      <w:numFmt w:val="lowerLetter"/>
      <w:start w:val="2"/>
    </w:lvl>
  </w:abstractNum>
  <w:abstractNum w:abstractNumId="61">
    <w:nsid w:val="3F07ACC3"/>
    <w:multiLevelType w:val="hybridMultilevel"/>
    <w:lvl w:ilvl="0">
      <w:lvlJc w:val="left"/>
      <w:lvlText w:val="(%1)"/>
      <w:numFmt w:val="lowerLetter"/>
      <w:start w:val="3"/>
    </w:lvl>
  </w:abstractNum>
  <w:abstractNum w:abstractNumId="62">
    <w:nsid w:val="6B47F63E"/>
    <w:multiLevelType w:val="hybridMultilevel"/>
    <w:lvl w:ilvl="0">
      <w:lvlJc w:val="left"/>
      <w:lvlText w:val="(%1)"/>
      <w:numFmt w:val="lowerLetter"/>
      <w:start w:val="1"/>
    </w:lvl>
  </w:abstractNum>
  <w:abstractNum w:abstractNumId="63">
    <w:nsid w:val="5CB44A05"/>
    <w:multiLevelType w:val="hybridMultilevel"/>
    <w:lvl w:ilvl="0">
      <w:lvlJc w:val="left"/>
      <w:lvlText w:val="(%1)"/>
      <w:numFmt w:val="lowerRoman"/>
      <w:start w:val="1"/>
    </w:lvl>
  </w:abstractNum>
  <w:abstractNum w:abstractNumId="64">
    <w:nsid w:val="16CF80F1"/>
    <w:multiLevelType w:val="hybridMultilevel"/>
    <w:lvl w:ilvl="0">
      <w:lvlJc w:val="left"/>
      <w:lvlText w:val="(%1)"/>
      <w:numFmt w:val="upperLetter"/>
      <w:start w:val="9"/>
    </w:lvl>
  </w:abstractNum>
  <w:abstractNum w:abstractNumId="65">
    <w:nsid w:val="1C695DEC"/>
    <w:multiLevelType w:val="hybridMultilevel"/>
    <w:lvl w:ilvl="0">
      <w:lvlJc w:val="left"/>
      <w:lvlText w:val="(%1)"/>
      <w:numFmt w:val="upperLetter"/>
      <w:start w:val="35"/>
    </w:lvl>
  </w:abstractNum>
  <w:abstractNum w:abstractNumId="66">
    <w:nsid w:val="3FCFAED9"/>
    <w:multiLevelType w:val="hybridMultilevel"/>
    <w:lvl w:ilvl="0">
      <w:lvlJc w:val="left"/>
      <w:lvlText w:val="(%1)"/>
      <w:numFmt w:val="upperLetter"/>
      <w:start w:val="61"/>
    </w:lvl>
  </w:abstractNum>
  <w:abstractNum w:abstractNumId="67">
    <w:nsid w:val="F856867"/>
    <w:multiLevelType w:val="hybridMultilevel"/>
    <w:lvl w:ilvl="0">
      <w:lvlJc w:val="left"/>
      <w:lvlText w:val="(%1)"/>
      <w:numFmt w:val="upperLetter"/>
      <w:start w:val="22"/>
    </w:lvl>
  </w:abstractNum>
  <w:abstractNum w:abstractNumId="68">
    <w:nsid w:val="11B1CC33"/>
    <w:multiLevelType w:val="hybridMultilevel"/>
    <w:lvl w:ilvl="0">
      <w:lvlJc w:val="left"/>
      <w:lvlText w:val="(%1)"/>
      <w:numFmt w:val="upperLetter"/>
      <w:start w:val="2"/>
    </w:lvl>
  </w:abstractNum>
  <w:abstractNum w:abstractNumId="69">
    <w:nsid w:val="2E22FBB7"/>
    <w:multiLevelType w:val="hybridMultilevel"/>
    <w:lvl w:ilvl="0">
      <w:lvlJc w:val="left"/>
      <w:lvlText w:val="(%1)"/>
      <w:numFmt w:val="upperLetter"/>
      <w:start w:val="9"/>
    </w:lvl>
  </w:abstractNum>
  <w:abstractNum w:abstractNumId="70">
    <w:nsid w:val="29934699"/>
    <w:multiLevelType w:val="hybridMultilevel"/>
    <w:lvl w:ilvl="0">
      <w:lvlJc w:val="left"/>
      <w:lvlText w:val="(%1)"/>
      <w:numFmt w:val="upperLetter"/>
      <w:start w:val="35"/>
    </w:lvl>
  </w:abstractNum>
  <w:abstractNum w:abstractNumId="71">
    <w:nsid w:val="77485850"/>
    <w:multiLevelType w:val="hybridMultilevel"/>
    <w:lvl w:ilvl="0">
      <w:lvlJc w:val="left"/>
      <w:lvlText w:val="(%1)"/>
      <w:numFmt w:val="upperLetter"/>
      <w:start w:val="61"/>
    </w:lvl>
  </w:abstractNum>
  <w:abstractNum w:abstractNumId="72">
    <w:nsid w:val="744939A3"/>
    <w:multiLevelType w:val="hybridMultilevel"/>
    <w:lvl w:ilvl="0">
      <w:lvlJc w:val="left"/>
      <w:lvlText w:val="(%1)"/>
      <w:numFmt w:val="upperLetter"/>
      <w:start w:val="22"/>
    </w:lvl>
  </w:abstractNum>
  <w:abstractNum w:abstractNumId="73">
    <w:nsid w:val="4FA0D2E3"/>
    <w:multiLevelType w:val="hybridMultilevel"/>
    <w:lvl w:ilvl="0">
      <w:lvlJc w:val="left"/>
      <w:lvlText w:val="%1"/>
      <w:numFmt w:val="upperLetter"/>
      <w:start w:val="1"/>
    </w:lvl>
    <w:lvl w:ilvl="1">
      <w:lvlJc w:val="left"/>
      <w:lvlText w:val="(%2)"/>
      <w:numFmt w:val="lowerRoman"/>
      <w:start w:val="3"/>
    </w:lvl>
  </w:abstractNum>
  <w:abstractNum w:abstractNumId="74">
    <w:nsid w:val="6B1D2C14"/>
    <w:multiLevelType w:val="hybridMultilevel"/>
    <w:lvl w:ilvl="0">
      <w:lvlJc w:val="left"/>
      <w:lvlText w:val="(%1)"/>
      <w:numFmt w:val="upperLetter"/>
      <w:start w:val="1"/>
    </w:lvl>
    <w:lvl w:ilvl="1">
      <w:lvlJc w:val="left"/>
      <w:lvlText w:val="%2"/>
      <w:numFmt w:val="lowerRoman"/>
      <w:start w:val="1"/>
    </w:lvl>
  </w:abstractNum>
  <w:abstractNum w:abstractNumId="75">
    <w:nsid w:val="68B867D3"/>
    <w:multiLevelType w:val="hybridMultilevel"/>
    <w:lvl w:ilvl="0">
      <w:lvlJc w:val="left"/>
      <w:lvlText w:val="(%1)"/>
      <w:numFmt w:val="lowerLetter"/>
      <w:start w:val="2"/>
    </w:lvl>
  </w:abstractNum>
  <w:abstractNum w:abstractNumId="76">
    <w:nsid w:val="3F7F5DD9"/>
    <w:multiLevelType w:val="hybridMultilevel"/>
    <w:lvl w:ilvl="0">
      <w:lvlJc w:val="left"/>
      <w:lvlText w:val="(%1)"/>
      <w:numFmt w:val="lowerRoman"/>
      <w:start w:val="1"/>
    </w:lvl>
  </w:abstractNum>
  <w:abstractNum w:abstractNumId="77">
    <w:nsid w:val="2AE05A34"/>
    <w:multiLevelType w:val="hybridMultilevel"/>
    <w:lvl w:ilvl="0">
      <w:lvlJc w:val="left"/>
      <w:lvlText w:val="(%1)"/>
      <w:numFmt w:val="lowerRoman"/>
      <w:start w:val="2"/>
    </w:lvl>
  </w:abstractNum>
  <w:abstractNum w:abstractNumId="78">
    <w:nsid w:val="32794FF7"/>
    <w:multiLevelType w:val="hybridMultilevel"/>
    <w:lvl w:ilvl="0">
      <w:lvlJc w:val="left"/>
      <w:lvlText w:val="(%1)"/>
      <w:numFmt w:val="lowerLetter"/>
      <w:start w:val="3"/>
    </w:lvl>
  </w:abstractNum>
  <w:abstractNum w:abstractNumId="79">
    <w:nsid w:val="5454945E"/>
    <w:multiLevelType w:val="hybridMultilevel"/>
    <w:lvl w:ilvl="0">
      <w:lvlJc w:val="left"/>
      <w:lvlText w:val="(%1)"/>
      <w:numFmt w:val="lowerRoman"/>
      <w:start w:val="1"/>
    </w:lvl>
  </w:abstractNum>
  <w:abstractNum w:abstractNumId="80">
    <w:nsid w:val="4DEFDFA0"/>
    <w:multiLevelType w:val="hybridMultilevel"/>
    <w:lvl w:ilvl="0">
      <w:lvlJc w:val="left"/>
      <w:lvlText w:val="%1"/>
      <w:numFmt w:val="upperLetter"/>
      <w:start w:val="1"/>
    </w:lvl>
    <w:lvl w:ilvl="1">
      <w:lvlJc w:val="left"/>
      <w:lvlText w:val="(%2)"/>
      <w:numFmt w:val="lowerRoman"/>
      <w:start w:val="3"/>
    </w:lvl>
  </w:abstractNum>
  <w:abstractNum w:abstractNumId="81">
    <w:nsid w:val="2123D5F2"/>
    <w:multiLevelType w:val="hybridMultilevel"/>
    <w:lvl w:ilvl="0">
      <w:lvlJc w:val="left"/>
      <w:lvlText w:val="(%1)"/>
      <w:numFmt w:val="upperLetter"/>
      <w:start w:val="2"/>
    </w:lvl>
    <w:lvl w:ilvl="1">
      <w:lvlJc w:val="left"/>
      <w:lvlText w:val="%2"/>
      <w:numFmt w:val="lowerRoman"/>
      <w:start w:val="1"/>
    </w:lvl>
  </w:abstractNum>
  <w:abstractNum w:abstractNumId="82">
    <w:nsid w:val="135B8110"/>
    <w:multiLevelType w:val="hybridMultilevel"/>
    <w:lvl w:ilvl="0">
      <w:lvlJc w:val="left"/>
      <w:lvlText w:val="(%1)"/>
      <w:numFmt w:val="lowerLetter"/>
      <w:start w:val="4"/>
    </w:lvl>
  </w:abstractNum>
  <w:abstractNum w:abstractNumId="83">
    <w:nsid w:val="94927A8"/>
    <w:multiLevelType w:val="hybridMultilevel"/>
    <w:lvl w:ilvl="0">
      <w:lvlJc w:val="left"/>
      <w:lvlText w:val="(%1)"/>
      <w:numFmt w:val="lowerRoman"/>
      <w:start w:val="1"/>
    </w:lvl>
  </w:abstractNum>
  <w:abstractNum w:abstractNumId="84">
    <w:nsid w:val="DCDF8F6"/>
    <w:multiLevelType w:val="hybridMultilevel"/>
    <w:lvl w:ilvl="0">
      <w:lvlJc w:val="left"/>
      <w:lvlText w:val="(%1)"/>
      <w:numFmt w:val="lowerLetter"/>
      <w:start w:val="5"/>
    </w:lvl>
  </w:abstractNum>
  <w:abstractNum w:abstractNumId="85">
    <w:nsid w:val="52D7B105"/>
    <w:multiLevelType w:val="hybridMultilevel"/>
    <w:lvl w:ilvl="0">
      <w:lvlJc w:val="left"/>
      <w:lvlText w:val="(%1)"/>
      <w:numFmt w:val="lowerRoman"/>
      <w:start w:val="1"/>
    </w:lvl>
  </w:abstractNum>
  <w:abstractNum w:abstractNumId="86">
    <w:nsid w:val="2E8A6394"/>
    <w:multiLevelType w:val="hybridMultilevel"/>
    <w:lvl w:ilvl="0">
      <w:lvlJc w:val="left"/>
      <w:lvlText w:val="%1"/>
      <w:numFmt w:val="lowerLetter"/>
      <w:start w:val="1"/>
    </w:lvl>
    <w:lvl w:ilvl="1">
      <w:lvlJc w:val="left"/>
      <w:lvlText w:val="(%2)"/>
      <w:numFmt w:val="lowerLetter"/>
      <w:start w:val="6"/>
    </w:lvl>
  </w:abstractNum>
  <w:abstractNum w:abstractNumId="87">
    <w:nsid w:val="24E60401"/>
    <w:multiLevelType w:val="hybridMultilevel"/>
    <w:lvl w:ilvl="0">
      <w:lvlJc w:val="left"/>
      <w:lvlText w:val="(%1)"/>
      <w:numFmt w:val="lowerLetter"/>
      <w:start w:val="61"/>
    </w:lvl>
    <w:lvl w:ilvl="1">
      <w:lvlJc w:val="left"/>
      <w:lvlText w:val="%2"/>
      <w:numFmt w:val="lowerLetter"/>
      <w:start w:val="1"/>
    </w:lvl>
  </w:abstractNum>
  <w:abstractNum w:abstractNumId="88">
    <w:nsid w:val="2A6AD9BE"/>
    <w:multiLevelType w:val="hybridMultilevel"/>
    <w:lvl w:ilvl="0">
      <w:lvlJc w:val="left"/>
      <w:lvlText w:val="(%1)"/>
      <w:numFmt w:val="lowerLetter"/>
      <w:start w:val="7"/>
    </w:lvl>
  </w:abstractNum>
  <w:abstractNum w:abstractNumId="89">
    <w:nsid w:val="BAAC1B4"/>
    <w:multiLevelType w:val="hybridMultilevel"/>
    <w:lvl w:ilvl="0">
      <w:lvlJc w:val="left"/>
      <w:lvlText w:val="(%1)"/>
      <w:numFmt w:val="lowerLetter"/>
      <w:start w:val="10"/>
    </w:lvl>
  </w:abstractNum>
  <w:abstractNum w:abstractNumId="90">
    <w:nsid w:val="36B2ACBC"/>
    <w:multiLevelType w:val="hybridMultilevel"/>
    <w:lvl w:ilvl="0">
      <w:lvlJc w:val="left"/>
      <w:lvlText w:val="(%1)"/>
      <w:numFmt w:val="lowerLetter"/>
      <w:start w:val="1"/>
    </w:lvl>
  </w:abstractNum>
  <w:abstractNum w:abstractNumId="91">
    <w:nsid w:val="779D8544"/>
    <w:multiLevelType w:val="hybridMultilevel"/>
    <w:lvl w:ilvl="0">
      <w:lvlJc w:val="left"/>
      <w:lvlText w:val="(%1)"/>
      <w:numFmt w:val="lowerRoman"/>
      <w:start w:val="2"/>
    </w:lvl>
  </w:abstractNum>
  <w:abstractNum w:abstractNumId="92">
    <w:nsid w:val="4AB26E78"/>
    <w:multiLevelType w:val="hybridMultilevel"/>
    <w:lvl w:ilvl="0">
      <w:lvlJc w:val="left"/>
      <w:lvlText w:val="(%1)"/>
      <w:numFmt w:val="lowerLetter"/>
      <w:start w:val="2"/>
    </w:lvl>
    <w:lvl w:ilvl="1">
      <w:lvlJc w:val="left"/>
      <w:lvlText w:val="(%2)"/>
      <w:numFmt w:val="lowerRoman"/>
      <w:start w:val="1"/>
    </w:lvl>
  </w:abstractNum>
  <w:abstractNum w:abstractNumId="93">
    <w:nsid w:val="21FAA2FA"/>
    <w:multiLevelType w:val="hybridMultilevel"/>
    <w:lvl w:ilvl="0">
      <w:lvlJc w:val="left"/>
      <w:lvlText w:val="(%1)"/>
      <w:numFmt w:val="lowerLetter"/>
      <w:start w:val="3"/>
    </w:lvl>
    <w:lvl w:ilvl="1">
      <w:lvlJc w:val="left"/>
      <w:lvlText w:val="(%2)"/>
      <w:numFmt w:val="lowerLetter"/>
      <w:start w:val="9"/>
    </w:lvl>
  </w:abstractNum>
  <w:abstractNum w:abstractNumId="94">
    <w:nsid w:val="5451CF49"/>
    <w:multiLevelType w:val="hybridMultilevel"/>
    <w:lvl w:ilvl="0">
      <w:lvlJc w:val="left"/>
      <w:lvlText w:val="(%1)"/>
      <w:numFmt w:val="upperLetter"/>
      <w:start w:val="2"/>
    </w:lvl>
  </w:abstractNum>
  <w:abstractNum w:abstractNumId="95">
    <w:nsid w:val="6181EF69"/>
    <w:multiLevelType w:val="hybridMultilevel"/>
    <w:lvl w:ilvl="0">
      <w:lvlJc w:val="left"/>
      <w:lvlText w:val="(%1)"/>
      <w:numFmt w:val="lowerRoman"/>
      <w:start w:val="2"/>
    </w:lvl>
  </w:abstractNum>
  <w:abstractNum w:abstractNumId="96">
    <w:nsid w:val="3E6400E6"/>
    <w:multiLevelType w:val="hybridMultilevel"/>
    <w:lvl w:ilvl="0">
      <w:lvlJc w:val="left"/>
      <w:lvlText w:val="%1"/>
      <w:numFmt w:val="lowerLetter"/>
      <w:start w:val="1"/>
    </w:lvl>
    <w:lvl w:ilvl="1">
      <w:lvlJc w:val="left"/>
      <w:lvlText w:val="(%2)"/>
      <w:numFmt w:val="lowerRoman"/>
      <w:start w:val="4"/>
    </w:lvl>
  </w:abstractNum>
  <w:abstractNum w:abstractNumId="97">
    <w:nsid w:val="14217E23"/>
    <w:multiLevelType w:val="hybridMultilevel"/>
    <w:lvl w:ilvl="0">
      <w:lvlJc w:val="left"/>
      <w:lvlText w:val="(%1)"/>
      <w:numFmt w:val="lowerLetter"/>
      <w:start w:val="4"/>
    </w:lvl>
    <w:lvl w:ilvl="1">
      <w:lvlJc w:val="left"/>
      <w:lvlText w:val="(%2)"/>
      <w:numFmt w:val="lowerRoman"/>
      <w:start w:val="1"/>
    </w:lvl>
  </w:abstractNum>
  <w:abstractNum w:abstractNumId="98">
    <w:nsid w:val="710757D0"/>
    <w:multiLevelType w:val="hybridMultilevel"/>
    <w:lvl w:ilvl="0">
      <w:lvlJc w:val="left"/>
      <w:lvlText w:val="(%1)"/>
      <w:numFmt w:val="lowerLetter"/>
      <w:start w:val="5"/>
    </w:lvl>
  </w:abstractNum>
  <w:abstractNum w:abstractNumId="99">
    <w:nsid w:val="5015CD1A"/>
    <w:multiLevelType w:val="hybridMultilevel"/>
    <w:lvl w:ilvl="0">
      <w:lvlJc w:val="left"/>
      <w:lvlText w:val="(%1)"/>
      <w:numFmt w:val="lowerLetter"/>
      <w:start w:val="1"/>
    </w:lvl>
    <w:lvl w:ilvl="1">
      <w:lvlJc w:val="left"/>
      <w:lvlText w:val="(%2)"/>
      <w:numFmt w:val="lowerRoman"/>
      <w:start w:val="1"/>
    </w:lvl>
  </w:abstractNum>
  <w:abstractNum w:abstractNumId="100">
    <w:nsid w:val="424479DA"/>
    <w:multiLevelType w:val="hybridMultilevel"/>
    <w:lvl w:ilvl="0">
      <w:lvlJc w:val="left"/>
      <w:lvlText w:val="(%1)"/>
      <w:numFmt w:val="lowerLetter"/>
      <w:start w:val="2"/>
    </w:lvl>
  </w:abstractNum>
  <w:abstractNum w:abstractNumId="101">
    <w:nsid w:val="1A9A9E69"/>
    <w:multiLevelType w:val="hybridMultilevel"/>
    <w:lvl w:ilvl="0">
      <w:lvlJc w:val="left"/>
      <w:lvlText w:val="(%1)"/>
      <w:numFmt w:val="lowerLetter"/>
      <w:start w:val="3"/>
    </w:lvl>
  </w:abstractNum>
  <w:abstractNum w:abstractNumId="102">
    <w:nsid w:val="475E256A"/>
    <w:multiLevelType w:val="hybridMultilevel"/>
    <w:lvl w:ilvl="0">
      <w:lvlJc w:val="left"/>
      <w:lvlText w:val="(%1)"/>
      <w:numFmt w:val="upperLetter"/>
      <w:start w:val="1"/>
    </w:lvl>
  </w:abstractNum>
  <w:abstractNum w:abstractNumId="103">
    <w:nsid w:val="368DB37E"/>
    <w:multiLevelType w:val="hybridMultilevel"/>
    <w:lvl w:ilvl="0">
      <w:lvlJc w:val="left"/>
      <w:lvlText w:val="(%1)"/>
      <w:numFmt w:val="lowerLetter"/>
      <w:start w:val="4"/>
    </w:lvl>
  </w:abstractNum>
  <w:abstractNum w:abstractNumId="104">
    <w:nsid w:val="6A3B714C"/>
    <w:multiLevelType w:val="hybridMultilevel"/>
    <w:lvl w:ilvl="0">
      <w:lvlJc w:val="left"/>
      <w:lvlText w:val="(%1)"/>
      <w:numFmt w:val="lowerLetter"/>
      <w:start w:val="1"/>
    </w:lvl>
  </w:abstractNum>
  <w:abstractNum w:abstractNumId="105">
    <w:nsid w:val="327B517E"/>
    <w:multiLevelType w:val="hybridMultilevel"/>
    <w:lvl w:ilvl="0">
      <w:lvlJc w:val="left"/>
      <w:lvlText w:val="(%1)"/>
      <w:numFmt w:val="lowerLetter"/>
      <w:start w:val="1"/>
    </w:lvl>
    <w:lvl w:ilvl="1">
      <w:lvlJc w:val="left"/>
      <w:lvlText w:val="(%2)"/>
      <w:numFmt w:val="lowerRoman"/>
      <w:start w:val="1"/>
    </w:lvl>
  </w:abstractNum>
  <w:abstractNum w:abstractNumId="106">
    <w:nsid w:val="1F461B51"/>
    <w:multiLevelType w:val="hybridMultilevel"/>
    <w:lvl w:ilvl="0">
      <w:lvlJc w:val="left"/>
      <w:lvlText w:val="(%1)"/>
      <w:numFmt w:val="lowerLetter"/>
      <w:start w:val="3"/>
    </w:lvl>
  </w:abstractNum>
  <w:abstractNum w:abstractNumId="107">
    <w:nsid w:val="29BACF25"/>
    <w:multiLevelType w:val="hybridMultilevel"/>
    <w:lvl w:ilvl="0">
      <w:lvlJc w:val="left"/>
      <w:lvlText w:val="(%1)"/>
      <w:numFmt w:val="lowerLetter"/>
      <w:start w:val="1"/>
    </w:lvl>
  </w:abstractNum>
  <w:abstractNum w:abstractNumId="108">
    <w:nsid w:val="5D5BABB3"/>
    <w:multiLevelType w:val="hybridMultilevel"/>
    <w:lvl w:ilvl="0">
      <w:lvlJc w:val="left"/>
      <w:lvlText w:val="(%1)"/>
      <w:numFmt w:val="lowerLetter"/>
      <w:start w:val="2"/>
    </w:lvl>
    <w:lvl w:ilvl="1">
      <w:lvlJc w:val="left"/>
      <w:lvlText w:val="(%2)"/>
      <w:numFmt w:val="lowerLetter"/>
      <w:start w:val="9"/>
    </w:lvl>
  </w:abstractNum>
  <w:abstractNum w:abstractNumId="109">
    <w:nsid w:val="51BF6B48"/>
    <w:multiLevelType w:val="hybridMultilevel"/>
    <w:lvl w:ilvl="0">
      <w:lvlJc w:val="left"/>
      <w:lvlText w:val="(%1)"/>
      <w:numFmt w:val="lowerRoman"/>
      <w:start w:val="2"/>
    </w:lvl>
  </w:abstractNum>
  <w:abstractNum w:abstractNumId="110">
    <w:nsid w:val="7E0F6384"/>
    <w:multiLevelType w:val="hybridMultilevel"/>
    <w:lvl w:ilvl="0">
      <w:lvlJc w:val="left"/>
      <w:lvlText w:val="(%1)"/>
      <w:numFmt w:val="lowerLetter"/>
      <w:start w:val="1"/>
    </w:lvl>
  </w:abstractNum>
  <w:abstractNum w:abstractNumId="111">
    <w:nsid w:val="2B4B8B53"/>
    <w:multiLevelType w:val="hybridMultilevel"/>
    <w:lvl w:ilvl="0">
      <w:lvlJc w:val="left"/>
      <w:lvlText w:val="(%1)"/>
      <w:numFmt w:val="lowerLetter"/>
      <w:start w:val="4"/>
    </w:lvl>
  </w:abstractNum>
  <w:abstractNum w:abstractNumId="112">
    <w:nsid w:val="72E3413A"/>
    <w:multiLevelType w:val="hybridMultilevel"/>
    <w:lvl w:ilvl="0">
      <w:lvlJc w:val="left"/>
      <w:lvlText w:val="(%1)"/>
      <w:numFmt w:val="lowerLetter"/>
      <w:start w:val="1"/>
    </w:lvl>
  </w:abstractNum>
  <w:abstractNum w:abstractNumId="113">
    <w:nsid w:val="116AE494"/>
    <w:multiLevelType w:val="hybridMultilevel"/>
    <w:lvl w:ilvl="0">
      <w:lvlJc w:val="left"/>
      <w:lvlText w:val="(%1)"/>
      <w:numFmt w:val="lowerRoman"/>
      <w:start w:val="1"/>
    </w:lvl>
  </w:abstractNum>
  <w:abstractNum w:abstractNumId="114">
    <w:nsid w:val="3494B2FB"/>
    <w:multiLevelType w:val="hybridMultilevel"/>
    <w:lvl w:ilvl="0">
      <w:lvlJc w:val="left"/>
      <w:lvlText w:val="(%1)"/>
      <w:numFmt w:val="lowerLetter"/>
      <w:start w:val="3"/>
    </w:lvl>
  </w:abstractNum>
  <w:abstractNum w:abstractNumId="115">
    <w:nsid w:val="B13A31"/>
    <w:multiLevelType w:val="hybridMultilevel"/>
    <w:lvl w:ilvl="0">
      <w:lvlJc w:val="left"/>
      <w:lvlText w:val="(%1)"/>
      <w:numFmt w:val="lowerLetter"/>
      <w:start w:val="5"/>
    </w:lvl>
  </w:abstractNum>
  <w:abstractNum w:abstractNumId="116">
    <w:nsid w:val="64429599"/>
    <w:multiLevelType w:val="hybridMultilevel"/>
    <w:lvl w:ilvl="0">
      <w:lvlJc w:val="left"/>
      <w:lvlText w:val="(%1)"/>
      <w:numFmt w:val="lowerRoman"/>
      <w:start w:val="1"/>
    </w:lvl>
  </w:abstractNum>
  <w:abstractNum w:abstractNumId="117">
    <w:nsid w:val="631F1690"/>
    <w:multiLevelType w:val="hybridMultilevel"/>
    <w:lvl w:ilvl="0">
      <w:lvlJc w:val="left"/>
      <w:lvlText w:val="(%1)"/>
      <w:numFmt w:val="lowerLetter"/>
      <w:start w:val="1"/>
    </w:lvl>
  </w:abstractNum>
  <w:abstractNum w:abstractNumId="118">
    <w:nsid w:val="25973E32"/>
    <w:multiLevelType w:val="hybridMultilevel"/>
    <w:lvl w:ilvl="0">
      <w:lvlJc w:val="left"/>
      <w:lvlText w:val="(%1)"/>
      <w:numFmt w:val="lowerLetter"/>
      <w:start w:val="2"/>
    </w:lvl>
  </w:abstractNum>
  <w:abstractNum w:abstractNumId="119">
    <w:nsid w:val="EAD6F57"/>
    <w:multiLevelType w:val="hybridMultilevel"/>
    <w:lvl w:ilvl="0">
      <w:lvlJc w:val="left"/>
      <w:lvlText w:val="(%1)"/>
      <w:numFmt w:val="lowerLetter"/>
      <w:start w:val="1"/>
    </w:lvl>
    <w:lvl w:ilvl="1">
      <w:lvlJc w:val="left"/>
      <w:lvlText w:val="(%2)"/>
      <w:numFmt w:val="lowerRoman"/>
      <w:start w:val="1"/>
    </w:lvl>
  </w:abstractNum>
  <w:abstractNum w:abstractNumId="120">
    <w:nsid w:val="6EC9D844"/>
    <w:multiLevelType w:val="hybridMultilevel"/>
    <w:lvl w:ilvl="0">
      <w:lvlJc w:val="left"/>
      <w:lvlText w:val="%1"/>
      <w:numFmt w:val="lowerLetter"/>
      <w:start w:val="1"/>
    </w:lvl>
    <w:lvl w:ilvl="1">
      <w:lvlJc w:val="left"/>
      <w:lvlText w:val="(%2)"/>
      <w:numFmt w:val="lowerRoman"/>
      <w:start w:val="3"/>
    </w:lvl>
  </w:abstractNum>
  <w:abstractNum w:abstractNumId="121">
    <w:nsid w:val="5C49EAEE"/>
    <w:multiLevelType w:val="hybridMultilevel"/>
    <w:lvl w:ilvl="0">
      <w:lvlJc w:val="left"/>
      <w:lvlText w:val="(%1)"/>
      <w:numFmt w:val="lowerLetter"/>
      <w:start w:val="2"/>
    </w:lvl>
    <w:lvl w:ilvl="1">
      <w:lvlJc w:val="left"/>
      <w:lvlText w:val="%2"/>
      <w:numFmt w:val="lowerRoman"/>
      <w:start w:val="1"/>
    </w:lvl>
  </w:abstractNum>
  <w:abstractNum w:abstractNumId="122">
    <w:nsid w:val="64AF49B"/>
    <w:multiLevelType w:val="hybridMultilevel"/>
    <w:lvl w:ilvl="0">
      <w:lvlJc w:val="left"/>
      <w:lvlText w:val="(%1)"/>
      <w:numFmt w:val="lowerLetter"/>
      <w:start w:val="1"/>
    </w:lvl>
  </w:abstractNum>
  <w:abstractNum w:abstractNumId="123">
    <w:nsid w:val="397C46BC"/>
    <w:multiLevelType w:val="hybridMultilevel"/>
    <w:lvl w:ilvl="0">
      <w:lvlJc w:val="left"/>
      <w:lvlText w:val="(%1)"/>
      <w:numFmt w:val="lowerRoman"/>
      <w:start w:val="1"/>
    </w:lvl>
  </w:abstractNum>
  <w:abstractNum w:abstractNumId="124">
    <w:nsid w:val="7E448DE9"/>
    <w:multiLevelType w:val="hybridMultilevel"/>
    <w:lvl w:ilvl="0">
      <w:lvlJc w:val="left"/>
      <w:lvlText w:val="(%1)"/>
      <w:numFmt w:val="lowerLetter"/>
      <w:start w:val="6"/>
    </w:lvl>
  </w:abstractNum>
  <w:abstractNum w:abstractNumId="125">
    <w:nsid w:val="5A9CC3E5"/>
    <w:multiLevelType w:val="hybridMultilevel"/>
    <w:lvl w:ilvl="0">
      <w:lvlJc w:val="left"/>
      <w:lvlText w:val="(%1)"/>
      <w:numFmt w:val="lowerLetter"/>
      <w:start w:val="1"/>
    </w:lvl>
  </w:abstractNum>
  <w:abstractNum w:abstractNumId="126">
    <w:nsid w:val="1AFE3625"/>
    <w:multiLevelType w:val="hybridMultilevel"/>
    <w:lvl w:ilvl="0">
      <w:lvlJc w:val="left"/>
      <w:lvlText w:val="(%1)"/>
      <w:numFmt w:val="lowerLetter"/>
      <w:start w:val="1"/>
    </w:lvl>
    <w:lvl w:ilvl="1">
      <w:lvlJc w:val="left"/>
      <w:lvlText w:val="(%2)"/>
      <w:numFmt w:val="lowerRoman"/>
      <w:start w:val="1"/>
    </w:lvl>
  </w:abstractNum>
  <w:abstractNum w:abstractNumId="127">
    <w:nsid w:val="3CA88ECF"/>
    <w:multiLevelType w:val="hybridMultilevel"/>
    <w:lvl w:ilvl="0">
      <w:lvlJc w:val="left"/>
      <w:lvlText w:val="(%1)"/>
      <w:numFmt w:val="lowerLetter"/>
      <w:start w:val="2"/>
    </w:lvl>
  </w:abstractNum>
  <w:abstractNum w:abstractNumId="128">
    <w:nsid w:val="6EBE4208"/>
    <w:multiLevelType w:val="hybridMultilevel"/>
    <w:lvl w:ilvl="0">
      <w:lvlJc w:val="left"/>
      <w:lvlText w:val="(%1)"/>
      <w:numFmt w:val="lowerLetter"/>
      <w:start w:val="3"/>
    </w:lvl>
  </w:abstractNum>
  <w:abstractNum w:abstractNumId="129">
    <w:nsid w:val="C058DF5"/>
    <w:multiLevelType w:val="hybridMultilevel"/>
    <w:lvl w:ilvl="0">
      <w:lvlJc w:val="left"/>
      <w:lvlText w:val="(%1)"/>
      <w:numFmt w:val="lowerLetter"/>
      <w:start w:val="1"/>
    </w:lvl>
  </w:abstractNum>
  <w:abstractNum w:abstractNumId="130">
    <w:nsid w:val="CBE5BE9"/>
    <w:multiLevelType w:val="hybridMultilevel"/>
    <w:lvl w:ilvl="0">
      <w:lvlJc w:val="left"/>
      <w:lvlText w:val="(%1)"/>
      <w:numFmt w:val="lowerLetter"/>
      <w:start w:val="1"/>
    </w:lvl>
  </w:abstractNum>
  <w:abstractNum w:abstractNumId="131">
    <w:nsid w:val="3102BBE2"/>
    <w:multiLevelType w:val="hybridMultilevel"/>
    <w:lvl w:ilvl="0">
      <w:lvlJc w:val="left"/>
      <w:lvlText w:val="(%1)"/>
      <w:numFmt w:val="lowerLetter"/>
      <w:start w:val="1"/>
    </w:lvl>
  </w:abstractNum>
  <w:abstractNum w:abstractNumId="132">
    <w:nsid w:val="26A02C5E"/>
    <w:multiLevelType w:val="hybridMultilevel"/>
    <w:lvl w:ilvl="0">
      <w:lvlJc w:val="left"/>
      <w:lvlText w:val="(%1)"/>
      <w:numFmt w:val="lowerLetter"/>
      <w:start w:val="1"/>
    </w:lvl>
  </w:abstractNum>
  <w:abstractNum w:abstractNumId="133">
    <w:nsid w:val="541C8153"/>
    <w:multiLevelType w:val="hybridMultilevel"/>
    <w:lvl w:ilvl="0">
      <w:lvlJc w:val="left"/>
      <w:lvlText w:val="(%1)"/>
      <w:numFmt w:val="lowerLetter"/>
      <w:start w:val="2"/>
    </w:lvl>
  </w:abstractNum>
  <w:abstractNum w:abstractNumId="134">
    <w:nsid w:val="67906F60"/>
    <w:multiLevelType w:val="hybridMultilevel"/>
    <w:lvl w:ilvl="0">
      <w:lvlJc w:val="left"/>
      <w:lvlText w:val="(%1)"/>
      <w:numFmt w:val="lowerLetter"/>
      <w:start w:val="1"/>
    </w:lvl>
  </w:abstractNum>
  <w:abstractNum w:abstractNumId="135">
    <w:nsid w:val="10DB9DAA"/>
    <w:multiLevelType w:val="hybridMultilevel"/>
    <w:lvl w:ilvl="0">
      <w:lvlJc w:val="left"/>
      <w:lvlText w:val="(%1)"/>
      <w:numFmt w:val="lowerLetter"/>
      <w:start w:val="1"/>
    </w:lvl>
    <w:lvl w:ilvl="1">
      <w:lvlJc w:val="left"/>
      <w:lvlText w:val="(%2)"/>
      <w:numFmt w:val="lowerRoman"/>
      <w:start w:val="1"/>
    </w:lvl>
  </w:abstractNum>
  <w:abstractNum w:abstractNumId="136">
    <w:nsid w:val="697D2D2"/>
    <w:multiLevelType w:val="hybridMultilevel"/>
    <w:lvl w:ilvl="0">
      <w:lvlJc w:val="left"/>
      <w:lvlText w:val="(%1)"/>
      <w:numFmt w:val="lowerLetter"/>
      <w:start w:val="1"/>
    </w:lvl>
  </w:abstractNum>
  <w:abstractNum w:abstractNumId="137">
    <w:nsid w:val="6D68AB2"/>
    <w:multiLevelType w:val="hybridMultilevel"/>
    <w:lvl w:ilvl="0">
      <w:lvlJc w:val="left"/>
      <w:lvlText w:val="(%1)"/>
      <w:numFmt w:val="lowerLetter"/>
      <w:start w:val="4"/>
    </w:lvl>
  </w:abstractNum>
  <w:abstractNum w:abstractNumId="138">
    <w:nsid w:val="3A966CD0"/>
    <w:multiLevelType w:val="hybridMultilevel"/>
    <w:lvl w:ilvl="0">
      <w:lvlJc w:val="left"/>
      <w:lvlText w:val="(%1)"/>
      <w:numFmt w:val="lowerLetter"/>
      <w:start w:val="1"/>
    </w:lvl>
  </w:abstractNum>
  <w:abstractNum w:abstractNumId="139">
    <w:nsid w:val="63F37E85"/>
    <w:multiLevelType w:val="hybridMultilevel"/>
    <w:lvl w:ilvl="0">
      <w:lvlJc w:val="left"/>
      <w:lvlText w:val="(%1)"/>
      <w:numFmt w:val="lowerLetter"/>
      <w:start w:val="1"/>
    </w:lvl>
  </w:abstractNum>
  <w:abstractNum w:abstractNumId="140">
    <w:nsid w:val="5895F5FA"/>
    <w:multiLevelType w:val="hybridMultilevel"/>
    <w:lvl w:ilvl="0">
      <w:lvlJc w:val="left"/>
      <w:lvlText w:val="(%1)"/>
      <w:numFmt w:val="lowerLetter"/>
      <w:start w:val="2"/>
    </w:lvl>
  </w:abstractNum>
  <w:abstractNum w:abstractNumId="141">
    <w:nsid w:val="38A5D054"/>
    <w:multiLevelType w:val="hybridMultilevel"/>
    <w:lvl w:ilvl="0">
      <w:lvlJc w:val="left"/>
      <w:lvlText w:val="(%1)"/>
      <w:numFmt w:val="lowerLetter"/>
      <w:start w:val="1"/>
    </w:lvl>
    <w:lvl w:ilvl="1">
      <w:lvlJc w:val="left"/>
      <w:lvlText w:val="(%2)"/>
      <w:numFmt w:val="lowerRoman"/>
      <w:start w:val="1"/>
    </w:lvl>
  </w:abstractNum>
  <w:abstractNum w:abstractNumId="142">
    <w:nsid w:val="F3F09D8"/>
    <w:multiLevelType w:val="hybridMultilevel"/>
    <w:lvl w:ilvl="0">
      <w:lvlJc w:val="left"/>
      <w:lvlText w:val="(%1)"/>
      <w:numFmt w:val="lowerLetter"/>
      <w:start w:val="1"/>
    </w:lvl>
  </w:abstractNum>
  <w:abstractNum w:abstractNumId="143">
    <w:nsid w:val="4B793735"/>
    <w:multiLevelType w:val="hybridMultilevel"/>
    <w:lvl w:ilvl="0">
      <w:lvlJc w:val="left"/>
      <w:lvlText w:val="(%1)"/>
      <w:numFmt w:val="lowerLetter"/>
      <w:start w:val="4"/>
    </w:lvl>
  </w:abstractNum>
  <w:abstractNum w:abstractNumId="144">
    <w:nsid w:val="4A10B4E8"/>
    <w:multiLevelType w:val="hybridMultilevel"/>
    <w:lvl w:ilvl="0">
      <w:lvlJc w:val="left"/>
      <w:lvlText w:val="(%1)"/>
      <w:numFmt w:val="lowerLetter"/>
      <w:start w:val="1"/>
    </w:lvl>
  </w:abstractNum>
  <w:abstractNum w:abstractNumId="145">
    <w:nsid w:val="43D3BCD4"/>
    <w:multiLevelType w:val="hybridMultilevel"/>
    <w:lvl w:ilvl="0">
      <w:lvlJc w:val="left"/>
      <w:lvlText w:val="(%1)"/>
      <w:numFmt w:val="lowerLetter"/>
      <w:start w:val="8"/>
    </w:lvl>
  </w:abstractNum>
  <w:abstractNum w:abstractNumId="146">
    <w:nsid w:val="4C2A7166"/>
    <w:multiLevelType w:val="hybridMultilevel"/>
    <w:lvl w:ilvl="0">
      <w:lvlJc w:val="left"/>
      <w:lvlText w:val="(%1)"/>
      <w:numFmt w:val="lowerLetter"/>
      <w:start w:val="1"/>
    </w:lvl>
  </w:abstractNum>
  <w:abstractNum w:abstractNumId="147">
    <w:nsid w:val="2E534A82"/>
    <w:multiLevelType w:val="hybridMultilevel"/>
    <w:lvl w:ilvl="0">
      <w:lvlJc w:val="left"/>
      <w:lvlText w:val="(%1)"/>
      <w:numFmt w:val="lowerLetter"/>
      <w:start w:val="1"/>
    </w:lvl>
  </w:abstractNum>
  <w:abstractNum w:abstractNumId="148">
    <w:nsid w:val="26F2D364"/>
    <w:multiLevelType w:val="hybridMultilevel"/>
    <w:lvl w:ilvl="0">
      <w:lvlJc w:val="left"/>
      <w:lvlText w:val="(%1)"/>
      <w:numFmt w:val="lowerLetter"/>
      <w:start w:val="1"/>
    </w:lvl>
  </w:abstractNum>
  <w:abstractNum w:abstractNumId="149">
    <w:nsid w:val="71C1AF98"/>
    <w:multiLevelType w:val="hybridMultilevel"/>
    <w:lvl w:ilvl="0">
      <w:lvlJc w:val="left"/>
      <w:lvlText w:val="(%1)"/>
      <w:numFmt w:val="lowerLetter"/>
      <w:start w:val="1"/>
    </w:lvl>
  </w:abstractNum>
  <w:abstractNum w:abstractNumId="150">
    <w:nsid w:val="3D00B9D9"/>
    <w:multiLevelType w:val="hybridMultilevel"/>
    <w:lvl w:ilvl="0">
      <w:lvlJc w:val="left"/>
      <w:lvlText w:val="(%1)"/>
      <w:numFmt w:val="lowerRoman"/>
      <w:start w:val="2"/>
    </w:lvl>
  </w:abstractNum>
  <w:abstractNum w:abstractNumId="151">
    <w:nsid w:val="15BCABA8"/>
    <w:multiLevelType w:val="hybridMultilevel"/>
    <w:lvl w:ilvl="0">
      <w:lvlJc w:val="left"/>
      <w:lvlText w:val="(%1)"/>
      <w:numFmt w:val="lowerLetter"/>
      <w:start w:val="2"/>
    </w:lvl>
  </w:abstractNum>
  <w:abstractNum w:abstractNumId="152">
    <w:nsid w:val="4E0B9A87"/>
    <w:multiLevelType w:val="hybridMultilevel"/>
    <w:lvl w:ilvl="0">
      <w:lvlJc w:val="left"/>
      <w:lvlText w:val="(%1)"/>
      <w:numFmt w:val="lowerLetter"/>
      <w:start w:val="3"/>
    </w:lvl>
  </w:abstractNum>
  <w:abstractNum w:abstractNumId="153">
    <w:nsid w:val="434BAE75"/>
    <w:multiLevelType w:val="hybridMultilevel"/>
    <w:lvl w:ilvl="0">
      <w:lvlJc w:val="left"/>
      <w:lvlText w:val="%1"/>
      <w:numFmt w:val="lowerLetter"/>
      <w:start w:val="1"/>
    </w:lvl>
    <w:lvl w:ilvl="1">
      <w:lvlJc w:val="left"/>
      <w:lvlText w:val="(%2)"/>
      <w:numFmt w:val="lowerLetter"/>
      <w:start w:val="1"/>
    </w:lvl>
  </w:abstractNum>
  <w:abstractNum w:abstractNumId="154">
    <w:nsid w:val="4F38F265"/>
    <w:multiLevelType w:val="hybridMultilevel"/>
    <w:lvl w:ilvl="0">
      <w:lvlJc w:val="left"/>
      <w:lvlText w:val="(%1)"/>
      <w:numFmt w:val="lowerLetter"/>
      <w:start w:val="35"/>
    </w:lvl>
    <w:lvl w:ilvl="1">
      <w:lvlJc w:val="left"/>
      <w:lvlText w:val="(%2)"/>
      <w:numFmt w:val="lowerLetter"/>
      <w:start w:val="4"/>
    </w:lvl>
  </w:abstractNum>
  <w:abstractNum w:abstractNumId="155">
    <w:nsid w:val="4C502870"/>
    <w:multiLevelType w:val="hybridMultilevel"/>
    <w:lvl w:ilvl="0">
      <w:lvlJc w:val="left"/>
      <w:lvlText w:val="(%1)"/>
      <w:numFmt w:val="lowerLetter"/>
      <w:start w:val="10"/>
    </w:lvl>
  </w:abstractNum>
  <w:abstractNum w:abstractNumId="156">
    <w:nsid w:val="1DE8725A"/>
    <w:multiLevelType w:val="hybridMultilevel"/>
    <w:lvl w:ilvl="0">
      <w:lvlJc w:val="left"/>
      <w:lvlText w:val="(%1)"/>
      <w:numFmt w:val="lowerLetter"/>
      <w:start w:val="11"/>
    </w:lvl>
  </w:abstractNum>
  <w:abstractNum w:abstractNumId="157">
    <w:nsid w:val="6A37288A"/>
    <w:multiLevelType w:val="hybridMultilevel"/>
    <w:lvl w:ilvl="0">
      <w:lvlJc w:val="left"/>
      <w:lvlText w:val="(%1)"/>
      <w:numFmt w:val="lowerLetter"/>
      <w:start w:val="21"/>
    </w:lvl>
  </w:abstractNum>
  <w:abstractNum w:abstractNumId="158">
    <w:nsid w:val="8F8B73F"/>
    <w:multiLevelType w:val="hybridMultilevel"/>
    <w:lvl w:ilvl="0">
      <w:lvlJc w:val="left"/>
      <w:lvlText w:val="(%1)"/>
      <w:numFmt w:val="lowerLetter"/>
      <w:start w:val="27"/>
    </w:lvl>
  </w:abstractNum>
  <w:abstractNum w:abstractNumId="159">
    <w:nsid w:val="CA6B462"/>
    <w:multiLevelType w:val="hybridMultilevel"/>
    <w:lvl w:ilvl="0">
      <w:lvlJc w:val="left"/>
      <w:lvlText w:val="(%1)"/>
      <w:numFmt w:val="lowerLetter"/>
      <w:start w:val="1"/>
    </w:lvl>
  </w:abstractNum>
  <w:abstractNum w:abstractNumId="160">
    <w:nsid w:val="763CB680"/>
    <w:multiLevelType w:val="hybridMultilevel"/>
    <w:lvl w:ilvl="0">
      <w:lvlJc w:val="left"/>
      <w:lvlText w:val="%1"/>
      <w:numFmt w:val="upperLetter"/>
      <w:start w:val="1"/>
    </w:lvl>
    <w:lvl w:ilvl="1">
      <w:lvlJc w:val="left"/>
      <w:lvlText w:val="(%2)"/>
      <w:numFmt w:val="lowerLetter"/>
      <w:start w:val="6"/>
    </w:lvl>
  </w:abstractNum>
  <w:abstractNum w:abstractNumId="161">
    <w:nsid w:val="15B71329"/>
    <w:multiLevelType w:val="hybridMultilevel"/>
    <w:lvl w:ilvl="0">
      <w:lvlJc w:val="left"/>
      <w:lvlText w:val="(%1)"/>
      <w:numFmt w:val="upperLetter"/>
      <w:start w:val="2"/>
    </w:lvl>
    <w:lvl w:ilvl="1">
      <w:lvlJc w:val="left"/>
      <w:lvlText w:val="%2"/>
      <w:numFmt w:val="lowerLetter"/>
      <w:start w:val="1"/>
    </w:lvl>
  </w:abstractNum>
  <w:abstractNum w:abstractNumId="162">
    <w:nsid w:val="3DA97044"/>
    <w:multiLevelType w:val="hybridMultilevel"/>
    <w:lvl w:ilvl="0">
      <w:lvlJc w:val="left"/>
      <w:lvlText w:val="(%1)"/>
      <w:numFmt w:val="lowerLetter"/>
      <w:start w:val="19"/>
    </w:lvl>
  </w:abstractNum>
  <w:abstractNum w:abstractNumId="163">
    <w:nsid w:val="1CDCE2DE"/>
    <w:multiLevelType w:val="hybridMultilevel"/>
    <w:lvl w:ilvl="0">
      <w:lvlJc w:val="left"/>
      <w:lvlText w:val="(%1)"/>
      <w:numFmt w:val="lowerRoman"/>
      <w:start w:val="2"/>
    </w:lvl>
  </w:abstractNum>
  <w:abstractNum w:abstractNumId="164">
    <w:nsid w:val="69D3947C"/>
    <w:multiLevelType w:val="hybridMultilevel"/>
    <w:lvl w:ilvl="0">
      <w:lvlJc w:val="left"/>
      <w:lvlText w:val="(%1)"/>
      <w:numFmt w:val="lowerLetter"/>
      <w:start w:val="1"/>
    </w:lvl>
  </w:abstractNum>
  <w:abstractNum w:abstractNumId="165">
    <w:nsid w:val="2539DFA5"/>
    <w:multiLevelType w:val="hybridMultilevel"/>
    <w:lvl w:ilvl="0">
      <w:lvlJc w:val="left"/>
      <w:lvlText w:val="(%1)"/>
      <w:numFmt w:val="lowerLetter"/>
      <w:start w:val="3"/>
    </w:lvl>
  </w:abstractNum>
  <w:abstractNum w:abstractNumId="166">
    <w:nsid w:val="2DB88089"/>
    <w:multiLevelType w:val="hybridMultilevel"/>
    <w:lvl w:ilvl="0">
      <w:lvlJc w:val="left"/>
      <w:lvlText w:val="%1"/>
      <w:numFmt w:val="lowerLetter"/>
      <w:start w:val="1"/>
    </w:lvl>
    <w:lvl w:ilvl="1">
      <w:lvlJc w:val="left"/>
      <w:lvlText w:val="(%2)"/>
      <w:numFmt w:val="lowerLetter"/>
      <w:start w:val="10"/>
    </w:lvl>
  </w:abstractNum>
  <w:abstractNum w:abstractNumId="167">
    <w:nsid w:val="706B674E"/>
    <w:multiLevelType w:val="hybridMultilevel"/>
    <w:lvl w:ilvl="0">
      <w:lvlJc w:val="left"/>
      <w:lvlText w:val="(%1)"/>
      <w:numFmt w:val="lowerLetter"/>
      <w:start w:val="24"/>
    </w:lvl>
    <w:lvl w:ilvl="1">
      <w:lvlJc w:val="left"/>
      <w:lvlText w:val="(%2)"/>
      <w:numFmt w:val="lowerLetter"/>
      <w:start w:val="12"/>
    </w:lvl>
  </w:abstractNum>
  <w:abstractNum w:abstractNumId="168">
    <w:nsid w:val="2C106A57"/>
    <w:multiLevelType w:val="hybridMultilevel"/>
    <w:lvl w:ilvl="0">
      <w:lvlJc w:val="left"/>
      <w:lvlText w:val="(%1)"/>
      <w:numFmt w:val="lowerLetter"/>
      <w:start w:val="19"/>
    </w:lvl>
  </w:abstractNum>
  <w:abstractNum w:abstractNumId="169">
    <w:nsid w:val="684EED59"/>
    <w:multiLevelType w:val="hybridMultilevel"/>
    <w:lvl w:ilvl="0">
      <w:lvlJc w:val="left"/>
      <w:lvlText w:val="%1"/>
      <w:numFmt w:val="lowerRoman"/>
      <w:start w:val="1"/>
    </w:lvl>
    <w:lvl w:ilvl="1">
      <w:lvlJc w:val="left"/>
      <w:lvlText w:val="(%2)"/>
      <w:numFmt w:val="lowerRoman"/>
      <w:start w:val="10"/>
    </w:lvl>
  </w:abstractNum>
  <w:abstractNum w:abstractNumId="170">
    <w:nsid w:val="545EE5D3"/>
    <w:multiLevelType w:val="hybridMultilevel"/>
    <w:lvl w:ilvl="0">
      <w:lvlJc w:val="left"/>
      <w:lvlText w:val="(%1)"/>
      <w:numFmt w:val="lowerRoman"/>
      <w:start w:val="2"/>
    </w:lvl>
    <w:lvl w:ilvl="1">
      <w:lvlJc w:val="left"/>
      <w:lvlText w:val="%2"/>
      <w:numFmt w:val="lowerRoman"/>
      <w:start w:val="1"/>
    </w:lvl>
  </w:abstractNum>
  <w:abstractNum w:abstractNumId="171">
    <w:nsid w:val="4A66051"/>
    <w:multiLevelType w:val="hybridMultilevel"/>
    <w:lvl w:ilvl="0">
      <w:lvlJc w:val="left"/>
      <w:lvlText w:val="(%1)"/>
      <w:numFmt w:val="lowerLetter"/>
      <w:start w:val="1"/>
    </w:lvl>
  </w:abstractNum>
  <w:abstractNum w:abstractNumId="172">
    <w:nsid w:val="20F4BDAD"/>
    <w:multiLevelType w:val="hybridMultilevel"/>
    <w:lvl w:ilvl="0">
      <w:lvlJc w:val="left"/>
      <w:lvlText w:val="(%1)"/>
      <w:numFmt w:val="lowerLetter"/>
      <w:start w:val="4"/>
    </w:lvl>
  </w:abstractNum>
  <w:abstractNum w:abstractNumId="173">
    <w:nsid w:val="639DEFAC"/>
    <w:multiLevelType w:val="hybridMultilevel"/>
    <w:lvl w:ilvl="0">
      <w:lvlJc w:val="left"/>
      <w:lvlText w:val="(%1)"/>
      <w:numFmt w:val="lowerLetter"/>
      <w:start w:val="1"/>
    </w:lvl>
  </w:abstractNum>
  <w:abstractNum w:abstractNumId="174">
    <w:nsid w:val="501F9786"/>
    <w:multiLevelType w:val="hybridMultilevel"/>
    <w:lvl w:ilvl="0">
      <w:lvlJc w:val="left"/>
      <w:lvlText w:val="(%1)"/>
      <w:numFmt w:val="lowerLetter"/>
      <w:start w:val="12"/>
    </w:lvl>
  </w:abstractNum>
  <w:abstractNum w:abstractNumId="175">
    <w:nsid w:val="6B057295"/>
    <w:multiLevelType w:val="hybridMultilevel"/>
    <w:lvl w:ilvl="0">
      <w:lvlJc w:val="left"/>
      <w:lvlText w:val="(%1)"/>
      <w:numFmt w:val="lowerLetter"/>
      <w:start w:val="1"/>
    </w:lvl>
  </w:abstractNum>
  <w:abstractNum w:abstractNumId="176">
    <w:nsid w:val="2771AC80"/>
    <w:multiLevelType w:val="hybridMultilevel"/>
    <w:lvl w:ilvl="0">
      <w:lvlJc w:val="left"/>
      <w:lvlText w:val="(%1)"/>
      <w:numFmt w:val="lowerLetter"/>
      <w:start w:val="6"/>
    </w:lvl>
  </w:abstractNum>
  <w:abstractNum w:abstractNumId="177">
    <w:nsid w:val="1C4A08EC"/>
    <w:multiLevelType w:val="hybridMultilevel"/>
    <w:lvl w:ilvl="0">
      <w:lvlJc w:val="left"/>
      <w:lvlText w:val="(%1)"/>
      <w:numFmt w:val="lowerLetter"/>
      <w:start w:val="1"/>
    </w:lvl>
  </w:abstractNum>
  <w:abstractNum w:abstractNumId="178">
    <w:nsid w:val="1958BD17"/>
    <w:multiLevelType w:val="hybridMultilevel"/>
    <w:lvl w:ilvl="0">
      <w:lvlJc w:val="left"/>
      <w:lvlText w:val="(%1)"/>
      <w:numFmt w:val="lowerRoman"/>
      <w:start w:val="2"/>
    </w:lvl>
  </w:abstractNum>
  <w:abstractNum w:abstractNumId="179">
    <w:nsid w:val="4E647FE4"/>
    <w:multiLevelType w:val="hybridMultilevel"/>
    <w:lvl w:ilvl="0">
      <w:lvlJc w:val="left"/>
      <w:lvlText w:val="%1"/>
      <w:numFmt w:val="lowerRoman"/>
      <w:start w:val="1"/>
    </w:lvl>
    <w:lvl w:ilvl="1">
      <w:lvlJc w:val="left"/>
      <w:lvlText w:val="(%2)"/>
      <w:numFmt w:val="lowerRoman"/>
      <w:start w:val="1"/>
    </w:lvl>
  </w:abstractNum>
  <w:abstractNum w:abstractNumId="180">
    <w:nsid w:val="E0BB885"/>
    <w:multiLevelType w:val="hybridMultilevel"/>
    <w:lvl w:ilvl="0">
      <w:lvlJc w:val="left"/>
      <w:lvlText w:val="(%1)"/>
      <w:numFmt w:val="lowerRoman"/>
      <w:start w:val="3"/>
    </w:lvl>
    <w:lvl w:ilvl="1">
      <w:lvlJc w:val="left"/>
      <w:lvlText w:val="(%2)"/>
      <w:numFmt w:val="lowerRoman"/>
      <w:start w:val="5"/>
    </w:lvl>
  </w:abstractNum>
  <w:abstractNum w:abstractNumId="181">
    <w:nsid w:val="565976F1"/>
    <w:multiLevelType w:val="hybridMultilevel"/>
    <w:lvl w:ilvl="0">
      <w:lvlJc w:val="left"/>
      <w:lvlText w:val="(%1)"/>
      <w:numFmt w:val="lowerRoman"/>
      <w:start w:val="10"/>
    </w:lvl>
  </w:abstractNum>
  <w:abstractNum w:abstractNumId="182">
    <w:nsid w:val="64212B8C"/>
    <w:multiLevelType w:val="hybridMultilevel"/>
    <w:lvl w:ilvl="0">
      <w:lvlJc w:val="left"/>
      <w:lvlText w:val="%1"/>
      <w:numFmt w:val="upperLetter"/>
      <w:start w:val="1"/>
    </w:lvl>
    <w:lvl w:ilvl="1">
      <w:lvlJc w:val="left"/>
      <w:lvlText w:val="(%2)"/>
      <w:numFmt w:val="lowerLetter"/>
      <w:start w:val="1"/>
    </w:lvl>
  </w:abstractNum>
  <w:abstractNum w:abstractNumId="183">
    <w:nsid w:val="5C17530C"/>
    <w:multiLevelType w:val="hybridMultilevel"/>
    <w:lvl w:ilvl="0">
      <w:lvlJc w:val="left"/>
      <w:lvlText w:val="(%1)"/>
      <w:numFmt w:val="upperLetter"/>
      <w:start w:val="2"/>
    </w:lvl>
    <w:lvl w:ilvl="1">
      <w:lvlJc w:val="left"/>
      <w:lvlText w:val="%2"/>
      <w:numFmt w:val="lowerLetter"/>
      <w:start w:val="1"/>
    </w:lvl>
  </w:abstractNum>
  <w:abstractNum w:abstractNumId="184">
    <w:nsid w:val="19A52566"/>
    <w:multiLevelType w:val="hybridMultilevel"/>
    <w:lvl w:ilvl="0">
      <w:lvlJc w:val="left"/>
      <w:lvlText w:val="%1"/>
      <w:numFmt w:val="decimal"/>
      <w:start w:val="1"/>
    </w:lvl>
    <w:lvl w:ilvl="1">
      <w:lvlJc w:val="left"/>
      <w:lvlText w:val="(%2)"/>
      <w:numFmt w:val="lowerLetter"/>
      <w:start w:val="2"/>
    </w:lvl>
  </w:abstractNum>
  <w:abstractNum w:abstractNumId="185">
    <w:nsid w:val="335A1DF1"/>
    <w:multiLevelType w:val="hybridMultilevel"/>
    <w:lvl w:ilvl="0">
      <w:lvlJc w:val="left"/>
      <w:lvlText w:val="(%1)"/>
      <w:numFmt w:val="decimal"/>
      <w:start w:val="4"/>
    </w:lvl>
    <w:lvl w:ilvl="1">
      <w:lvlJc w:val="left"/>
      <w:lvlText w:val="(%2)"/>
      <w:numFmt w:val="lowerLetter"/>
      <w:start w:val="3"/>
    </w:lvl>
  </w:abstractNum>
  <w:abstractNum w:abstractNumId="186">
    <w:nsid w:val="28677B7C"/>
    <w:multiLevelType w:val="hybridMultilevel"/>
    <w:lvl w:ilvl="0">
      <w:lvlJc w:val="left"/>
      <w:lvlText w:val="(%1)"/>
      <w:numFmt w:val="lowerLetter"/>
      <w:start w:val="4"/>
    </w:lvl>
  </w:abstractNum>
  <w:abstractNum w:abstractNumId="187">
    <w:nsid w:val="378D97C0"/>
    <w:multiLevelType w:val="hybridMultilevel"/>
    <w:lvl w:ilvl="0">
      <w:lvlJc w:val="left"/>
      <w:lvlText w:val="(%1)"/>
      <w:numFmt w:val="lowerLetter"/>
      <w:start w:val="1"/>
    </w:lvl>
  </w:abstractNum>
  <w:abstractNum w:abstractNumId="188">
    <w:nsid w:val="1D91467C"/>
    <w:multiLevelType w:val="hybridMultilevel"/>
    <w:lvl w:ilvl="0">
      <w:lvlJc w:val="left"/>
      <w:lvlText w:val="(%1)"/>
      <w:numFmt w:val="lowerLetter"/>
      <w:start w:val="1"/>
    </w:lvl>
  </w:abstractNum>
  <w:abstractNum w:abstractNumId="189">
    <w:nsid w:val="316032BB"/>
    <w:multiLevelType w:val="hybridMultilevel"/>
    <w:lvl w:ilvl="0">
      <w:lvlJc w:val="left"/>
      <w:lvlText w:val="(%1)"/>
      <w:numFmt w:val="lowerLetter"/>
      <w:start w:val="2"/>
    </w:lvl>
  </w:abstractNum>
  <w:abstractNum w:abstractNumId="190">
    <w:nsid w:val="44344C22"/>
    <w:multiLevelType w:val="hybridMultilevel"/>
    <w:lvl w:ilvl="0">
      <w:lvlJc w:val="left"/>
      <w:lvlText w:val="(%1)"/>
      <w:numFmt w:val="lowerLetter"/>
      <w:start w:val="7"/>
    </w:lvl>
  </w:abstractNum>
  <w:abstractNum w:abstractNumId="191">
    <w:nsid w:val="13CDFCFC"/>
    <w:multiLevelType w:val="hybridMultilevel"/>
    <w:lvl w:ilvl="0">
      <w:lvlJc w:val="left"/>
      <w:lvlText w:val="(%1)"/>
      <w:numFmt w:val="lowerRoman"/>
      <w:start w:val="1"/>
    </w:lvl>
  </w:abstractNum>
  <w:abstractNum w:abstractNumId="192">
    <w:nsid w:val="471745E4"/>
    <w:multiLevelType w:val="hybridMultilevel"/>
    <w:lvl w:ilvl="0">
      <w:lvlJc w:val="left"/>
      <w:lvlText w:val="(%1)"/>
      <w:numFmt w:val="lowerRoman"/>
      <w:start w:val="2"/>
    </w:lvl>
  </w:abstractNum>
  <w:abstractNum w:abstractNumId="193">
    <w:nsid w:val="1DDBC66"/>
    <w:multiLevelType w:val="hybridMultilevel"/>
    <w:lvl w:ilvl="0">
      <w:lvlJc w:val="left"/>
      <w:lvlText w:val="(%1)"/>
      <w:numFmt w:val="lowerLetter"/>
      <w:start w:val="1"/>
    </w:lvl>
  </w:abstractNum>
  <w:abstractNum w:abstractNumId="194">
    <w:nsid w:val="30AADFDA"/>
    <w:multiLevelType w:val="hybridMultilevel"/>
    <w:lvl w:ilvl="0">
      <w:lvlJc w:val="left"/>
      <w:lvlText w:val="(%1)"/>
      <w:numFmt w:val="lowerLetter"/>
      <w:start w:val="1"/>
    </w:lvl>
  </w:abstractNum>
  <w:abstractNum w:abstractNumId="195">
    <w:nsid w:val="30EADA61"/>
    <w:multiLevelType w:val="hybridMultilevel"/>
    <w:lvl w:ilvl="0">
      <w:lvlJc w:val="left"/>
      <w:lvlText w:val="(%1)"/>
      <w:numFmt w:val="lowerLetter"/>
      <w:start w:val="1"/>
    </w:lvl>
  </w:abstractNum>
  <w:abstractNum w:abstractNumId="196">
    <w:nsid w:val="27179C0B"/>
    <w:multiLevelType w:val="hybridMultilevel"/>
    <w:lvl w:ilvl="0">
      <w:lvlJc w:val="left"/>
      <w:lvlText w:val="(%1)"/>
      <w:numFmt w:val="lowerLetter"/>
      <w:start w:val="3"/>
    </w:lvl>
  </w:abstractNum>
  <w:abstractNum w:abstractNumId="197">
    <w:nsid w:val="5E636063"/>
    <w:multiLevelType w:val="hybridMultilevel"/>
    <w:lvl w:ilvl="0">
      <w:lvlJc w:val="left"/>
      <w:lvlText w:val="(%1)"/>
      <w:numFmt w:val="lowerLetter"/>
      <w:start w:val="1"/>
    </w:lvl>
  </w:abstractNum>
  <w:abstractNum w:abstractNumId="198">
    <w:nsid w:val="215641AF"/>
    <w:multiLevelType w:val="hybridMultilevel"/>
    <w:lvl w:ilvl="0">
      <w:lvlJc w:val="left"/>
      <w:lvlText w:val="(%1)"/>
      <w:numFmt w:val="lowerLetter"/>
      <w:start w:val="1"/>
    </w:lvl>
  </w:abstractNum>
  <w:abstractNum w:abstractNumId="199">
    <w:nsid w:val="53280662"/>
    <w:multiLevelType w:val="hybridMultilevel"/>
    <w:lvl w:ilvl="0">
      <w:lvlJc w:val="left"/>
      <w:lvlText w:val="(%1)"/>
      <w:numFmt w:val="lowerLetter"/>
      <w:start w:val="1"/>
    </w:lvl>
  </w:abstractNum>
  <w:abstractNum w:abstractNumId="200">
    <w:nsid w:val="46B24DBC"/>
    <w:multiLevelType w:val="hybridMultilevel"/>
    <w:lvl w:ilvl="0">
      <w:lvlJc w:val="left"/>
      <w:lvlText w:val="(%1)"/>
      <w:numFmt w:val="lowerLetter"/>
      <w:start w:val="2"/>
    </w:lvl>
  </w:abstractNum>
  <w:abstractNum w:abstractNumId="201">
    <w:nsid w:val="75B52783"/>
    <w:multiLevelType w:val="hybridMultilevel"/>
    <w:lvl w:ilvl="0">
      <w:lvlJc w:val="left"/>
      <w:lvlText w:val="(%1)"/>
      <w:numFmt w:val="lowerLetter"/>
      <w:start w:val="1"/>
    </w:lvl>
    <w:lvl w:ilvl="1">
      <w:lvlJc w:val="left"/>
      <w:lvlText w:val="(%2)"/>
      <w:numFmt w:val="lowerRoman"/>
      <w:start w:val="1"/>
    </w:lvl>
  </w:abstractNum>
  <w:abstractNum w:abstractNumId="202">
    <w:nsid w:val="57CE66B4"/>
    <w:multiLevelType w:val="hybridMultilevel"/>
    <w:lvl w:ilvl="0">
      <w:lvlJc w:val="left"/>
      <w:lvlText w:val="(%1)"/>
      <w:numFmt w:val="lowerLetter"/>
      <w:start w:val="2"/>
    </w:lvl>
  </w:abstractNum>
  <w:abstractNum w:abstractNumId="203">
    <w:nsid w:val="67A70B69"/>
    <w:multiLevelType w:val="hybridMultilevel"/>
    <w:lvl w:ilvl="0">
      <w:lvlJc w:val="left"/>
      <w:lvlText w:val="(%1)"/>
      <w:numFmt w:val="lowerLetter"/>
      <w:start w:val="3"/>
    </w:lvl>
  </w:abstractNum>
  <w:abstractNum w:abstractNumId="204">
    <w:nsid w:val="5953172F"/>
    <w:multiLevelType w:val="hybridMultilevel"/>
    <w:lvl w:ilvl="0">
      <w:lvlJc w:val="left"/>
      <w:lvlText w:val="(%1)"/>
      <w:numFmt w:val="lowerLetter"/>
      <w:start w:val="1"/>
    </w:lvl>
  </w:abstractNum>
  <w:abstractNum w:abstractNumId="205">
    <w:nsid w:val="27EDFE3A"/>
    <w:multiLevelType w:val="hybridMultilevel"/>
    <w:lvl w:ilvl="0">
      <w:lvlJc w:val="left"/>
      <w:lvlText w:val="(%1)"/>
      <w:numFmt w:val="lowerLetter"/>
      <w:start w:val="3"/>
    </w:lvl>
  </w:abstractNum>
  <w:abstractNum w:abstractNumId="206">
    <w:nsid w:val="52AC7DFF"/>
    <w:multiLevelType w:val="hybridMultilevel"/>
    <w:lvl w:ilvl="0">
      <w:lvlJc w:val="left"/>
      <w:lvlText w:val="(%1)"/>
      <w:numFmt w:val="lowerLetter"/>
      <w:start w:val="4"/>
    </w:lvl>
  </w:abstractNum>
  <w:abstractNum w:abstractNumId="207">
    <w:nsid w:val="C4C3AF"/>
    <w:multiLevelType w:val="hybridMultilevel"/>
    <w:lvl w:ilvl="0">
      <w:lvlJc w:val="left"/>
      <w:lvlText w:val="(%1)"/>
      <w:numFmt w:val="lowerLetter"/>
      <w:start w:val="1"/>
    </w:lvl>
  </w:abstractNum>
  <w:abstractNum w:abstractNumId="208">
    <w:nsid w:val="44380727"/>
    <w:multiLevelType w:val="hybridMultilevel"/>
    <w:lvl w:ilvl="0">
      <w:lvlJc w:val="left"/>
      <w:lvlText w:val="(%1)"/>
      <w:numFmt w:val="lowerLetter"/>
      <w:start w:val="2"/>
    </w:lvl>
    <w:lvl w:ilvl="1">
      <w:lvlJc w:val="left"/>
      <w:lvlText w:val="(%2)"/>
      <w:numFmt w:val="lowerRoman"/>
      <w:start w:val="1"/>
    </w:lvl>
  </w:abstractNum>
  <w:abstractNum w:abstractNumId="209">
    <w:nsid w:val="6C053B16"/>
    <w:multiLevelType w:val="hybridMultilevel"/>
    <w:lvl w:ilvl="0">
      <w:lvlJc w:val="left"/>
      <w:lvlText w:val="(%1)"/>
      <w:numFmt w:val="lowerRoman"/>
      <w:start w:val="4"/>
    </w:lvl>
  </w:abstractNum>
  <w:abstractNum w:abstractNumId="210">
    <w:nsid w:val="4F294393"/>
    <w:multiLevelType w:val="hybridMultilevel"/>
    <w:lvl w:ilvl="0">
      <w:lvlJc w:val="left"/>
      <w:lvlText w:val="(%1)"/>
      <w:numFmt w:val="lowerLetter"/>
      <w:start w:val="3"/>
    </w:lvl>
  </w:abstractNum>
  <w:abstractNum w:abstractNumId="211">
    <w:nsid w:val="5243BFAC"/>
    <w:multiLevelType w:val="hybridMultilevel"/>
    <w:lvl w:ilvl="0">
      <w:lvlJc w:val="left"/>
      <w:lvlText w:val="(%1)"/>
      <w:numFmt w:val="lowerLetter"/>
      <w:start w:val="4"/>
    </w:lvl>
  </w:abstractNum>
  <w:abstractNum w:abstractNumId="212">
    <w:nsid w:val="425EB207"/>
    <w:multiLevelType w:val="hybridMultilevel"/>
    <w:lvl w:ilvl="0">
      <w:lvlJc w:val="left"/>
      <w:lvlText w:val="(%1)"/>
      <w:numFmt w:val="lowerLetter"/>
      <w:start w:val="5"/>
    </w:lvl>
  </w:abstractNum>
  <w:abstractNum w:abstractNumId="213">
    <w:nsid w:val="334A6F1F"/>
    <w:multiLevelType w:val="hybridMultilevel"/>
    <w:lvl w:ilvl="0">
      <w:lvlJc w:val="left"/>
      <w:lvlText w:val="(%1)"/>
      <w:numFmt w:val="lowerLetter"/>
      <w:start w:val="6"/>
    </w:lvl>
  </w:abstractNum>
  <w:abstractNum w:abstractNumId="214">
    <w:nsid w:val="2E5B12B8"/>
    <w:multiLevelType w:val="hybridMultilevel"/>
    <w:lvl w:ilvl="0">
      <w:lvlJc w:val="left"/>
      <w:lvlText w:val="(%1)"/>
      <w:numFmt w:val="lowerRoman"/>
      <w:start w:val="1"/>
    </w:lvl>
  </w:abstractNum>
  <w:abstractNum w:abstractNumId="215">
    <w:nsid w:val="5C03D76D"/>
    <w:multiLevelType w:val="hybridMultilevel"/>
    <w:lvl w:ilvl="0">
      <w:lvlJc w:val="left"/>
      <w:lvlText w:val="(%1)"/>
      <w:numFmt w:val="lowerLetter"/>
      <w:start w:val="1"/>
    </w:lvl>
  </w:abstractNum>
  <w:abstractNum w:abstractNumId="216">
    <w:nsid w:val="66A48D11"/>
    <w:multiLevelType w:val="hybridMultilevel"/>
    <w:lvl w:ilvl="0">
      <w:lvlJc w:val="left"/>
      <w:lvlText w:val="(%1)"/>
      <w:numFmt w:val="lowerLetter"/>
      <w:start w:val="1"/>
    </w:lvl>
  </w:abstractNum>
  <w:abstractNum w:abstractNumId="217">
    <w:nsid w:val="56C28E34"/>
    <w:multiLevelType w:val="hybridMultilevel"/>
    <w:lvl w:ilvl="0">
      <w:lvlJc w:val="left"/>
      <w:lvlText w:val="(%1)"/>
      <w:numFmt w:val="lowerLetter"/>
      <w:start w:val="1"/>
    </w:lvl>
  </w:abstractNum>
  <w:abstractNum w:abstractNumId="218">
    <w:nsid w:val="13916F2D"/>
    <w:multiLevelType w:val="hybridMultilevel"/>
    <w:lvl w:ilvl="0">
      <w:lvlJc w:val="left"/>
      <w:lvlText w:val="(%1)"/>
      <w:numFmt w:val="lowerLetter"/>
      <w:start w:val="3"/>
    </w:lvl>
  </w:abstractNum>
  <w:abstractNum w:abstractNumId="219">
    <w:nsid w:val="435D38D"/>
    <w:multiLevelType w:val="hybridMultilevel"/>
    <w:lvl w:ilvl="0">
      <w:lvlJc w:val="left"/>
      <w:lvlText w:val="(%1)"/>
      <w:numFmt w:val="lowerLetter"/>
      <w:start w:val="1"/>
    </w:lvl>
  </w:abstractNum>
  <w:abstractNum w:abstractNumId="220">
    <w:nsid w:val="822C0EF"/>
    <w:multiLevelType w:val="hybridMultilevel"/>
    <w:lvl w:ilvl="0">
      <w:lvlJc w:val="left"/>
      <w:lvlText w:val="(%1)"/>
      <w:numFmt w:val="lowerLetter"/>
      <w:start w:val="2"/>
    </w:lvl>
  </w:abstractNum>
  <w:abstractNum w:abstractNumId="221">
    <w:nsid w:val="57C5BB4F"/>
    <w:multiLevelType w:val="hybridMultilevel"/>
    <w:lvl w:ilvl="0">
      <w:lvlJc w:val="left"/>
      <w:lvlText w:val="(%1)"/>
      <w:numFmt w:val="lowerLetter"/>
      <w:start w:val="1"/>
    </w:lvl>
    <w:lvl w:ilvl="1">
      <w:lvlJc w:val="left"/>
      <w:lvlText w:val="(%2)"/>
      <w:numFmt w:val="lowerRoman"/>
      <w:start w:val="1"/>
    </w:lvl>
  </w:abstractNum>
  <w:abstractNum w:abstractNumId="222">
    <w:nsid w:val="1803D089"/>
    <w:multiLevelType w:val="hybridMultilevel"/>
    <w:lvl w:ilvl="0">
      <w:lvlJc w:val="left"/>
      <w:lvlText w:val="%1."/>
      <w:numFmt w:val="decimal"/>
      <w:start w:val="1"/>
    </w:lvl>
  </w:abstractNum>
  <w:abstractNum w:abstractNumId="223">
    <w:nsid w:val="4F3A06D4"/>
    <w:multiLevelType w:val="hybridMultilevel"/>
    <w:lvl w:ilvl="0">
      <w:lvlJc w:val="left"/>
      <w:lvlText w:val="%1."/>
      <w:numFmt w:val="decimal"/>
      <w:start w:val="1"/>
    </w:lvl>
  </w:abstractNum>
  <w:abstractNum w:abstractNumId="224">
    <w:nsid w:val="59A377B6"/>
    <w:multiLevelType w:val="hybridMultilevel"/>
    <w:lvl w:ilvl="0">
      <w:lvlJc w:val="left"/>
      <w:lvlText w:val="•"/>
      <w:numFmt w:val="bullet"/>
      <w:start w:val="1"/>
    </w:lvl>
  </w:abstractNum>
  <w:abstractNum w:abstractNumId="225">
    <w:nsid w:val="48AEB063"/>
    <w:multiLevelType w:val="hybridMultilevel"/>
    <w:lvl w:ilvl="0">
      <w:lvlJc w:val="left"/>
      <w:lvlText w:val="%1."/>
      <w:numFmt w:val="upperLetter"/>
      <w:start w:val="1"/>
    </w:lvl>
  </w:abstractNum>
  <w:abstractNum w:abstractNumId="226">
    <w:nsid w:val="24E135"/>
    <w:multiLevelType w:val="hybridMultilevel"/>
    <w:lvl w:ilvl="0">
      <w:lvlJc w:val="left"/>
      <w:lvlText w:val="(%1)"/>
      <w:numFmt w:val="lowerLetter"/>
      <w:start w:val="2"/>
    </w:lvl>
  </w:abstractNum>
  <w:abstractNum w:abstractNumId="227">
    <w:nsid w:val="BB13C1"/>
    <w:multiLevelType w:val="hybridMultilevel"/>
    <w:lvl w:ilvl="0">
      <w:lvlJc w:val="left"/>
      <w:lvlText w:val="(%1)"/>
      <w:numFmt w:val="lowerLetter"/>
      <w:start w:val="5"/>
    </w:lvl>
    <w:lvl w:ilvl="1">
      <w:lvlJc w:val="left"/>
      <w:lvlText w:val="(%2)"/>
      <w:numFmt w:val="lowerLetter"/>
      <w:start w:val="24"/>
    </w:lvl>
  </w:abstractNum>
  <w:abstractNum w:abstractNumId="228">
    <w:nsid w:val="271210C7"/>
    <w:multiLevelType w:val="hybridMultilevel"/>
    <w:lvl w:ilvl="0">
      <w:lvlJc w:val="left"/>
      <w:lvlText w:val="(%1)"/>
      <w:numFmt w:val="lowerLetter"/>
      <w:start w:val="7"/>
    </w:lvl>
  </w:abstractNum>
  <w:abstractNum w:abstractNumId="229">
    <w:nsid w:val="217B22E4"/>
    <w:multiLevelType w:val="hybridMultilevel"/>
    <w:lvl w:ilvl="0">
      <w:lvlJc w:val="left"/>
      <w:lvlText w:val="%1."/>
      <w:numFmt w:val="upperLetter"/>
      <w:start w:val="2"/>
    </w:lvl>
  </w:abstractNum>
  <w:abstractNum w:abstractNumId="230">
    <w:nsid w:val="53E31A24"/>
    <w:multiLevelType w:val="hybridMultilevel"/>
    <w:lvl w:ilvl="0">
      <w:lvlJc w:val="left"/>
      <w:lvlText w:val="(%1)"/>
      <w:numFmt w:val="lowerLetter"/>
      <w:start w:val="2"/>
    </w:lvl>
  </w:abstractNum>
  <w:abstractNum w:abstractNumId="231">
    <w:nsid w:val="6DC45E83"/>
    <w:multiLevelType w:val="hybridMultilevel"/>
    <w:lvl w:ilvl="0">
      <w:lvlJc w:val="left"/>
      <w:lvlText w:val="(%1)"/>
      <w:numFmt w:val="lowerLetter"/>
      <w:start w:val="3"/>
    </w:lvl>
  </w:abstractNum>
  <w:abstractNum w:abstractNumId="232">
    <w:nsid w:val="17304A67"/>
    <w:multiLevelType w:val="hybridMultilevel"/>
    <w:lvl w:ilvl="0">
      <w:lvlJc w:val="left"/>
      <w:lvlText w:val="%1."/>
      <w:numFmt w:val="upperLetter"/>
      <w:start w:val="3"/>
    </w:lvl>
  </w:abstractNum>
  <w:abstractNum w:abstractNumId="233">
    <w:nsid w:val="2BB180D8"/>
    <w:multiLevelType w:val="hybridMultilevel"/>
    <w:lvl w:ilvl="0">
      <w:lvlJc w:val="left"/>
      <w:lvlText w:val="(%1)"/>
      <w:numFmt w:val="lowerLetter"/>
      <w:start w:val="1"/>
    </w:lvl>
  </w:abstractNum>
  <w:abstractNum w:abstractNumId="234">
    <w:nsid w:val="556B69ED"/>
    <w:multiLevelType w:val="hybridMultilevel"/>
    <w:lvl w:ilvl="0">
      <w:lvlJc w:val="left"/>
      <w:lvlText w:val="(%1)"/>
      <w:numFmt w:val="lowerLetter"/>
      <w:start w:val="4"/>
    </w:lvl>
  </w:abstractNum>
  <w:abstractNum w:abstractNumId="235">
    <w:nsid w:val="70836196"/>
    <w:multiLevelType w:val="hybridMultilevel"/>
    <w:lvl w:ilvl="0">
      <w:lvlJc w:val="left"/>
      <w:lvlText w:val="(%1)"/>
      <w:numFmt w:val="lowerLetter"/>
      <w:start w:val="5"/>
    </w:lvl>
  </w:abstractNum>
  <w:abstractNum w:abstractNumId="236">
    <w:nsid w:val="539F7F12"/>
    <w:multiLevelType w:val="hybridMultilevel"/>
    <w:lvl w:ilvl="0">
      <w:lvlJc w:val="left"/>
      <w:lvlText w:val="2"/>
      <w:numFmt w:val="bullet"/>
      <w:start w:val="1"/>
    </w:lvl>
  </w:abstractNum>
  <w:abstractNum w:abstractNumId="237">
    <w:nsid w:val="2817E7EC"/>
    <w:multiLevelType w:val="hybridMultilevel"/>
    <w:lvl w:ilvl="0">
      <w:lvlJc w:val="left"/>
      <w:lvlText w:val="(%1)"/>
      <w:numFmt w:val="lowerLetter"/>
      <w:start w:val="7"/>
    </w:lvl>
  </w:abstractNum>
  <w:abstractNum w:abstractNumId="238">
    <w:nsid w:val="71482545"/>
    <w:multiLevelType w:val="hybridMultilevel"/>
    <w:lvl w:ilvl="0">
      <w:lvlJc w:val="left"/>
      <w:lvlText w:val="(%1)"/>
      <w:numFmt w:val="lowerLetter"/>
      <w:start w:val="10"/>
    </w:lvl>
  </w:abstractNum>
  <w:abstractNum w:abstractNumId="239">
    <w:nsid w:val="17D78639"/>
    <w:multiLevelType w:val="hybridMultilevel"/>
    <w:lvl w:ilvl="0">
      <w:lvlJc w:val="left"/>
      <w:lvlText w:val="%1."/>
      <w:numFmt w:val="upperLetter"/>
      <w:start w:val="4"/>
    </w:lvl>
  </w:abstractNum>
  <w:abstractNum w:abstractNumId="240">
    <w:nsid w:val="141D2302"/>
    <w:multiLevelType w:val="hybridMultilevel"/>
    <w:lvl w:ilvl="0">
      <w:lvlJc w:val="left"/>
      <w:lvlText w:val="3"/>
      <w:numFmt w:val="bullet"/>
      <w:start w:val="1"/>
    </w:lvl>
  </w:abstractNum>
  <w:abstractNum w:abstractNumId="241">
    <w:nsid w:val="407168D8"/>
    <w:multiLevelType w:val="hybridMultilevel"/>
    <w:lvl w:ilvl="0">
      <w:lvlJc w:val="left"/>
      <w:lvlText w:val="(%1)"/>
      <w:numFmt w:val="lowerLetter"/>
      <w:start w:val="2"/>
    </w:lvl>
  </w:abstractNum>
  <w:abstractNum w:abstractNumId="242">
    <w:nsid w:val="6A1B45E5"/>
    <w:multiLevelType w:val="hybridMultilevel"/>
    <w:lvl w:ilvl="0">
      <w:lvlJc w:val="left"/>
      <w:lvlText w:val="(%1)"/>
      <w:numFmt w:val="lowerLetter"/>
      <w:start w:val="3"/>
    </w:lvl>
  </w:abstractNum>
  <w:abstractNum w:abstractNumId="243">
    <w:nsid w:val="567BD50A"/>
    <w:multiLevelType w:val="hybridMultilevel"/>
    <w:lvl w:ilvl="0">
      <w:lvlJc w:val="left"/>
      <w:lvlText w:val="(%1)"/>
      <w:numFmt w:val="lowerLetter"/>
      <w:start w:val="5"/>
    </w:lvl>
  </w:abstractNum>
  <w:abstractNum w:abstractNumId="244">
    <w:nsid w:val="73BBD7F8"/>
    <w:multiLevelType w:val="hybridMultilevel"/>
    <w:lvl w:ilvl="0">
      <w:lvlJc w:val="left"/>
      <w:lvlText w:val="(%1)"/>
      <w:numFmt w:val="lowerLetter"/>
      <w:start w:val="7"/>
    </w:lvl>
  </w:abstractNum>
  <w:abstractNum w:abstractNumId="245">
    <w:nsid w:val="1876589D"/>
    <w:multiLevelType w:val="hybridMultilevel"/>
    <w:lvl w:ilvl="0">
      <w:lvlJc w:val="left"/>
      <w:lvlText w:val="%1."/>
      <w:numFmt w:val="upperLetter"/>
      <w:start w:val="5"/>
    </w:lvl>
  </w:abstractNum>
  <w:abstractNum w:abstractNumId="246">
    <w:nsid w:val="327FAC77"/>
    <w:multiLevelType w:val="hybridMultilevel"/>
    <w:lvl w:ilvl="0">
      <w:lvlJc w:val="left"/>
      <w:lvlText w:val="(%1)"/>
      <w:numFmt w:val="lowerLetter"/>
      <w:start w:val="1"/>
    </w:lvl>
  </w:abstractNum>
  <w:abstractNum w:abstractNumId="247">
    <w:nsid w:val="5A606509"/>
    <w:multiLevelType w:val="hybridMultilevel"/>
    <w:lvl w:ilvl="0">
      <w:lvlJc w:val="left"/>
      <w:lvlText w:val="(%1)"/>
      <w:numFmt w:val="lowerLetter"/>
      <w:start w:val="2"/>
    </w:lvl>
  </w:abstractNum>
  <w:abstractNum w:abstractNumId="248">
    <w:nsid w:val="6F38E6D1"/>
    <w:multiLevelType w:val="hybridMultilevel"/>
    <w:lvl w:ilvl="0">
      <w:lvlJc w:val="left"/>
      <w:lvlText w:val="%1."/>
      <w:numFmt w:val="upperLetter"/>
      <w:start w:val="6"/>
    </w:lvl>
  </w:abstractNum>
  <w:abstractNum w:abstractNumId="249">
    <w:nsid w:val="46111BA5"/>
    <w:multiLevelType w:val="hybridMultilevel"/>
    <w:lvl w:ilvl="0">
      <w:lvlJc w:val="left"/>
      <w:lvlText w:val="4"/>
      <w:numFmt w:val="bullet"/>
      <w:start w:val="1"/>
    </w:lvl>
  </w:abstractNum>
  <w:abstractNum w:abstractNumId="250">
    <w:nsid w:val="5E963896"/>
    <w:multiLevelType w:val="hybridMultilevel"/>
    <w:lvl w:ilvl="0">
      <w:lvlJc w:val="left"/>
      <w:lvlText w:val="%1."/>
      <w:numFmt w:val="upperLetter"/>
      <w:start w:val="7"/>
    </w:lvl>
  </w:abstractNum>
  <w:abstractNum w:abstractNumId="251">
    <w:nsid w:val="775BA7C1"/>
    <w:multiLevelType w:val="hybridMultilevel"/>
    <w:lvl w:ilvl="0">
      <w:lvlJc w:val="left"/>
      <w:lvlText w:val="%1."/>
      <w:numFmt w:val="upperLetter"/>
      <w:start w:val="35"/>
    </w:lvl>
  </w:abstractNum>
  <w:abstractNum w:abstractNumId="252">
    <w:nsid w:val="1DD6D6F4"/>
    <w:multiLevelType w:val="hybridMultilevel"/>
    <w:lvl w:ilvl="0">
      <w:lvlJc w:val="left"/>
      <w:lvlText w:val="5"/>
      <w:numFmt w:val="bullet"/>
      <w:start w:val="1"/>
    </w:lvl>
  </w:abstractNum>
  <w:abstractNum w:abstractNumId="253">
    <w:nsid w:val="769A091F"/>
    <w:multiLevelType w:val="hybridMultilevel"/>
    <w:lvl w:ilvl="0">
      <w:lvlJc w:val="left"/>
      <w:lvlText w:val="6"/>
      <w:numFmt w:val="bullet"/>
      <w:start w:val="1"/>
    </w:lvl>
  </w:abstractNum>
  <w:abstractNum w:abstractNumId="254">
    <w:nsid w:val="4695AE95"/>
    <w:multiLevelType w:val="hybridMultilevel"/>
    <w:lvl w:ilvl="0">
      <w:lvlJc w:val="left"/>
      <w:lvlText w:val="8"/>
      <w:numFmt w:val="bullet"/>
      <w:start w:val="1"/>
    </w:lvl>
  </w:abstractNum>
  <w:abstractNum w:abstractNumId="255">
    <w:nsid w:val="777A4EAA"/>
    <w:multiLevelType w:val="hybridMultilevel"/>
    <w:lvl w:ilvl="0">
      <w:lvlJc w:val="left"/>
      <w:lvlText w:val="9"/>
      <w:numFmt w:val="bullet"/>
      <w:start w:val="1"/>
    </w:lvl>
  </w:abstractNum>
  <w:abstractNum w:abstractNumId="256">
    <w:nsid w:val="3F48B982"/>
    <w:multiLevelType w:val="hybridMultilevel"/>
    <w:lvl w:ilvl="0">
      <w:lvlJc w:val="left"/>
      <w:lvlText w:val="%1."/>
      <w:numFmt w:val="decimal"/>
      <w:start w:val="1"/>
    </w:lvl>
    <w:lvl w:ilvl="1">
      <w:lvlJc w:val="left"/>
      <w:lvlText w:val="(%2)"/>
      <w:numFmt w:val="lowerLetter"/>
      <w:start w:val="1"/>
    </w:lvl>
  </w:abstractNum>
  <w:abstractNum w:abstractNumId="257">
    <w:nsid w:val="46BA8FC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21" Type="http://schemas.openxmlformats.org/officeDocument/2006/relationships/hyperlink" Target="http://www.sec.gov/Archives/edgar/data/1060822/000119312517179483/d400342dex31.htm" TargetMode="External"/><Relationship Id="rId22" Type="http://schemas.openxmlformats.org/officeDocument/2006/relationships/hyperlink" Target="http://www.sec.gov/Archives/edgar/data/1060822/000119312517179483/d400342dex32.htm" TargetMode="External"/><Relationship Id="rId23" Type="http://schemas.openxmlformats.org/officeDocument/2006/relationships/hyperlink" Target="http://www.sec.gov/Archives/edgar/data/1060822/000119312520139193/d89384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2020-07-24T14:30:44Z</dcterms:created>
  <dcterms:modified xsi:type="dcterms:W3CDTF">2020-07-24T14:30:44Z</dcterms:modified>
</cp:coreProperties>
</file>