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ind w:left="66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b w:val="1"/>
          <w:bCs w:val="1"/>
          <w:color w:val="auto"/>
        </w:rPr>
        <w:t>QUARTERLY REPORT PURSUANT TO SECTION 13 OR 15(d) OF THESECURITIES EXCHANGE ACT OF 1934</w:t>
      </w:r>
    </w:p>
    <w:p>
      <w:pPr>
        <w:spacing w:after="0" w:line="25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For the quarterly period ended June 29, 2019</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080" w:type="dxa"/>
            <w:vAlign w:val="bottom"/>
            <w:gridSpan w:val="2"/>
          </w:tcPr>
          <w:p>
            <w:pPr>
              <w:ind w:left="660"/>
              <w:spacing w:after="0"/>
              <w:rPr>
                <w:sz w:val="20"/>
                <w:szCs w:val="20"/>
                <w:color w:val="auto"/>
              </w:rPr>
            </w:pPr>
            <w:r>
              <w:rPr>
                <w:rFonts w:ascii="Arial" w:cs="Arial" w:eastAsia="Arial" w:hAnsi="Arial"/>
                <w:sz w:val="16"/>
                <w:szCs w:val="16"/>
                <w:b w:val="1"/>
                <w:bCs w:val="1"/>
                <w:color w:val="auto"/>
              </w:rPr>
              <w:t>For the transition period from</w:t>
            </w:r>
          </w:p>
        </w:tc>
        <w:tc>
          <w:tcPr>
            <w:tcW w:w="1520" w:type="dxa"/>
            <w:vAlign w:val="bottom"/>
            <w:gridSpan w:val="4"/>
          </w:tcPr>
          <w:p>
            <w:pPr>
              <w:ind w:left="40"/>
              <w:spacing w:after="0"/>
              <w:rPr>
                <w:sz w:val="20"/>
                <w:szCs w:val="20"/>
                <w:color w:val="auto"/>
              </w:rPr>
            </w:pPr>
            <w:r>
              <w:rPr>
                <w:rFonts w:ascii="Arial" w:cs="Arial" w:eastAsia="Arial" w:hAnsi="Arial"/>
                <w:sz w:val="16"/>
                <w:szCs w:val="16"/>
                <w:b w:val="1"/>
                <w:bCs w:val="1"/>
                <w:color w:val="auto"/>
              </w:rPr>
              <w:t>to</w:t>
            </w: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tcPr>
          <w:p>
            <w:pPr>
              <w:spacing w:after="0"/>
              <w:rPr>
                <w:sz w:val="16"/>
                <w:szCs w:val="16"/>
                <w:color w:val="auto"/>
              </w:rPr>
            </w:pPr>
          </w:p>
        </w:tc>
      </w:tr>
      <w:tr>
        <w:trPr>
          <w:trHeight w:val="463"/>
        </w:trPr>
        <w:tc>
          <w:tcPr>
            <w:tcW w:w="2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620" w:type="dxa"/>
            <w:vAlign w:val="bottom"/>
            <w:gridSpan w:val="4"/>
          </w:tcPr>
          <w:p>
            <w:pPr>
              <w:jc w:val="center"/>
              <w:ind w:left="465"/>
              <w:spacing w:after="0"/>
              <w:rPr>
                <w:sz w:val="20"/>
                <w:szCs w:val="20"/>
                <w:color w:val="auto"/>
              </w:rPr>
            </w:pPr>
            <w:r>
              <w:rPr>
                <w:rFonts w:ascii="Arial" w:cs="Arial" w:eastAsia="Arial" w:hAnsi="Arial"/>
                <w:sz w:val="22"/>
                <w:szCs w:val="22"/>
                <w:b w:val="1"/>
                <w:bCs w:val="1"/>
                <w:color w:val="auto"/>
                <w:w w:val="88"/>
              </w:rPr>
              <w:t>Commission file number:</w:t>
            </w:r>
          </w:p>
        </w:tc>
        <w:tc>
          <w:tcPr>
            <w:tcW w:w="4200" w:type="dxa"/>
            <w:vAlign w:val="bottom"/>
          </w:tcPr>
          <w:p>
            <w:pPr>
              <w:spacing w:after="0"/>
              <w:rPr>
                <w:sz w:val="24"/>
                <w:szCs w:val="24"/>
                <w:color w:val="auto"/>
              </w:rPr>
            </w:pPr>
          </w:p>
        </w:tc>
      </w:tr>
      <w:tr>
        <w:trPr>
          <w:trHeight w:val="534"/>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gridSpan w:val="2"/>
          </w:tcPr>
          <w:p>
            <w:pPr>
              <w:jc w:val="right"/>
              <w:ind w:right="875"/>
              <w:spacing w:after="0"/>
              <w:rPr>
                <w:sz w:val="20"/>
                <w:szCs w:val="20"/>
                <w:color w:val="auto"/>
              </w:rPr>
            </w:pPr>
            <w:r>
              <w:rPr>
                <w:rFonts w:ascii="Arial" w:cs="Arial" w:eastAsia="Arial" w:hAnsi="Arial"/>
                <w:sz w:val="20"/>
                <w:szCs w:val="20"/>
                <w:b w:val="1"/>
                <w:bCs w:val="1"/>
                <w:color w:val="auto"/>
              </w:rPr>
              <w:t>001-31829</w:t>
            </w: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474"/>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40" w:type="dxa"/>
            <w:vAlign w:val="bottom"/>
            <w:gridSpan w:val="3"/>
          </w:tcPr>
          <w:p>
            <w:pPr>
              <w:jc w:val="center"/>
              <w:ind w:right="400"/>
              <w:spacing w:after="0"/>
              <w:rPr>
                <w:sz w:val="20"/>
                <w:szCs w:val="20"/>
                <w:color w:val="auto"/>
              </w:rPr>
            </w:pPr>
            <w:r>
              <w:rPr>
                <w:rFonts w:ascii="Arial" w:cs="Arial" w:eastAsia="Arial" w:hAnsi="Arial"/>
                <w:sz w:val="29"/>
                <w:szCs w:val="29"/>
                <w:b w:val="1"/>
                <w:bCs w:val="1"/>
                <w:color w:val="auto"/>
                <w:w w:val="98"/>
              </w:rPr>
              <w:t>CARTER’S, INC.</w:t>
            </w:r>
          </w:p>
        </w:tc>
        <w:tc>
          <w:tcPr>
            <w:tcW w:w="4200" w:type="dxa"/>
            <w:vAlign w:val="bottom"/>
          </w:tcPr>
          <w:p>
            <w:pPr>
              <w:spacing w:after="0"/>
              <w:rPr>
                <w:sz w:val="24"/>
                <w:szCs w:val="24"/>
                <w:color w:val="auto"/>
              </w:rPr>
            </w:pPr>
          </w:p>
        </w:tc>
      </w:tr>
      <w:tr>
        <w:trPr>
          <w:trHeight w:val="427"/>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5"/>
          </w:tcPr>
          <w:p>
            <w:pPr>
              <w:ind w:left="520"/>
              <w:spacing w:after="0"/>
              <w:rPr>
                <w:sz w:val="20"/>
                <w:szCs w:val="20"/>
                <w:color w:val="auto"/>
              </w:rPr>
            </w:pPr>
            <w:r>
              <w:rPr>
                <w:rFonts w:ascii="Arial" w:cs="Arial" w:eastAsia="Arial" w:hAnsi="Arial"/>
                <w:sz w:val="18"/>
                <w:szCs w:val="18"/>
                <w:color w:val="auto"/>
              </w:rPr>
              <w:t>(Exact name of Registrant as specified in its charter)</w:t>
            </w:r>
          </w:p>
        </w:tc>
      </w:tr>
      <w:tr>
        <w:trPr>
          <w:trHeight w:val="494"/>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565"/>
              <w:spacing w:after="0"/>
              <w:rPr>
                <w:sz w:val="20"/>
                <w:szCs w:val="20"/>
                <w:color w:val="auto"/>
              </w:rPr>
            </w:pPr>
            <w:r>
              <w:rPr>
                <w:rFonts w:ascii="Arial" w:cs="Arial" w:eastAsia="Arial" w:hAnsi="Arial"/>
                <w:sz w:val="16"/>
                <w:szCs w:val="16"/>
                <w:b w:val="1"/>
                <w:bCs w:val="1"/>
                <w:color w:val="auto"/>
                <w:w w:val="91"/>
              </w:rPr>
              <w:t>Delaware</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jc w:val="right"/>
              <w:ind w:right="3199"/>
              <w:spacing w:after="0"/>
              <w:rPr>
                <w:sz w:val="20"/>
                <w:szCs w:val="20"/>
                <w:color w:val="auto"/>
              </w:rPr>
            </w:pPr>
            <w:r>
              <w:rPr>
                <w:rFonts w:ascii="Arial" w:cs="Arial" w:eastAsia="Arial" w:hAnsi="Arial"/>
                <w:sz w:val="16"/>
                <w:szCs w:val="16"/>
                <w:b w:val="1"/>
                <w:bCs w:val="1"/>
                <w:color w:val="auto"/>
              </w:rPr>
              <w:t>13-3912933</w:t>
            </w:r>
          </w:p>
        </w:tc>
      </w:tr>
      <w:tr>
        <w:trPr>
          <w:trHeight w:val="270"/>
        </w:trPr>
        <w:tc>
          <w:tcPr>
            <w:tcW w:w="4600" w:type="dxa"/>
            <w:vAlign w:val="bottom"/>
            <w:gridSpan w:val="6"/>
          </w:tcPr>
          <w:p>
            <w:pPr>
              <w:jc w:val="center"/>
              <w:ind w:left="2557"/>
              <w:spacing w:after="0"/>
              <w:rPr>
                <w:sz w:val="20"/>
                <w:szCs w:val="20"/>
                <w:color w:val="auto"/>
              </w:rPr>
            </w:pPr>
            <w:r>
              <w:rPr>
                <w:rFonts w:ascii="Arial" w:cs="Arial" w:eastAsia="Arial" w:hAnsi="Arial"/>
                <w:sz w:val="16"/>
                <w:szCs w:val="16"/>
                <w:color w:val="auto"/>
                <w:w w:val="93"/>
              </w:rPr>
              <w:t>(State or other jurisdiction of</w:t>
            </w:r>
          </w:p>
        </w:tc>
        <w:tc>
          <w:tcPr>
            <w:tcW w:w="220" w:type="dxa"/>
            <w:vAlign w:val="bottom"/>
          </w:tcPr>
          <w:p>
            <w:pPr>
              <w:spacing w:after="0"/>
              <w:rPr>
                <w:sz w:val="23"/>
                <w:szCs w:val="23"/>
                <w:color w:val="auto"/>
              </w:rPr>
            </w:pPr>
          </w:p>
        </w:tc>
        <w:tc>
          <w:tcPr>
            <w:tcW w:w="6620" w:type="dxa"/>
            <w:vAlign w:val="bottom"/>
            <w:gridSpan w:val="3"/>
          </w:tcPr>
          <w:p>
            <w:pPr>
              <w:jc w:val="center"/>
              <w:ind w:right="619"/>
              <w:spacing w:after="0"/>
              <w:rPr>
                <w:sz w:val="20"/>
                <w:szCs w:val="20"/>
                <w:color w:val="auto"/>
              </w:rPr>
            </w:pPr>
            <w:r>
              <w:rPr>
                <w:rFonts w:ascii="Arial" w:cs="Arial" w:eastAsia="Arial" w:hAnsi="Arial"/>
                <w:sz w:val="16"/>
                <w:szCs w:val="16"/>
                <w:color w:val="auto"/>
                <w:w w:val="95"/>
              </w:rPr>
              <w:t>(I.R.S. Employer Identification No.)</w:t>
            </w:r>
          </w:p>
        </w:tc>
      </w:tr>
      <w:tr>
        <w:trPr>
          <w:trHeight w:val="270"/>
        </w:trPr>
        <w:tc>
          <w:tcPr>
            <w:tcW w:w="4600" w:type="dxa"/>
            <w:vAlign w:val="bottom"/>
            <w:gridSpan w:val="6"/>
          </w:tcPr>
          <w:p>
            <w:pPr>
              <w:jc w:val="center"/>
              <w:ind w:left="2557"/>
              <w:spacing w:after="0"/>
              <w:rPr>
                <w:sz w:val="20"/>
                <w:szCs w:val="20"/>
                <w:color w:val="auto"/>
              </w:rPr>
            </w:pPr>
            <w:r>
              <w:rPr>
                <w:rFonts w:ascii="Arial" w:cs="Arial" w:eastAsia="Arial" w:hAnsi="Arial"/>
                <w:sz w:val="16"/>
                <w:szCs w:val="16"/>
                <w:color w:val="auto"/>
                <w:w w:val="94"/>
              </w:rPr>
              <w:t>incorporation or organization)</w:t>
            </w:r>
          </w:p>
        </w:tc>
        <w:tc>
          <w:tcPr>
            <w:tcW w:w="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0" w:type="dxa"/>
            <w:vAlign w:val="bottom"/>
          </w:tcPr>
          <w:p>
            <w:pPr>
              <w:spacing w:after="0"/>
              <w:rPr>
                <w:sz w:val="23"/>
                <w:szCs w:val="23"/>
                <w:color w:val="auto"/>
              </w:rPr>
            </w:pPr>
          </w:p>
        </w:tc>
      </w:tr>
      <w:tr>
        <w:trPr>
          <w:trHeight w:val="749"/>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Phipps Tower</w:t>
            </w:r>
          </w:p>
        </w:tc>
        <w:tc>
          <w:tcPr>
            <w:tcW w:w="4200" w:type="dxa"/>
            <w:vAlign w:val="bottom"/>
          </w:tcPr>
          <w:p>
            <w:pPr>
              <w:spacing w:after="0"/>
              <w:rPr>
                <w:sz w:val="24"/>
                <w:szCs w:val="24"/>
                <w:color w:val="auto"/>
              </w:rPr>
            </w:pP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gridSpan w:val="4"/>
          </w:tcPr>
          <w:p>
            <w:pPr>
              <w:jc w:val="center"/>
              <w:ind w:left="485"/>
              <w:spacing w:after="0"/>
              <w:rPr>
                <w:sz w:val="20"/>
                <w:szCs w:val="20"/>
                <w:color w:val="auto"/>
              </w:rPr>
            </w:pPr>
            <w:r>
              <w:rPr>
                <w:rFonts w:ascii="Arial" w:cs="Arial" w:eastAsia="Arial" w:hAnsi="Arial"/>
                <w:sz w:val="18"/>
                <w:szCs w:val="18"/>
                <w:b w:val="1"/>
                <w:bCs w:val="1"/>
                <w:color w:val="auto"/>
                <w:w w:val="90"/>
              </w:rPr>
              <w:t>3438 Peachtree Road NE, Suite 1800</w:t>
            </w:r>
          </w:p>
        </w:tc>
        <w:tc>
          <w:tcPr>
            <w:tcW w:w="4200" w:type="dxa"/>
            <w:vAlign w:val="bottom"/>
          </w:tcPr>
          <w:p>
            <w:pPr>
              <w:spacing w:after="0"/>
              <w:rPr>
                <w:sz w:val="24"/>
                <w:szCs w:val="24"/>
                <w:color w:val="auto"/>
              </w:rPr>
            </w:pP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Atlanta, Georgia 30326</w:t>
            </w:r>
          </w:p>
        </w:tc>
        <w:tc>
          <w:tcPr>
            <w:tcW w:w="4200" w:type="dxa"/>
            <w:vAlign w:val="bottom"/>
          </w:tcPr>
          <w:p>
            <w:pPr>
              <w:spacing w:after="0"/>
              <w:rPr>
                <w:sz w:val="24"/>
                <w:szCs w:val="24"/>
                <w:color w:val="auto"/>
              </w:rPr>
            </w:pP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40" w:type="dxa"/>
            <w:vAlign w:val="bottom"/>
            <w:gridSpan w:val="6"/>
          </w:tcPr>
          <w:p>
            <w:pPr>
              <w:jc w:val="center"/>
              <w:ind w:right="3219"/>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92"/>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gridSpan w:val="2"/>
          </w:tcPr>
          <w:p>
            <w:pPr>
              <w:jc w:val="right"/>
              <w:ind w:right="735"/>
              <w:spacing w:after="0"/>
              <w:rPr>
                <w:sz w:val="20"/>
                <w:szCs w:val="20"/>
                <w:color w:val="auto"/>
              </w:rPr>
            </w:pPr>
            <w:r>
              <w:rPr>
                <w:rFonts w:ascii="Arial" w:cs="Arial" w:eastAsia="Arial" w:hAnsi="Arial"/>
                <w:sz w:val="18"/>
                <w:szCs w:val="18"/>
                <w:b w:val="1"/>
                <w:bCs w:val="1"/>
                <w:color w:val="auto"/>
              </w:rPr>
              <w:t>(678) 791-1000</w:t>
            </w: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500"/>
        </w:trPr>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5"/>
          </w:tcPr>
          <w:p>
            <w:pPr>
              <w:jc w:val="center"/>
              <w:ind w:right="3539"/>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500"/>
        </w:trPr>
        <w:tc>
          <w:tcPr>
            <w:tcW w:w="460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419"/>
        </w:trPr>
        <w:tc>
          <w:tcPr>
            <w:tcW w:w="2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r>
        <w:trPr>
          <w:trHeight w:val="217"/>
        </w:trPr>
        <w:tc>
          <w:tcPr>
            <w:tcW w:w="3080" w:type="dxa"/>
            <w:vAlign w:val="bottom"/>
            <w:tcBorders>
              <w:left w:val="single" w:sz="8" w:color="auto"/>
            </w:tcBorders>
            <w:gridSpan w:val="2"/>
          </w:tcPr>
          <w:p>
            <w:pPr>
              <w:jc w:val="center"/>
              <w:ind w:left="1657"/>
              <w:spacing w:after="0"/>
              <w:rPr>
                <w:sz w:val="20"/>
                <w:szCs w:val="20"/>
                <w:color w:val="auto"/>
              </w:rPr>
            </w:pPr>
            <w:r>
              <w:rPr>
                <w:rFonts w:ascii="Arial" w:cs="Arial" w:eastAsia="Arial" w:hAnsi="Arial"/>
                <w:sz w:val="16"/>
                <w:szCs w:val="16"/>
                <w:b w:val="1"/>
                <w:bCs w:val="1"/>
                <w:color w:val="auto"/>
                <w:w w:val="91"/>
              </w:rPr>
              <w:t>Title of Each Class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18"/>
                <w:szCs w:val="18"/>
                <w:color w:val="auto"/>
              </w:rPr>
            </w:pPr>
          </w:p>
        </w:tc>
        <w:tc>
          <w:tcPr>
            <w:tcW w:w="420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280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17"/>
        </w:trPr>
        <w:tc>
          <w:tcPr>
            <w:tcW w:w="4600" w:type="dxa"/>
            <w:vAlign w:val="bottom"/>
            <w:tcBorders>
              <w:left w:val="single" w:sz="8" w:color="auto"/>
            </w:tcBorders>
            <w:gridSpan w:val="6"/>
          </w:tcPr>
          <w:p>
            <w:pPr>
              <w:jc w:val="center"/>
              <w:ind w:left="137"/>
              <w:spacing w:after="0"/>
              <w:rPr>
                <w:sz w:val="20"/>
                <w:szCs w:val="20"/>
                <w:color w:val="auto"/>
              </w:rPr>
            </w:pPr>
            <w:r>
              <w:rPr>
                <w:rFonts w:ascii="Arial" w:cs="Arial" w:eastAsia="Arial" w:hAnsi="Arial"/>
                <w:sz w:val="16"/>
                <w:szCs w:val="16"/>
                <w:color w:val="auto"/>
                <w:w w:val="90"/>
              </w:rPr>
              <w:t>Common stock, par value $0.01 per share</w:t>
            </w:r>
          </w:p>
        </w:tc>
        <w:tc>
          <w:tcPr>
            <w:tcW w:w="2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CRI</w:t>
            </w:r>
          </w:p>
        </w:tc>
        <w:tc>
          <w:tcPr>
            <w:tcW w:w="140" w:type="dxa"/>
            <w:vAlign w:val="bottom"/>
          </w:tcPr>
          <w:p>
            <w:pPr>
              <w:spacing w:after="0"/>
              <w:rPr>
                <w:sz w:val="18"/>
                <w:szCs w:val="18"/>
                <w:color w:val="auto"/>
              </w:rPr>
            </w:pPr>
          </w:p>
        </w:tc>
        <w:tc>
          <w:tcPr>
            <w:tcW w:w="4200" w:type="dxa"/>
            <w:vAlign w:val="bottom"/>
            <w:tcBorders>
              <w:right w:val="single" w:sz="8" w:color="auto"/>
            </w:tcBorders>
          </w:tcPr>
          <w:p>
            <w:pPr>
              <w:jc w:val="center"/>
              <w:ind w:right="79"/>
              <w:spacing w:after="0"/>
              <w:rPr>
                <w:sz w:val="20"/>
                <w:szCs w:val="20"/>
                <w:color w:val="auto"/>
              </w:rPr>
            </w:pPr>
            <w:r>
              <w:rPr>
                <w:rFonts w:ascii="Arial" w:cs="Arial" w:eastAsia="Arial" w:hAnsi="Arial"/>
                <w:sz w:val="16"/>
                <w:szCs w:val="16"/>
                <w:color w:val="auto"/>
                <w:w w:val="92"/>
              </w:rPr>
              <w:t>New York Stock Exchange</w:t>
            </w:r>
          </w:p>
        </w:tc>
      </w:tr>
      <w:tr>
        <w:trPr>
          <w:trHeight w:val="33"/>
        </w:trPr>
        <w:tc>
          <w:tcPr>
            <w:tcW w:w="280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bl>
    <w:p>
      <w:pPr>
        <w:spacing w:after="0" w:line="269"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5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ectPr>
          <w:pgSz w:w="11900" w:h="16838" w:orient="portrait"/>
          <w:cols w:equalWidth="0" w:num="1">
            <w:col w:w="11440"/>
          </w:cols>
          <w:pgMar w:left="240" w:top="234" w:right="219"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p>
    <w:p>
      <w:pPr>
        <w:spacing w:after="0" w:line="23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3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8"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right="2300"/>
        <w:spacing w:after="0" w:line="33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Arial" w:cs="Arial" w:eastAsia="Arial" w:hAnsi="Arial"/>
          <w:sz w:val="18"/>
          <w:szCs w:val="18"/>
          <w:color w:val="auto"/>
        </w:rPr>
        <w:t xml:space="preserve"> No x As of July 19, 2019, there were 44,739,223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CARTER’S,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00" w:type="dxa"/>
            <w:vAlign w:val="bottom"/>
            <w:gridSpan w:val="5"/>
          </w:tcPr>
          <w:p>
            <w:pPr>
              <w:ind w:left="60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9720" w:type="dxa"/>
            <w:vAlign w:val="bottom"/>
            <w:gridSpan w:val="31"/>
            <w:vMerge w:val="restart"/>
          </w:tcPr>
          <w:p>
            <w:pPr>
              <w:ind w:left="40"/>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Part I. Financial Information</w:t>
              </w:r>
            </w:hyperlink>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720" w:type="dxa"/>
            <w:vAlign w:val="bottom"/>
            <w:gridSpan w:val="31"/>
            <w:vMerge w:val="continue"/>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840" w:type="dxa"/>
            <w:vAlign w:val="bottom"/>
            <w:gridSpan w:val="23"/>
            <w:shd w:val="clear" w:color="auto" w:fill="CCEEFF"/>
          </w:tcPr>
          <w:p>
            <w:pPr>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Financial Statements</w:t>
              </w:r>
            </w:hyperlink>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gridSpan w:val="23"/>
          </w:tcPr>
          <w:p>
            <w:pPr>
              <w:spacing w:after="0"/>
              <w:rPr>
                <w:sz w:val="20"/>
                <w:szCs w:val="20"/>
                <w:color w:val="auto"/>
              </w:rPr>
            </w:pPr>
            <w:r>
              <w:rPr>
                <w:rFonts w:ascii="Arial" w:cs="Arial" w:eastAsia="Arial" w:hAnsi="Arial"/>
                <w:sz w:val="16"/>
                <w:szCs w:val="16"/>
                <w:color w:val="0000FF"/>
                <w:w w:val="97"/>
              </w:rPr>
              <w:t>Unaudited Condensed Consolidated Balance Sheets as of June 29, 2019, December 29, 2018 and June 30, 2018</w:t>
            </w:r>
          </w:p>
        </w:tc>
        <w:tc>
          <w:tcPr>
            <w:tcW w:w="880" w:type="dxa"/>
            <w:vAlign w:val="bottom"/>
            <w:gridSpan w:val="3"/>
          </w:tcPr>
          <w:p>
            <w:pPr>
              <w:jc w:val="center"/>
              <w:ind w:left="718"/>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1</w:t>
              </w:r>
            </w:hyperlink>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640" w:type="dxa"/>
            <w:vAlign w:val="bottom"/>
            <w:tcBorders>
              <w:bottom w:val="single" w:sz="8" w:color="0000FF"/>
            </w:tcBorders>
            <w:gridSpan w:val="19"/>
            <w:shd w:val="clear" w:color="auto" w:fill="CCEEFF"/>
          </w:tcPr>
          <w:p>
            <w:pPr>
              <w:spacing w:after="0"/>
              <w:rPr>
                <w:sz w:val="20"/>
                <w:szCs w:val="20"/>
                <w:color w:val="auto"/>
              </w:rPr>
            </w:pPr>
            <w:r>
              <w:rPr>
                <w:rFonts w:ascii="Arial" w:cs="Arial" w:eastAsia="Arial" w:hAnsi="Arial"/>
                <w:sz w:val="16"/>
                <w:szCs w:val="16"/>
                <w:color w:val="0000FF"/>
                <w:w w:val="90"/>
                <w:shd w:val="clear" w:color="auto" w:fill="CCEEFF"/>
              </w:rPr>
              <w:t>Unaudited Condensed Consolidated Statements of Operations for the fiscal quarter and two fiscal quarters ended June</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0000FF"/>
            </w:tcBorders>
            <w:gridSpan w:val="10"/>
            <w:shd w:val="clear" w:color="auto" w:fill="CCEEFF"/>
          </w:tcPr>
          <w:p>
            <w:pPr>
              <w:spacing w:after="0" w:line="183" w:lineRule="exact"/>
              <w:rPr>
                <w:sz w:val="20"/>
                <w:szCs w:val="20"/>
                <w:color w:val="auto"/>
              </w:rPr>
            </w:pPr>
            <w:r>
              <w:rPr>
                <w:rFonts w:ascii="Arial" w:cs="Arial" w:eastAsia="Arial" w:hAnsi="Arial"/>
                <w:sz w:val="16"/>
                <w:szCs w:val="16"/>
                <w:color w:val="0000FF"/>
                <w:w w:val="88"/>
                <w:shd w:val="clear" w:color="auto" w:fill="CCEEFF"/>
              </w:rPr>
              <w:t>29, 2019 and June 30, 2018</w:t>
            </w: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3"/>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0000EE"/>
            </w:tcBorders>
            <w:shd w:val="clear" w:color="auto" w:fill="CCEEFF"/>
          </w:tcPr>
          <w:p>
            <w:pPr>
              <w:jc w:val="center"/>
              <w:spacing w:after="0" w:line="183" w:lineRule="exact"/>
              <w:rPr>
                <w:rFonts w:ascii="Arial" w:cs="Arial" w:eastAsia="Arial" w:hAnsi="Arial"/>
                <w:sz w:val="16"/>
                <w:szCs w:val="16"/>
                <w:color w:val="0000EE"/>
                <w:w w:val="89"/>
              </w:rPr>
            </w:pPr>
            <w:hyperlink w:anchor="page5">
              <w:r>
                <w:rPr>
                  <w:rFonts w:ascii="Arial" w:cs="Arial" w:eastAsia="Arial" w:hAnsi="Arial"/>
                  <w:sz w:val="16"/>
                  <w:szCs w:val="16"/>
                  <w:color w:val="0000EE"/>
                  <w:w w:val="89"/>
                </w:rPr>
                <w:t>2</w:t>
              </w:r>
            </w:hyperlink>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40" w:type="dxa"/>
            <w:vAlign w:val="bottom"/>
            <w:gridSpan w:val="23"/>
          </w:tcPr>
          <w:p>
            <w:pPr>
              <w:spacing w:after="0"/>
              <w:rPr>
                <w:sz w:val="20"/>
                <w:szCs w:val="20"/>
                <w:color w:val="auto"/>
              </w:rPr>
            </w:pPr>
            <w:r>
              <w:rPr>
                <w:rFonts w:ascii="Arial" w:cs="Arial" w:eastAsia="Arial" w:hAnsi="Arial"/>
                <w:sz w:val="16"/>
                <w:szCs w:val="16"/>
                <w:color w:val="0000FF"/>
                <w:w w:val="92"/>
              </w:rPr>
              <w:t>Unaudited Condensed Consolidated Statements of Comprehensive Income for the fiscal quarter and two fiscal quarters</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700" w:type="dxa"/>
            <w:vAlign w:val="bottom"/>
            <w:tcBorders>
              <w:top w:val="single" w:sz="8" w:color="0000FF"/>
            </w:tcBorders>
            <w:gridSpan w:val="20"/>
          </w:tcPr>
          <w:p>
            <w:pPr>
              <w:spacing w:after="0" w:line="183" w:lineRule="exact"/>
              <w:rPr>
                <w:sz w:val="20"/>
                <w:szCs w:val="20"/>
                <w:color w:val="auto"/>
              </w:rPr>
            </w:pPr>
            <w:r>
              <w:rPr>
                <w:rFonts w:ascii="Arial" w:cs="Arial" w:eastAsia="Arial" w:hAnsi="Arial"/>
                <w:sz w:val="16"/>
                <w:szCs w:val="16"/>
                <w:color w:val="0000FF"/>
              </w:rPr>
              <w:t>ended June 29, 2019 and June 30, 2018</w:t>
            </w:r>
          </w:p>
        </w:tc>
        <w:tc>
          <w:tcPr>
            <w:tcW w:w="140" w:type="dxa"/>
            <w:vAlign w:val="bottom"/>
            <w:gridSpan w:val="3"/>
          </w:tcPr>
          <w:p>
            <w:pPr>
              <w:spacing w:after="0"/>
              <w:rPr>
                <w:sz w:val="15"/>
                <w:szCs w:val="15"/>
                <w:color w:val="auto"/>
              </w:rPr>
            </w:pPr>
          </w:p>
        </w:tc>
        <w:tc>
          <w:tcPr>
            <w:tcW w:w="880" w:type="dxa"/>
            <w:vAlign w:val="bottom"/>
            <w:gridSpan w:val="3"/>
          </w:tcPr>
          <w:p>
            <w:pPr>
              <w:jc w:val="center"/>
              <w:ind w:left="718"/>
              <w:spacing w:after="0" w:line="183" w:lineRule="exact"/>
              <w:rPr>
                <w:rFonts w:ascii="Arial" w:cs="Arial" w:eastAsia="Arial" w:hAnsi="Arial"/>
                <w:sz w:val="16"/>
                <w:szCs w:val="16"/>
                <w:color w:val="0000EE"/>
                <w:w w:val="89"/>
              </w:rPr>
            </w:pPr>
            <w:hyperlink w:anchor="page6">
              <w:r>
                <w:rPr>
                  <w:rFonts w:ascii="Arial" w:cs="Arial" w:eastAsia="Arial" w:hAnsi="Arial"/>
                  <w:sz w:val="16"/>
                  <w:szCs w:val="16"/>
                  <w:color w:val="0000EE"/>
                  <w:w w:val="89"/>
                </w:rPr>
                <w:t>3</w:t>
              </w:r>
            </w:hyperlink>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0000FF"/>
            </w:tcBorders>
            <w:gridSpan w:val="22"/>
            <w:shd w:val="clear" w:color="auto" w:fill="CCEEFF"/>
          </w:tcPr>
          <w:p>
            <w:pPr>
              <w:spacing w:after="0"/>
              <w:rPr>
                <w:sz w:val="20"/>
                <w:szCs w:val="20"/>
                <w:color w:val="auto"/>
              </w:rPr>
            </w:pPr>
            <w:r>
              <w:rPr>
                <w:rFonts w:ascii="Arial" w:cs="Arial" w:eastAsia="Arial" w:hAnsi="Arial"/>
                <w:sz w:val="16"/>
                <w:szCs w:val="16"/>
                <w:color w:val="0000FF"/>
                <w:w w:val="90"/>
                <w:shd w:val="clear" w:color="auto" w:fill="CCEEFF"/>
              </w:rPr>
              <w:t>Unaudited Condensed Consolidated Statement of Changes in Stockholders' Equity for the fiscal quarters ended June 29,</w:t>
            </w: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0000FF"/>
            </w:tcBorders>
            <w:gridSpan w:val="13"/>
            <w:shd w:val="clear" w:color="auto" w:fill="CCEEFF"/>
          </w:tcPr>
          <w:p>
            <w:pPr>
              <w:spacing w:after="0" w:line="183" w:lineRule="exact"/>
              <w:rPr>
                <w:sz w:val="20"/>
                <w:szCs w:val="20"/>
                <w:color w:val="auto"/>
              </w:rPr>
            </w:pPr>
            <w:r>
              <w:rPr>
                <w:rFonts w:ascii="Arial" w:cs="Arial" w:eastAsia="Arial" w:hAnsi="Arial"/>
                <w:sz w:val="16"/>
                <w:szCs w:val="16"/>
                <w:color w:val="0000FF"/>
                <w:w w:val="90"/>
                <w:shd w:val="clear" w:color="auto" w:fill="CCEEFF"/>
              </w:rPr>
              <w:t>2019, March 30, 2019, June 30, 2018 and March 31, 2018</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4"/>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0000EE"/>
            </w:tcBorders>
            <w:shd w:val="clear" w:color="auto" w:fill="CCEEFF"/>
          </w:tcPr>
          <w:p>
            <w:pPr>
              <w:jc w:val="center"/>
              <w:spacing w:after="0" w:line="183" w:lineRule="exact"/>
              <w:rPr>
                <w:rFonts w:ascii="Arial" w:cs="Arial" w:eastAsia="Arial" w:hAnsi="Arial"/>
                <w:sz w:val="16"/>
                <w:szCs w:val="16"/>
                <w:color w:val="0000EE"/>
                <w:w w:val="89"/>
              </w:rPr>
            </w:pPr>
            <w:hyperlink w:anchor="page7">
              <w:r>
                <w:rPr>
                  <w:rFonts w:ascii="Arial" w:cs="Arial" w:eastAsia="Arial" w:hAnsi="Arial"/>
                  <w:sz w:val="16"/>
                  <w:szCs w:val="16"/>
                  <w:color w:val="0000EE"/>
                  <w:w w:val="89"/>
                </w:rPr>
                <w:t>4</w:t>
              </w:r>
            </w:hyperlink>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40" w:type="dxa"/>
            <w:vAlign w:val="bottom"/>
            <w:gridSpan w:val="23"/>
          </w:tcPr>
          <w:p>
            <w:pPr>
              <w:spacing w:after="0"/>
              <w:rPr>
                <w:sz w:val="20"/>
                <w:szCs w:val="20"/>
                <w:color w:val="auto"/>
              </w:rPr>
            </w:pPr>
            <w:r>
              <w:rPr>
                <w:rFonts w:ascii="Arial" w:cs="Arial" w:eastAsia="Arial" w:hAnsi="Arial"/>
                <w:sz w:val="16"/>
                <w:szCs w:val="16"/>
                <w:color w:val="0000FF"/>
                <w:w w:val="91"/>
              </w:rPr>
              <w:t>Unaudited Condensed Consolidated Statements of Cash Flows for the two fiscal quarters ended June 29, 2019 and June</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Borders>
              <w:top w:val="single" w:sz="8" w:color="0000FF"/>
            </w:tcBorders>
            <w:gridSpan w:val="5"/>
          </w:tcPr>
          <w:p>
            <w:pPr>
              <w:spacing w:after="0" w:line="183" w:lineRule="exact"/>
              <w:rPr>
                <w:sz w:val="20"/>
                <w:szCs w:val="20"/>
                <w:color w:val="auto"/>
              </w:rPr>
            </w:pPr>
            <w:r>
              <w:rPr>
                <w:rFonts w:ascii="Arial" w:cs="Arial" w:eastAsia="Arial" w:hAnsi="Arial"/>
                <w:sz w:val="16"/>
                <w:szCs w:val="16"/>
                <w:color w:val="0000FF"/>
              </w:rPr>
              <w:t>30, 2018</w:t>
            </w:r>
          </w:p>
        </w:tc>
        <w:tc>
          <w:tcPr>
            <w:tcW w:w="3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14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jc w:val="center"/>
              <w:ind w:left="718"/>
              <w:spacing w:after="0" w:line="183" w:lineRule="exact"/>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40" w:type="dxa"/>
            <w:vAlign w:val="bottom"/>
            <w:gridSpan w:val="23"/>
            <w:shd w:val="clear" w:color="auto" w:fill="CCEEFF"/>
          </w:tcPr>
          <w:p>
            <w:pPr>
              <w:spacing w:after="0" w:line="169" w:lineRule="exact"/>
              <w:rPr>
                <w:rFonts w:ascii="Arial" w:cs="Arial" w:eastAsia="Arial" w:hAnsi="Arial"/>
                <w:sz w:val="16"/>
                <w:szCs w:val="16"/>
                <w:color w:val="0000EE"/>
              </w:rPr>
            </w:pPr>
            <w:hyperlink w:anchor="page9">
              <w:r>
                <w:rPr>
                  <w:rFonts w:ascii="Arial" w:cs="Arial" w:eastAsia="Arial" w:hAnsi="Arial"/>
                  <w:sz w:val="16"/>
                  <w:szCs w:val="16"/>
                  <w:color w:val="0000EE"/>
                </w:rPr>
                <w:t>Notes to the Unaudited Condensed Consolidated Financial Statements</w:t>
              </w:r>
            </w:hyperlink>
          </w:p>
        </w:tc>
        <w:tc>
          <w:tcPr>
            <w:tcW w:w="880" w:type="dxa"/>
            <w:vAlign w:val="bottom"/>
            <w:gridSpan w:val="3"/>
            <w:shd w:val="clear" w:color="auto" w:fill="CCEEFF"/>
          </w:tcPr>
          <w:p>
            <w:pPr>
              <w:jc w:val="center"/>
              <w:ind w:left="718"/>
              <w:spacing w:after="0" w:line="169" w:lineRule="exact"/>
              <w:rPr>
                <w:rFonts w:ascii="Arial" w:cs="Arial" w:eastAsia="Arial" w:hAnsi="Arial"/>
                <w:sz w:val="16"/>
                <w:szCs w:val="16"/>
                <w:color w:val="0000EE"/>
                <w:w w:val="89"/>
              </w:rPr>
            </w:pPr>
            <w:hyperlink w:anchor="page9">
              <w:r>
                <w:rPr>
                  <w:rFonts w:ascii="Arial" w:cs="Arial" w:eastAsia="Arial" w:hAnsi="Arial"/>
                  <w:sz w:val="16"/>
                  <w:szCs w:val="16"/>
                  <w:color w:val="0000EE"/>
                  <w:w w:val="89"/>
                </w:rPr>
                <w:t>6</w:t>
              </w:r>
            </w:hyperlink>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122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640" w:type="dxa"/>
            <w:vAlign w:val="bottom"/>
            <w:tcBorders>
              <w:top w:val="single" w:sz="8" w:color="0000EE"/>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40" w:type="dxa"/>
            <w:vAlign w:val="bottom"/>
            <w:gridSpan w:val="7"/>
          </w:tcPr>
          <w:p>
            <w:pPr>
              <w:ind w:left="68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7840" w:type="dxa"/>
            <w:vAlign w:val="bottom"/>
            <w:gridSpan w:val="23"/>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Management's Discussion and Analysis of Financial Condition and Results of Operations</w:t>
              </w:r>
            </w:hyperlink>
          </w:p>
        </w:tc>
        <w:tc>
          <w:tcPr>
            <w:tcW w:w="1700" w:type="dxa"/>
            <w:vAlign w:val="bottom"/>
            <w:gridSpan w:val="5"/>
          </w:tcPr>
          <w:p>
            <w:pPr>
              <w:jc w:val="center"/>
              <w:spacing w:after="0"/>
              <w:rPr>
                <w:rFonts w:ascii="Arial" w:cs="Arial" w:eastAsia="Arial" w:hAnsi="Arial"/>
                <w:sz w:val="16"/>
                <w:szCs w:val="16"/>
                <w:color w:val="0000EE"/>
              </w:rPr>
            </w:pPr>
            <w:hyperlink w:anchor="page21">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260" w:type="dxa"/>
            <w:vAlign w:val="bottom"/>
            <w:tcBorders>
              <w:top w:val="single" w:sz="8" w:color="0000EE"/>
            </w:tcBorders>
          </w:tcPr>
          <w:p>
            <w:pPr>
              <w:spacing w:after="0"/>
              <w:rPr>
                <w:sz w:val="4"/>
                <w:szCs w:val="4"/>
                <w:color w:val="auto"/>
              </w:rPr>
            </w:pPr>
          </w:p>
        </w:tc>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gridSpan w:val="6"/>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7840" w:type="dxa"/>
            <w:vAlign w:val="bottom"/>
            <w:gridSpan w:val="23"/>
            <w:shd w:val="clear" w:color="auto" w:fill="CCEEFF"/>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Quantitative and Qualitative Disclosures about Market Risk</w:t>
              </w:r>
            </w:hyperlink>
          </w:p>
        </w:tc>
        <w:tc>
          <w:tcPr>
            <w:tcW w:w="1700" w:type="dxa"/>
            <w:vAlign w:val="bottom"/>
            <w:gridSpan w:val="5"/>
            <w:shd w:val="clear" w:color="auto" w:fill="CCEEFF"/>
          </w:tcPr>
          <w:p>
            <w:pPr>
              <w:jc w:val="center"/>
              <w:spacing w:after="0"/>
              <w:rPr>
                <w:rFonts w:ascii="Arial" w:cs="Arial" w:eastAsia="Arial" w:hAnsi="Arial"/>
                <w:sz w:val="16"/>
                <w:szCs w:val="16"/>
                <w:color w:val="0000EE"/>
              </w:rPr>
            </w:pPr>
            <w:hyperlink w:anchor="page32">
              <w:r>
                <w:rPr>
                  <w:rFonts w:ascii="Arial" w:cs="Arial" w:eastAsia="Arial" w:hAnsi="Arial"/>
                  <w:sz w:val="16"/>
                  <w:szCs w:val="16"/>
                  <w:color w:val="0000EE"/>
                </w:rPr>
                <w:t>29</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6"/>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7840" w:type="dxa"/>
            <w:vAlign w:val="bottom"/>
            <w:gridSpan w:val="23"/>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Controls and Procedures</w:t>
              </w:r>
            </w:hyperlink>
          </w:p>
        </w:tc>
        <w:tc>
          <w:tcPr>
            <w:tcW w:w="1700" w:type="dxa"/>
            <w:vAlign w:val="bottom"/>
            <w:gridSpan w:val="5"/>
          </w:tcPr>
          <w:p>
            <w:pPr>
              <w:jc w:val="center"/>
              <w:spacing w:after="0"/>
              <w:rPr>
                <w:rFonts w:ascii="Arial" w:cs="Arial" w:eastAsia="Arial" w:hAnsi="Arial"/>
                <w:sz w:val="16"/>
                <w:szCs w:val="16"/>
                <w:color w:val="0000EE"/>
              </w:rPr>
            </w:pPr>
            <w:hyperlink w:anchor="page32">
              <w:r>
                <w:rPr>
                  <w:rFonts w:ascii="Arial" w:cs="Arial" w:eastAsia="Arial" w:hAnsi="Arial"/>
                  <w:sz w:val="16"/>
                  <w:szCs w:val="16"/>
                  <w:color w:val="0000EE"/>
                </w:rPr>
                <w:t>29</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720" w:type="dxa"/>
            <w:vAlign w:val="bottom"/>
            <w:gridSpan w:val="31"/>
          </w:tcPr>
          <w:p>
            <w:pPr>
              <w:ind w:left="40"/>
              <w:spacing w:after="0" w:line="202" w:lineRule="exact"/>
              <w:rPr>
                <w:sz w:val="20"/>
                <w:szCs w:val="20"/>
                <w:color w:val="auto"/>
              </w:rPr>
            </w:pPr>
            <w:r>
              <w:rPr>
                <w:rFonts w:ascii="Arial" w:cs="Arial" w:eastAsia="Arial" w:hAnsi="Arial"/>
                <w:sz w:val="18"/>
                <w:szCs w:val="18"/>
                <w:b w:val="1"/>
                <w:bCs w:val="1"/>
                <w:color w:val="0000EE"/>
              </w:rPr>
              <w:t>Part II. Other Information</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spacing w:after="0" w:line="169" w:lineRule="exact"/>
              <w:rPr>
                <w:sz w:val="20"/>
                <w:szCs w:val="20"/>
                <w:color w:val="auto"/>
              </w:rPr>
            </w:pPr>
            <w:r>
              <w:rPr>
                <w:rFonts w:ascii="Arial" w:cs="Arial" w:eastAsia="Arial" w:hAnsi="Arial"/>
                <w:sz w:val="16"/>
                <w:szCs w:val="16"/>
                <w:color w:val="0000FF"/>
              </w:rPr>
              <w:t>Item 1</w:t>
            </w:r>
          </w:p>
        </w:tc>
        <w:tc>
          <w:tcPr>
            <w:tcW w:w="7840" w:type="dxa"/>
            <w:vAlign w:val="bottom"/>
            <w:gridSpan w:val="23"/>
            <w:shd w:val="clear" w:color="auto" w:fill="CCEEFF"/>
          </w:tcPr>
          <w:p>
            <w:pPr>
              <w:spacing w:after="0" w:line="169" w:lineRule="exact"/>
              <w:rPr>
                <w:sz w:val="20"/>
                <w:szCs w:val="20"/>
                <w:color w:val="auto"/>
              </w:rPr>
            </w:pPr>
            <w:r>
              <w:rPr>
                <w:rFonts w:ascii="Arial" w:cs="Arial" w:eastAsia="Arial" w:hAnsi="Arial"/>
                <w:sz w:val="16"/>
                <w:szCs w:val="16"/>
                <w:color w:val="0000EE"/>
              </w:rPr>
              <w:t>Legal Proceedings</w:t>
            </w:r>
          </w:p>
        </w:tc>
        <w:tc>
          <w:tcPr>
            <w:tcW w:w="1700" w:type="dxa"/>
            <w:vAlign w:val="bottom"/>
            <w:gridSpan w:val="5"/>
            <w:shd w:val="clear" w:color="auto" w:fill="CCEEFF"/>
          </w:tcPr>
          <w:p>
            <w:pPr>
              <w:jc w:val="center"/>
              <w:spacing w:after="0" w:line="169" w:lineRule="exact"/>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c>
          <w:tcPr>
            <w:tcW w:w="0" w:type="dxa"/>
            <w:vAlign w:val="bottom"/>
          </w:tcPr>
          <w:p>
            <w:pPr>
              <w:spacing w:after="0"/>
              <w:rPr>
                <w:sz w:val="1"/>
                <w:szCs w:val="1"/>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6"/>
          </w:tcPr>
          <w:p>
            <w:pPr>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Item 1A</w:t>
              </w:r>
            </w:hyperlink>
          </w:p>
        </w:tc>
        <w:tc>
          <w:tcPr>
            <w:tcW w:w="7840" w:type="dxa"/>
            <w:vAlign w:val="bottom"/>
            <w:gridSpan w:val="23"/>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Risk Factors</w:t>
              </w:r>
            </w:hyperlink>
          </w:p>
        </w:tc>
        <w:tc>
          <w:tcPr>
            <w:tcW w:w="1700" w:type="dxa"/>
            <w:vAlign w:val="bottom"/>
            <w:gridSpan w:val="5"/>
          </w:tcPr>
          <w:p>
            <w:pPr>
              <w:jc w:val="center"/>
              <w:spacing w:after="0"/>
              <w:rPr>
                <w:rFonts w:ascii="Arial" w:cs="Arial" w:eastAsia="Arial" w:hAnsi="Arial"/>
                <w:sz w:val="16"/>
                <w:szCs w:val="16"/>
                <w:color w:val="0000EE"/>
              </w:rPr>
            </w:pPr>
            <w:hyperlink w:anchor="page33">
              <w:r>
                <w:rPr>
                  <w:rFonts w:ascii="Arial" w:cs="Arial" w:eastAsia="Arial" w:hAnsi="Arial"/>
                  <w:sz w:val="16"/>
                  <w:szCs w:val="16"/>
                  <w:color w:val="0000EE"/>
                </w:rPr>
                <w:t>30</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60" w:type="dxa"/>
            <w:vAlign w:val="bottom"/>
            <w:gridSpan w:val="6"/>
            <w:shd w:val="clear" w:color="auto" w:fill="CCEEFF"/>
          </w:tcPr>
          <w:p>
            <w:pPr>
              <w:spacing w:after="0" w:line="202" w:lineRule="exact"/>
              <w:rPr>
                <w:rFonts w:ascii="Arial" w:cs="Arial" w:eastAsia="Arial" w:hAnsi="Arial"/>
                <w:sz w:val="18"/>
                <w:szCs w:val="18"/>
                <w:color w:val="0000FF"/>
              </w:rPr>
            </w:pPr>
            <w:hyperlink w:anchor="page34">
              <w:r>
                <w:rPr>
                  <w:rFonts w:ascii="Arial" w:cs="Arial" w:eastAsia="Arial" w:hAnsi="Arial"/>
                  <w:sz w:val="18"/>
                  <w:szCs w:val="18"/>
                  <w:color w:val="0000FF"/>
                </w:rPr>
                <w:t>Item 2</w:t>
              </w:r>
            </w:hyperlink>
          </w:p>
        </w:tc>
        <w:tc>
          <w:tcPr>
            <w:tcW w:w="7840" w:type="dxa"/>
            <w:vAlign w:val="bottom"/>
            <w:gridSpan w:val="23"/>
            <w:shd w:val="clear" w:color="auto" w:fill="CCEEFF"/>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Unregistered Sales of Equity Securities and Use of Proceeds</w:t>
              </w:r>
            </w:hyperlink>
          </w:p>
        </w:tc>
        <w:tc>
          <w:tcPr>
            <w:tcW w:w="1700" w:type="dxa"/>
            <w:vAlign w:val="bottom"/>
            <w:gridSpan w:val="5"/>
            <w:shd w:val="clear" w:color="auto" w:fill="CCEEFF"/>
          </w:tcPr>
          <w:p>
            <w:pPr>
              <w:jc w:val="center"/>
              <w:spacing w:after="0"/>
              <w:rPr>
                <w:rFonts w:ascii="Arial" w:cs="Arial" w:eastAsia="Arial" w:hAnsi="Arial"/>
                <w:sz w:val="16"/>
                <w:szCs w:val="16"/>
                <w:color w:val="0000EE"/>
              </w:rPr>
            </w:pPr>
            <w:hyperlink w:anchor="page34">
              <w:r>
                <w:rPr>
                  <w:rFonts w:ascii="Arial" w:cs="Arial" w:eastAsia="Arial" w:hAnsi="Arial"/>
                  <w:sz w:val="16"/>
                  <w:szCs w:val="16"/>
                  <w:color w:val="0000EE"/>
                </w:rPr>
                <w:t>31</w:t>
              </w:r>
            </w:hyperlink>
          </w:p>
        </w:tc>
        <w:tc>
          <w:tcPr>
            <w:tcW w:w="0" w:type="dxa"/>
            <w:vAlign w:val="bottom"/>
          </w:tcPr>
          <w:p>
            <w:pPr>
              <w:spacing w:after="0"/>
              <w:rPr>
                <w:sz w:val="1"/>
                <w:szCs w:val="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6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w w:val="98"/>
              </w:rPr>
              <w:t>Item 3</w:t>
            </w:r>
          </w:p>
        </w:tc>
        <w:tc>
          <w:tcPr>
            <w:tcW w:w="700" w:type="dxa"/>
            <w:vAlign w:val="bottom"/>
            <w:tcBorders>
              <w:top w:val="single" w:sz="8" w:color="CCEEFF"/>
            </w:tcBorders>
            <w:gridSpan w:val="2"/>
          </w:tcPr>
          <w:p>
            <w:pPr>
              <w:spacing w:after="0"/>
              <w:rPr>
                <w:sz w:val="18"/>
                <w:szCs w:val="18"/>
                <w:color w:val="auto"/>
              </w:rPr>
            </w:pPr>
          </w:p>
        </w:tc>
        <w:tc>
          <w:tcPr>
            <w:tcW w:w="390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6"/>
                <w:szCs w:val="16"/>
                <w:color w:val="0000FF"/>
              </w:rPr>
              <w:t>Defaults upon Senior Securities</w:t>
            </w:r>
          </w:p>
        </w:tc>
        <w:tc>
          <w:tcPr>
            <w:tcW w:w="3940" w:type="dxa"/>
            <w:vAlign w:val="bottom"/>
            <w:tcBorders>
              <w:top w:val="single" w:sz="8" w:color="CCEEFF"/>
            </w:tcBorders>
            <w:gridSpan w:val="8"/>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gridSpan w:val="3"/>
          </w:tcPr>
          <w:p>
            <w:pPr>
              <w:jc w:val="cente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gridSpan w:val="6"/>
            <w:shd w:val="clear" w:color="auto" w:fill="CCEEFF"/>
          </w:tcPr>
          <w:p>
            <w:pPr>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7840" w:type="dxa"/>
            <w:vAlign w:val="bottom"/>
            <w:gridSpan w:val="23"/>
            <w:shd w:val="clear" w:color="auto" w:fill="CCEEFF"/>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Mine Safety Disclosures</w:t>
              </w:r>
            </w:hyperlink>
          </w:p>
        </w:tc>
        <w:tc>
          <w:tcPr>
            <w:tcW w:w="1700" w:type="dxa"/>
            <w:vAlign w:val="bottom"/>
            <w:gridSpan w:val="5"/>
            <w:shd w:val="clear" w:color="auto" w:fill="CCEEFF"/>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6"/>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7840" w:type="dxa"/>
            <w:vAlign w:val="bottom"/>
            <w:gridSpan w:val="23"/>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Other Information</w:t>
              </w:r>
            </w:hyperlink>
          </w:p>
        </w:tc>
        <w:tc>
          <w:tcPr>
            <w:tcW w:w="1700" w:type="dxa"/>
            <w:vAlign w:val="bottom"/>
            <w:gridSpan w:val="5"/>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40" w:type="dxa"/>
            <w:vAlign w:val="bottom"/>
            <w:gridSpan w:val="7"/>
            <w:shd w:val="clear" w:color="auto" w:fill="CCEEFF"/>
          </w:tcPr>
          <w:p>
            <w:pPr>
              <w:ind w:left="68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7840" w:type="dxa"/>
            <w:vAlign w:val="bottom"/>
            <w:gridSpan w:val="23"/>
            <w:shd w:val="clear" w:color="auto" w:fill="CCEEFF"/>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Exhibits</w:t>
              </w:r>
            </w:hyperlink>
          </w:p>
        </w:tc>
        <w:tc>
          <w:tcPr>
            <w:tcW w:w="1700" w:type="dxa"/>
            <w:vAlign w:val="bottom"/>
            <w:gridSpan w:val="5"/>
            <w:shd w:val="clear" w:color="auto" w:fill="CCEEFF"/>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42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80" w:type="dxa"/>
            <w:vAlign w:val="bottom"/>
            <w:gridSpan w:val="8"/>
            <w:shd w:val="clear" w:color="auto" w:fill="CCEEFF"/>
          </w:tcPr>
          <w:p>
            <w:pPr>
              <w:ind w:left="40"/>
              <w:spacing w:after="0" w:line="20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Signatures</w:t>
              </w:r>
            </w:hyperlink>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700" w:type="dxa"/>
            <w:vAlign w:val="bottom"/>
            <w:gridSpan w:val="5"/>
            <w:shd w:val="clear" w:color="auto" w:fill="CCEEFF"/>
          </w:tcPr>
          <w:p>
            <w:pPr>
              <w:jc w:val="center"/>
              <w:spacing w:after="0"/>
              <w:rPr>
                <w:rFonts w:ascii="Arial" w:cs="Arial" w:eastAsia="Arial" w:hAnsi="Arial"/>
                <w:sz w:val="16"/>
                <w:szCs w:val="16"/>
                <w:color w:val="0000EE"/>
              </w:rPr>
            </w:pPr>
            <w:hyperlink w:anchor="page36">
              <w:r>
                <w:rPr>
                  <w:rFonts w:ascii="Arial" w:cs="Arial" w:eastAsia="Arial" w:hAnsi="Arial"/>
                  <w:sz w:val="16"/>
                  <w:szCs w:val="16"/>
                  <w:color w:val="0000EE"/>
                </w:rPr>
                <w:t>33</w:t>
              </w:r>
            </w:hyperlink>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1260" w:type="dxa"/>
            <w:vAlign w:val="bottom"/>
            <w:tcBorders>
              <w:top w:val="single" w:sz="8" w:color="CCEEFF"/>
            </w:tcBorders>
          </w:tcPr>
          <w:p>
            <w:pPr>
              <w:spacing w:after="0"/>
              <w:rPr>
                <w:sz w:val="10"/>
                <w:szCs w:val="10"/>
                <w:color w:val="auto"/>
              </w:rPr>
            </w:pPr>
          </w:p>
        </w:tc>
        <w:tc>
          <w:tcPr>
            <w:tcW w:w="142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80" w:type="dxa"/>
            <w:vAlign w:val="bottom"/>
            <w:gridSpan w:val="8"/>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0000EE"/>
              </w:rPr>
              <w:t>Certifications</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29, 2019</w:t>
            </w: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29, 2018</w:t>
            </w:r>
          </w:p>
        </w:tc>
        <w:tc>
          <w:tcPr>
            <w:tcW w:w="300" w:type="dxa"/>
            <w:vAlign w:val="bottom"/>
          </w:tcPr>
          <w:p>
            <w:pPr>
              <w:spacing w:after="0"/>
              <w:rPr>
                <w:sz w:val="18"/>
                <w:szCs w:val="18"/>
                <w:color w:val="auto"/>
              </w:rPr>
            </w:pPr>
          </w:p>
        </w:tc>
        <w:tc>
          <w:tcPr>
            <w:tcW w:w="162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183,202</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168,176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258,259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152,517</w:t>
            </w:r>
          </w:p>
        </w:tc>
      </w:tr>
      <w:tr>
        <w:trPr>
          <w:trHeight w:val="3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 net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663,263</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56,813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40,396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51,955</w:t>
            </w:r>
          </w:p>
        </w:tc>
      </w:tr>
      <w:tr>
        <w:trPr>
          <w:trHeight w:val="33"/>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1,041,006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1,042,958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1,050,937</w:t>
            </w:r>
          </w:p>
        </w:tc>
      </w:tr>
      <w:tr>
        <w:trPr>
          <w:trHeight w:val="220"/>
        </w:trPr>
        <w:tc>
          <w:tcPr>
            <w:tcW w:w="5380" w:type="dxa"/>
            <w:vAlign w:val="bottom"/>
          </w:tcPr>
          <w:p>
            <w:pPr>
              <w:ind w:left="40"/>
              <w:spacing w:after="0"/>
              <w:rPr>
                <w:sz w:val="20"/>
                <w:szCs w:val="20"/>
                <w:color w:val="auto"/>
              </w:rPr>
            </w:pPr>
            <w:r>
              <w:rPr>
                <w:rFonts w:ascii="Arial" w:cs="Arial" w:eastAsia="Arial" w:hAnsi="Arial"/>
                <w:sz w:val="16"/>
                <w:szCs w:val="16"/>
                <w:color w:val="auto"/>
                <w:w w:val="97"/>
              </w:rPr>
              <w:t>Property, plant, and equipment, net of accumulated depreciation of $486,319,</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6"/>
        </w:trPr>
        <w:tc>
          <w:tcPr>
            <w:tcW w:w="5380" w:type="dxa"/>
            <w:vAlign w:val="bottom"/>
          </w:tcPr>
          <w:p>
            <w:pPr>
              <w:ind w:left="40"/>
              <w:spacing w:after="0"/>
              <w:rPr>
                <w:sz w:val="20"/>
                <w:szCs w:val="20"/>
                <w:color w:val="auto"/>
              </w:rPr>
            </w:pPr>
            <w:r>
              <w:rPr>
                <w:rFonts w:ascii="Arial" w:cs="Arial" w:eastAsia="Arial" w:hAnsi="Arial"/>
                <w:sz w:val="16"/>
                <w:szCs w:val="16"/>
                <w:color w:val="auto"/>
              </w:rPr>
              <w:t>$448,898, and $430,834, respectively</w:t>
            </w:r>
          </w:p>
        </w:tc>
        <w:tc>
          <w:tcPr>
            <w:tcW w:w="32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333,600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350,437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364,223</w:t>
            </w:r>
          </w:p>
        </w:tc>
      </w:tr>
      <w:tr>
        <w:trPr>
          <w:trHeight w:val="3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assets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705,631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Tradenames, net</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365,567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365,692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365,817</w:t>
            </w:r>
          </w:p>
        </w:tc>
      </w:tr>
      <w:tr>
        <w:trPr>
          <w:trHeight w:val="3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228,860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228,555</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Customer relationships, net</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42,825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44,511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46,222</w:t>
            </w:r>
          </w:p>
        </w:tc>
      </w:tr>
      <w:tr>
        <w:trPr>
          <w:trHeight w:val="3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27,775</w:t>
            </w:r>
          </w:p>
        </w:tc>
      </w:tr>
      <w:tr>
        <w:trPr>
          <w:trHeight w:val="284"/>
        </w:trPr>
        <w:tc>
          <w:tcPr>
            <w:tcW w:w="53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2,747,160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2,058,858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2,083,529</w:t>
            </w:r>
          </w:p>
        </w:tc>
      </w:tr>
      <w:tr>
        <w:trPr>
          <w:trHeight w:val="203"/>
        </w:trPr>
        <w:tc>
          <w:tcPr>
            <w:tcW w:w="5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232,869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199,076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216,931</w:t>
            </w:r>
          </w:p>
        </w:tc>
      </w:tr>
      <w:tr>
        <w:trPr>
          <w:trHeight w:val="3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154,719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85,483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128,345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95,685</w:t>
            </w:r>
          </w:p>
        </w:tc>
      </w:tr>
      <w:tr>
        <w:trPr>
          <w:trHeight w:val="33"/>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473,071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327,421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312,616</w:t>
            </w:r>
          </w:p>
        </w:tc>
      </w:t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682,778</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91,190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87,347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85,755</w:t>
            </w:r>
          </w:p>
        </w:tc>
      </w:tr>
      <w:tr>
        <w:trPr>
          <w:trHeight w:val="3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688,650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61,975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181,393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192,051</w:t>
            </w:r>
          </w:p>
        </w:tc>
      </w:tr>
      <w:tr>
        <w:trPr>
          <w:trHeight w:val="33"/>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1,919,263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1,189,425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1,273,200</w:t>
            </w:r>
          </w:p>
        </w:tc>
      </w:t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 Note 14</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20"/>
        </w:trPr>
        <w:tc>
          <w:tcPr>
            <w:tcW w:w="5380" w:type="dxa"/>
            <w:vAlign w:val="bottom"/>
          </w:tcPr>
          <w:p>
            <w:pPr>
              <w:ind w:left="40"/>
              <w:spacing w:after="0"/>
              <w:rPr>
                <w:sz w:val="20"/>
                <w:szCs w:val="20"/>
                <w:color w:val="auto"/>
              </w:rPr>
            </w:pPr>
            <w:r>
              <w:rPr>
                <w:rFonts w:ascii="Arial" w:cs="Arial" w:eastAsia="Arial" w:hAnsi="Arial"/>
                <w:sz w:val="16"/>
                <w:szCs w:val="16"/>
                <w:color w:val="auto"/>
                <w:w w:val="91"/>
              </w:rPr>
              <w:t>Preferred stock; par value $.01 per share; 100,000 shares authorized; none issued</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6"/>
        </w:trPr>
        <w:tc>
          <w:tcPr>
            <w:tcW w:w="5380" w:type="dxa"/>
            <w:vAlign w:val="bottom"/>
          </w:tcPr>
          <w:p>
            <w:pPr>
              <w:ind w:left="40"/>
              <w:spacing w:after="0"/>
              <w:rPr>
                <w:sz w:val="20"/>
                <w:szCs w:val="20"/>
                <w:color w:val="auto"/>
              </w:rPr>
            </w:pPr>
            <w:r>
              <w:rPr>
                <w:rFonts w:ascii="Arial" w:cs="Arial" w:eastAsia="Arial" w:hAnsi="Arial"/>
                <w:sz w:val="16"/>
                <w:szCs w:val="16"/>
                <w:color w:val="auto"/>
              </w:rPr>
              <w:t>or outstanding at June 29, 2019, December 29, 2018, and June 30, 2018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Common stock, voting; par value $.01 per share; 150,000,000 shares authorized;</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03"/>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44,868,563, 45,629,014 and 46,565,443 shares issued and outstanding at June 29,</w:t>
            </w:r>
          </w:p>
        </w:tc>
        <w:tc>
          <w:tcPr>
            <w:tcW w:w="3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December 29, 2018 and June 30, 2018,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(36,561)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(35,532)</w:t>
            </w:r>
          </w:p>
        </w:tc>
      </w:tr>
      <w:tr>
        <w:trPr>
          <w:trHeight w:val="3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909,816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845,395</w:t>
            </w: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827,897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869,433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810,329</w:t>
            </w:r>
          </w:p>
        </w:tc>
      </w:tr>
      <w:tr>
        <w:trPr>
          <w:trHeight w:val="33"/>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2,747,160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2,058,858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2,083,529</w:t>
            </w: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580"/>
              <w:spacing w:after="0"/>
              <w:rPr>
                <w:sz w:val="20"/>
                <w:szCs w:val="20"/>
                <w:color w:val="auto"/>
              </w:rPr>
            </w:pPr>
            <w:r>
              <w:rPr>
                <w:rFonts w:ascii="Arial" w:cs="Arial" w:eastAsia="Arial" w:hAnsi="Arial"/>
                <w:sz w:val="16"/>
                <w:szCs w:val="16"/>
                <w:b w:val="1"/>
                <w:bCs w:val="1"/>
                <w:color w:val="auto"/>
              </w:rPr>
              <w:t>Fiscal quarter ended</w:t>
            </w:r>
          </w:p>
        </w:tc>
        <w:tc>
          <w:tcPr>
            <w:tcW w:w="140" w:type="dxa"/>
            <w:vAlign w:val="bottom"/>
          </w:tcPr>
          <w:p>
            <w:pPr>
              <w:spacing w:after="0"/>
              <w:rPr>
                <w:sz w:val="18"/>
                <w:szCs w:val="18"/>
                <w:color w:val="auto"/>
              </w:rPr>
            </w:pPr>
          </w:p>
        </w:tc>
        <w:tc>
          <w:tcPr>
            <w:tcW w:w="26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 2019</w:t>
            </w: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 2019</w:t>
            </w:r>
          </w:p>
        </w:tc>
        <w:tc>
          <w:tcPr>
            <w:tcW w:w="16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June 30, 2018</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734,384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696,197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1,475,442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1,451,983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411,388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386,239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836,579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809,548</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322,996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309,958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638,863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642,435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9,635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18,349</w:t>
            </w: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268,155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263,343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531,807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543,505</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64,476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56,970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125,235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117,279</w:t>
            </w: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99,457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101,155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11,774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21,054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21,418</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79,737</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1.68</w:t>
            </w: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0.90</w:t>
            </w:r>
          </w:p>
        </w:tc>
      </w:tr>
      <w:tr>
        <w:trPr>
          <w:trHeight w:val="33"/>
        </w:trPr>
        <w:tc>
          <w:tcPr>
            <w:tcW w:w="5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80"/>
              <w:spacing w:after="0"/>
              <w:rPr>
                <w:sz w:val="20"/>
                <w:szCs w:val="20"/>
                <w:color w:val="auto"/>
              </w:rPr>
            </w:pPr>
            <w:r>
              <w:rPr>
                <w:rFonts w:ascii="Arial" w:cs="Arial" w:eastAsia="Arial" w:hAnsi="Arial"/>
                <w:sz w:val="16"/>
                <w:szCs w:val="16"/>
                <w:b w:val="1"/>
                <w:bCs w:val="1"/>
                <w:color w:val="auto"/>
              </w:rPr>
              <w:t>Fiscal quarter ended</w:t>
            </w:r>
          </w:p>
        </w:tc>
        <w:tc>
          <w:tcPr>
            <w:tcW w:w="180" w:type="dxa"/>
            <w:vAlign w:val="bottom"/>
          </w:tcPr>
          <w:p>
            <w:pPr>
              <w:spacing w:after="0"/>
              <w:rPr>
                <w:sz w:val="18"/>
                <w:szCs w:val="18"/>
                <w:color w:val="auto"/>
              </w:rPr>
            </w:pPr>
          </w:p>
        </w:tc>
        <w:tc>
          <w:tcPr>
            <w:tcW w:w="28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29, 2019</w:t>
            </w:r>
          </w:p>
        </w:tc>
        <w:tc>
          <w:tcPr>
            <w:tcW w:w="18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29, 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30, 2018</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78,403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79,737</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(6,439)</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46,804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32,591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84,181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73,298</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Additional</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5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 stock</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Common</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comprehensive</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354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 shares</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stock - $</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capital</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loss</w:t>
            </w: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30, 2017</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47,178,346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886,037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857,416</w:t>
            </w:r>
          </w:p>
        </w:tc>
      </w:tr>
      <w:tr>
        <w:trPr>
          <w:trHeight w:val="237"/>
        </w:trPr>
        <w:tc>
          <w:tcPr>
            <w:tcW w:w="35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95,006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4,769</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 from vesting of restricted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116,701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(221,313)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(25,195)</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42,469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40,707</w:t>
            </w:r>
          </w:p>
        </w:tc>
      </w:tr>
      <w:tr>
        <w:trPr>
          <w:trHeight w:val="33"/>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2018</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47,113,576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885,198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854,814</w:t>
            </w:r>
          </w:p>
        </w:tc>
      </w:tr>
      <w:tr>
        <w:trPr>
          <w:trHeight w:val="217"/>
        </w:trPr>
        <w:tc>
          <w:tcPr>
            <w:tcW w:w="35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47,081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2,606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2,607</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 from vesting of restricted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4,869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(599,314)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(56,048)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(63,898)</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dividends declared and paid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37,268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32,591</w:t>
            </w:r>
          </w:p>
        </w:tc>
      </w:tr>
      <w:tr>
        <w:trPr>
          <w:trHeight w:val="33"/>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46,565,443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845,395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810,329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45,629,014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909,816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869,433</w:t>
            </w:r>
          </w:p>
        </w:tc>
      </w:tr>
      <w:tr>
        <w:trPr>
          <w:trHeight w:val="237"/>
        </w:trPr>
        <w:tc>
          <w:tcPr>
            <w:tcW w:w="35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72,192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4,780</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 from vesting of restricted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182,722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(460,257)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(39,966)</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34,466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37,377</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at March 30, 2019</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45,379,827</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454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(39,428)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888,378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849,404</w:t>
            </w:r>
          </w:p>
        </w:tc>
      </w:tr>
      <w:tr>
        <w:trPr>
          <w:trHeight w:val="33"/>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1,566</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Withholdings from vesting of restricted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activity</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5,194</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(52,477)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Cash dividends declared and paid</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(22,545)</w:t>
            </w:r>
          </w:p>
        </w:tc>
      </w:tr>
      <w:tr>
        <w:trPr>
          <w:trHeight w:val="33"/>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46,804</w:t>
            </w:r>
          </w:p>
        </w:tc>
      </w:tr>
      <w:tr>
        <w:trPr>
          <w:trHeight w:val="244"/>
        </w:trPr>
        <w:tc>
          <w:tcPr>
            <w:tcW w:w="3540" w:type="dxa"/>
            <w:vAlign w:val="bottom"/>
          </w:tcPr>
          <w:p>
            <w:pPr>
              <w:spacing w:after="0"/>
              <w:rPr>
                <w:sz w:val="20"/>
                <w:szCs w:val="20"/>
                <w:color w:val="auto"/>
              </w:rPr>
            </w:pPr>
            <w:r>
              <w:rPr>
                <w:rFonts w:ascii="Arial" w:cs="Arial" w:eastAsia="Arial" w:hAnsi="Arial"/>
                <w:sz w:val="16"/>
                <w:szCs w:val="16"/>
                <w:b w:val="1"/>
                <w:bCs w:val="1"/>
                <w:color w:val="auto"/>
              </w:rPr>
              <w:t>Balance at June 29, 2019</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44,868,563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(36,561)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864,009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827,897</w:t>
            </w:r>
          </w:p>
        </w:tc>
      </w:tr>
      <w:tr>
        <w:trPr>
          <w:trHeight w:val="20"/>
        </w:trPr>
        <w:tc>
          <w:tcPr>
            <w:tcW w:w="3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The Company reclassified $1.5 million of tax benefits from "Accumulated other comprehensive loss" to "Retained earnings" for the tax effects resulting from the December 22, 2017 enactment of the Tax Cut and Jobs Act in accordance with the adoption of ASU 2018-02, </w:t>
      </w:r>
      <w:r>
        <w:rPr>
          <w:rFonts w:ascii="Arial" w:cs="Arial" w:eastAsia="Arial" w:hAnsi="Arial"/>
          <w:sz w:val="14"/>
          <w:szCs w:val="14"/>
          <w:i w:val="1"/>
          <w:iCs w:val="1"/>
          <w:color w:val="auto"/>
        </w:rPr>
        <w:t>Reclassification of Certain Tax Effects from Accumulated Other Comprehensive Income</w:t>
      </w:r>
      <w:r>
        <w:rPr>
          <w:rFonts w:ascii="Arial" w:cs="Arial" w:eastAsia="Arial" w:hAnsi="Arial"/>
          <w:sz w:val="14"/>
          <w:szCs w:val="14"/>
          <w:color w:val="auto"/>
        </w:rPr>
        <w:t xml:space="preserve"> in the first quarter of fiscal 2019.</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29, 2019</w:t>
            </w:r>
          </w:p>
        </w:tc>
        <w:tc>
          <w:tcPr>
            <w:tcW w:w="300" w:type="dxa"/>
            <w:vAlign w:val="bottom"/>
          </w:tcPr>
          <w:p>
            <w:pPr>
              <w:spacing w:after="0"/>
              <w:rPr>
                <w:sz w:val="20"/>
                <w:szCs w:val="20"/>
                <w:color w:val="auto"/>
              </w:rPr>
            </w:pPr>
          </w:p>
        </w:tc>
        <w:tc>
          <w:tcPr>
            <w:tcW w:w="162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78,403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79,737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44,991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41,989</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865</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10,266</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Unrealized foreign currency exchange (gain) loss, net</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Provisions for (recoveries of) doubtful accounts receivable from customers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11,511</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7,823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plant, and equipment,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1,400</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93,315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76,364</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Finished goods 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(117,469)</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(722,312)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708,631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(4,254)</w:t>
            </w: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104,465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103,063</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0"/>
        </w:trPr>
        <w:tc>
          <w:tcPr>
            <w:tcW w:w="7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(31,750)</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Disposals and recoveries from property, plant,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(24,243)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(31,281)</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0"/>
        </w:trPr>
        <w:tc>
          <w:tcPr>
            <w:tcW w:w="7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senior notes due 2027</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Payment of senior notes due 2021</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Premiums paid to extinguish debt</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Payment of debt issuance costs</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 under secured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Payments on secured revolving credit facility</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(166,000)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(85,000)</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(89,093)</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(45,260)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(42,267)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Withholdings from vestings of restricted stock</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(6,667)</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exercises of stock options</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6,346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7,376</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(65,651)</w:t>
            </w:r>
          </w:p>
        </w:tc>
      </w:tr>
      <w:tr>
        <w:trPr>
          <w:trHeight w:val="210"/>
        </w:trPr>
        <w:tc>
          <w:tcPr>
            <w:tcW w:w="74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(decrease) / increase in cash and cash equivalents</w:t>
            </w: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(51,619)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4,708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170,077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178,494</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118,458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183,202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Carter's, Inc. and its wholly owned subsidiaries (collectively, the "Company," "its," "us" and "our") design, source, and market branded childrenswear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Precious Firsts</w:t>
      </w:r>
      <w:r>
        <w:rPr>
          <w:rFonts w:ascii="Arial" w:cs="Arial" w:eastAsia="Arial" w:hAnsi="Arial"/>
          <w:sz w:val="18"/>
          <w:szCs w:val="18"/>
          <w:color w:val="auto"/>
        </w:rPr>
        <w:t xml:space="preserve">, </w:t>
      </w:r>
      <w:r>
        <w:rPr>
          <w:rFonts w:ascii="Arial" w:cs="Arial" w:eastAsia="Arial" w:hAnsi="Arial"/>
          <w:sz w:val="18"/>
          <w:szCs w:val="18"/>
          <w:i w:val="1"/>
          <w:iCs w:val="1"/>
          <w:color w:val="auto"/>
        </w:rPr>
        <w:t>Precious Baby, Simple Joys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 As of June 29, 2019, the Company operated 1,064 retail stores in the United States, Canada, and Mexico.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9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ended June 29, 2019 are not necessarily indicative of the results that may be expected for the current fiscal year ending December 28, 2019.</w:t>
      </w:r>
    </w:p>
    <w:p>
      <w:pPr>
        <w:spacing w:after="0" w:line="1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condensed consolidated balance sheet as of December 29, 2018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9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accounting policies the Company follows are set forth in its most recently filed Annual Report on Form 10-K. There have been no material changes to these accounting policies, except as noted below for new accounting pronouncements adopted at the beginning of fiscal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At the beginning of fiscal 2019, the Company adopted the provisions of ASC No.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using a modified retrospective approach as an optional transition method. This approach allows the Company to apply the standard and related disclosures to the financial statements for the period of adoption and to apply the old guidance in the comparative periods.</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standard had a material impact on our consolidated balance sheets, but did not have a material impact on our consolidated income statements or statement of cash flows. The most significant impact was the recognition of right of use ("ROU") assets and lease liabilities for operating leases. Finance leases are not material to the Company's consolidated balance sheets, consolidated income statements or statement of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Presentation</w:t>
      </w:r>
    </w:p>
    <w:p>
      <w:pPr>
        <w:spacing w:after="0" w:line="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determines if an arrangement is a lease at its inception. Operating leases are included in operating lease assets, current operating lease liabilities, and long-term operating lease liabilities in our consolidated balance sheets.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Our lease terms may include options to extend or terminate the lease when it is reasonably certain that we will exercise that option.</w:t>
      </w:r>
    </w:p>
    <w:p>
      <w:pPr>
        <w:spacing w:after="0" w:line="10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operating lease ROU asset also includes initial direct costs and excludes lease incentives. Lease expense is recognized on a straight-line basis over the lease term.</w:t>
      </w:r>
    </w:p>
    <w:p>
      <w:pPr>
        <w:spacing w:after="0" w:line="13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Certain of our lease agreements include variable rental payments based on a percentage of retail sales over contractual levels and others include variable rental payments adjusted periodically for inflation. Our lease agreements do not contain any material residual value guarantees or material restrictive covenants.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Practical Expedient Package - The Company has elected the following expedients and applied them consistently to all leases:</w:t>
      </w:r>
    </w:p>
    <w:p>
      <w:pPr>
        <w:spacing w:after="0" w:line="9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will not revisit whether a contract is, or contains, a lease under the ASC 842 definition of a lease.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lease classification determined under prior guidance will not be reevaluated under ASC 842.</w:t>
      </w:r>
    </w:p>
    <w:p>
      <w:pPr>
        <w:spacing w:after="0" w:line="9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capitalized initial direct costs under prior guidance will be carried forward. Any initial direct costs after the effective date will be included within the ROU asset under ASC 842.</w:t>
      </w:r>
    </w:p>
    <w:p>
      <w:pPr>
        <w:spacing w:after="0" w:line="13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Portfolio approach - In general, the Company accounts for the underlying leased asset and applies a discount rate at the lease level. However, there are certain non-real estate leases for which the Company utilizes the portfolio method by aggregating similar leased assets based on the underlying lease term.</w:t>
      </w:r>
    </w:p>
    <w:p>
      <w:pPr>
        <w:spacing w:after="0" w:line="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Non-lease component - The Company has lease agreements with lease and non-lease components. The Company has elected a policy to account for lease and non-lease components as a single component for all asset classes.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 Leases with an initial term of 12 months or less are not recorded on the balance sheet.</w:t>
      </w:r>
    </w:p>
    <w:p>
      <w:pPr>
        <w:spacing w:after="0" w:line="185"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Discount rate - As most of the Company's leases do not provide an implicit rate, the Company uses the incremental borrowing rate based on the information available at commencement date in determining the present value of lease payments.</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Renewal options - The Company evaluates the inclusion of renewal options on a lease by lease basis. In general, for leased retail real estate, the Company does not include renewal options in the underlying lease term.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Certain Tax Effects from Accumulated Other Comprehensive Income (ASU 2018-02)</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In the first quarter of fiscal 2019, the Company adopted ASU No. 2018-02, </w:t>
      </w:r>
      <w:r>
        <w:rPr>
          <w:rFonts w:ascii="Arial" w:cs="Arial" w:eastAsia="Arial" w:hAnsi="Arial"/>
          <w:sz w:val="18"/>
          <w:szCs w:val="18"/>
          <w:i w:val="1"/>
          <w:iCs w:val="1"/>
          <w:color w:val="auto"/>
        </w:rPr>
        <w:t>Reclassification of Certain Tax Effects from 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("ASU 2018-02"). The adoption of ASU 2018-02 allowed the Company to move "stranded" tax amounts from its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loss to retained earnings. The effect of the adoption of ASU 2018-02 was not material to the Company's financial position and did not have an effect on the Company's consolidated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37"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its licensees. Disaggregated revenues from these sources for the second quarter and two quarters ended fiscal 2019 and 2018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7"/>
          </w:tcPr>
          <w:p>
            <w:pPr>
              <w:ind w:left="200"/>
              <w:spacing w:after="0"/>
              <w:rPr>
                <w:sz w:val="20"/>
                <w:szCs w:val="20"/>
                <w:color w:val="auto"/>
              </w:rPr>
            </w:pPr>
            <w:r>
              <w:rPr>
                <w:rFonts w:ascii="Arial" w:cs="Arial" w:eastAsia="Arial" w:hAnsi="Arial"/>
                <w:sz w:val="16"/>
                <w:szCs w:val="16"/>
                <w:b w:val="1"/>
                <w:bCs w:val="1"/>
                <w:color w:val="auto"/>
              </w:rPr>
              <w:t>Fiscal quarter ended June 29, 2019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40" w:type="dxa"/>
            <w:vAlign w:val="bottom"/>
          </w:tcPr>
          <w:p>
            <w:pPr>
              <w:jc w:val="right"/>
              <w:ind w:right="269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220" w:type="dxa"/>
            <w:vAlign w:val="bottom"/>
          </w:tcPr>
          <w:p>
            <w:pPr>
              <w:spacing w:after="0"/>
              <w:rPr>
                <w:sz w:val="17"/>
                <w:szCs w:val="17"/>
                <w:color w:val="auto"/>
              </w:rPr>
            </w:pPr>
          </w:p>
        </w:tc>
        <w:tc>
          <w:tcPr>
            <w:tcW w:w="1620" w:type="dxa"/>
            <w:vAlign w:val="bottom"/>
            <w:gridSpan w:val="4"/>
          </w:tcPr>
          <w:p>
            <w:pPr>
              <w:ind w:left="120"/>
              <w:spacing w:after="0"/>
              <w:rPr>
                <w:sz w:val="20"/>
                <w:szCs w:val="20"/>
                <w:color w:val="auto"/>
              </w:rPr>
            </w:pPr>
            <w:r>
              <w:rPr>
                <w:rFonts w:ascii="Arial" w:cs="Arial" w:eastAsia="Arial" w:hAnsi="Arial"/>
                <w:sz w:val="16"/>
                <w:szCs w:val="16"/>
                <w:b w:val="1"/>
                <w:bCs w:val="1"/>
                <w:color w:val="auto"/>
              </w:rPr>
              <w:t>U.S. Wholesale</w:t>
            </w:r>
          </w:p>
        </w:tc>
        <w:tc>
          <w:tcPr>
            <w:tcW w:w="38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Pr>
          <w:p>
            <w:pPr>
              <w:spacing w:after="0"/>
              <w:rPr>
                <w:sz w:val="17"/>
                <w:szCs w:val="17"/>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48"/>
        </w:trPr>
        <w:tc>
          <w:tcPr>
            <w:tcW w:w="4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229,091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24,742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253,833</w:t>
            </w:r>
          </w:p>
        </w:tc>
      </w:tr>
      <w:tr>
        <w:trPr>
          <w:trHeight w:val="237"/>
        </w:trPr>
        <w:tc>
          <w:tcPr>
            <w:tcW w:w="424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423,128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57,423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480,551</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423,128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229,091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82,165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734,384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4,452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4,162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9,635</w:t>
            </w:r>
          </w:p>
        </w:tc>
      </w:tr>
      <w:tr>
        <w:trPr>
          <w:trHeight w:val="33"/>
        </w:trPr>
        <w:tc>
          <w:tcPr>
            <w:tcW w:w="4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7"/>
          </w:tcPr>
          <w:p>
            <w:pPr>
              <w:ind w:left="40"/>
              <w:spacing w:after="0"/>
              <w:rPr>
                <w:sz w:val="20"/>
                <w:szCs w:val="20"/>
                <w:color w:val="auto"/>
              </w:rPr>
            </w:pPr>
            <w:r>
              <w:rPr>
                <w:rFonts w:ascii="Arial" w:cs="Arial" w:eastAsia="Arial" w:hAnsi="Arial"/>
                <w:sz w:val="16"/>
                <w:szCs w:val="16"/>
                <w:b w:val="1"/>
                <w:bCs w:val="1"/>
                <w:color w:val="auto"/>
              </w:rPr>
              <w:t>Two fiscal quarters ended June 29, 2019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4220" w:type="dxa"/>
            <w:vAlign w:val="bottom"/>
          </w:tcPr>
          <w:p>
            <w:pPr>
              <w:jc w:val="right"/>
              <w:ind w:right="2679"/>
              <w:spacing w:after="0"/>
              <w:rPr>
                <w:sz w:val="20"/>
                <w:szCs w:val="20"/>
                <w:color w:val="auto"/>
              </w:rPr>
            </w:pPr>
            <w:r>
              <w:rPr>
                <w:rFonts w:ascii="Arial" w:cs="Arial" w:eastAsia="Arial" w:hAnsi="Arial"/>
                <w:sz w:val="16"/>
                <w:szCs w:val="16"/>
                <w:i w:val="1"/>
                <w:iCs w:val="1"/>
                <w:color w:val="auto"/>
                <w:w w:val="94"/>
              </w:rPr>
              <w:t>(dollars in thousands)</w:t>
            </w:r>
          </w:p>
        </w:tc>
        <w:tc>
          <w:tcPr>
            <w:tcW w:w="48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30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38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Pr>
          <w:p>
            <w:pPr>
              <w:spacing w:after="0"/>
              <w:rPr>
                <w:sz w:val="17"/>
                <w:szCs w:val="17"/>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Total</w:t>
            </w:r>
          </w:p>
        </w:tc>
      </w:tr>
      <w:tr>
        <w:trPr>
          <w:trHeight w:val="48"/>
        </w:trPr>
        <w:tc>
          <w:tcPr>
            <w:tcW w:w="4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4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Wholesale channel</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504,458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569,988</w:t>
            </w:r>
          </w:p>
        </w:tc>
      </w:tr>
      <w:tr>
        <w:trPr>
          <w:trHeight w:val="237"/>
        </w:trPr>
        <w:tc>
          <w:tcPr>
            <w:tcW w:w="4220" w:type="dxa"/>
            <w:vAlign w:val="bottom"/>
          </w:tcPr>
          <w:p>
            <w:pPr>
              <w:jc w:val="right"/>
              <w:ind w:right="79"/>
              <w:spacing w:after="0"/>
              <w:rPr>
                <w:sz w:val="20"/>
                <w:szCs w:val="20"/>
                <w:color w:val="auto"/>
              </w:rPr>
            </w:pPr>
            <w:r>
              <w:rPr>
                <w:rFonts w:ascii="Arial" w:cs="Arial" w:eastAsia="Arial" w:hAnsi="Arial"/>
                <w:sz w:val="16"/>
                <w:szCs w:val="16"/>
                <w:color w:val="auto"/>
              </w:rPr>
              <w:t>Direct-to-consumer</w:t>
            </w:r>
          </w:p>
        </w:tc>
        <w:tc>
          <w:tcPr>
            <w:tcW w:w="480" w:type="dxa"/>
            <w:vAlign w:val="bottom"/>
          </w:tcPr>
          <w:p>
            <w:pPr>
              <w:spacing w:after="0"/>
              <w:rPr>
                <w:sz w:val="20"/>
                <w:szCs w:val="20"/>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800,182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105,272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6"/>
                <w:szCs w:val="16"/>
                <w:color w:val="auto"/>
              </w:rPr>
              <w:t>905,454</w:t>
            </w:r>
          </w:p>
        </w:tc>
      </w:tr>
      <w:tr>
        <w:trPr>
          <w:trHeight w:val="33"/>
        </w:trPr>
        <w:tc>
          <w:tcPr>
            <w:tcW w:w="4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4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800,182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504,458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170,802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1,475,442</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7"/>
        </w:trPr>
        <w:tc>
          <w:tcPr>
            <w:tcW w:w="4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Royalty income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6,443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10,012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18,179</w:t>
            </w:r>
          </w:p>
        </w:tc>
      </w:tr>
      <w:tr>
        <w:trPr>
          <w:trHeight w:val="33"/>
        </w:trPr>
        <w:tc>
          <w:tcPr>
            <w:tcW w:w="4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8"/>
          </w:tcPr>
          <w:p>
            <w:pPr>
              <w:ind w:left="200"/>
              <w:spacing w:after="0"/>
              <w:rPr>
                <w:sz w:val="20"/>
                <w:szCs w:val="20"/>
                <w:color w:val="auto"/>
              </w:rPr>
            </w:pPr>
            <w:r>
              <w:rPr>
                <w:rFonts w:ascii="Arial" w:cs="Arial" w:eastAsia="Arial" w:hAnsi="Arial"/>
                <w:sz w:val="16"/>
                <w:szCs w:val="16"/>
                <w:b w:val="1"/>
                <w:bCs w:val="1"/>
                <w:color w:val="auto"/>
              </w:rPr>
              <w:t>Fiscal quarter ended June 30, 2018</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20" w:type="dxa"/>
            <w:vAlign w:val="bottom"/>
          </w:tcPr>
          <w:p>
            <w:pPr>
              <w:jc w:val="right"/>
              <w:ind w:right="267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34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7"/>
                <w:szCs w:val="17"/>
                <w:color w:val="auto"/>
              </w:rPr>
            </w:pPr>
          </w:p>
        </w:tc>
        <w:tc>
          <w:tcPr>
            <w:tcW w:w="1560" w:type="dxa"/>
            <w:vAlign w:val="bottom"/>
            <w:gridSpan w:val="4"/>
          </w:tcPr>
          <w:p>
            <w:pPr>
              <w:ind w:left="140"/>
              <w:spacing w:after="0"/>
              <w:rPr>
                <w:sz w:val="20"/>
                <w:szCs w:val="20"/>
                <w:color w:val="auto"/>
              </w:rPr>
            </w:pPr>
            <w:r>
              <w:rPr>
                <w:rFonts w:ascii="Arial" w:cs="Arial" w:eastAsia="Arial" w:hAnsi="Arial"/>
                <w:sz w:val="16"/>
                <w:szCs w:val="16"/>
                <w:b w:val="1"/>
                <w:bCs w:val="1"/>
                <w:color w:val="auto"/>
              </w:rPr>
              <w:t>International</w:t>
            </w:r>
          </w:p>
        </w:tc>
        <w:tc>
          <w:tcPr>
            <w:tcW w:w="66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88"/>
              </w:rPr>
              <w:t>Total</w:t>
            </w:r>
          </w:p>
        </w:tc>
      </w:tr>
      <w:tr>
        <w:trPr>
          <w:trHeight w:val="48"/>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209,476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25,169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234,645</w:t>
            </w:r>
          </w:p>
        </w:tc>
      </w:tr>
      <w:tr>
        <w:trPr>
          <w:trHeight w:val="237"/>
        </w:trPr>
        <w:tc>
          <w:tcPr>
            <w:tcW w:w="422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402,021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59,531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461,552</w:t>
            </w:r>
          </w:p>
        </w:tc>
      </w:tr>
      <w:tr>
        <w:trPr>
          <w:trHeight w:val="33"/>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402,021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209,476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84,700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696,197</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4,957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10,355</w:t>
            </w:r>
          </w:p>
        </w:tc>
      </w:tr>
      <w:tr>
        <w:trPr>
          <w:trHeight w:val="33"/>
        </w:trPr>
        <w:tc>
          <w:tcPr>
            <w:tcW w:w="4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7"/>
          </w:tcPr>
          <w:p>
            <w:pPr>
              <w:ind w:left="40"/>
              <w:spacing w:after="0"/>
              <w:rPr>
                <w:sz w:val="20"/>
                <w:szCs w:val="20"/>
                <w:color w:val="auto"/>
              </w:rPr>
            </w:pPr>
            <w:r>
              <w:rPr>
                <w:rFonts w:ascii="Arial" w:cs="Arial" w:eastAsia="Arial" w:hAnsi="Arial"/>
                <w:sz w:val="16"/>
                <w:szCs w:val="16"/>
                <w:b w:val="1"/>
                <w:bCs w:val="1"/>
                <w:color w:val="auto"/>
              </w:rPr>
              <w:t>Two fiscal quarters ended June 30, 2018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4220" w:type="dxa"/>
            <w:vAlign w:val="bottom"/>
          </w:tcPr>
          <w:p>
            <w:pPr>
              <w:jc w:val="right"/>
              <w:ind w:right="2679"/>
              <w:spacing w:after="0"/>
              <w:rPr>
                <w:sz w:val="20"/>
                <w:szCs w:val="20"/>
                <w:color w:val="auto"/>
              </w:rPr>
            </w:pPr>
            <w:r>
              <w:rPr>
                <w:rFonts w:ascii="Arial" w:cs="Arial" w:eastAsia="Arial" w:hAnsi="Arial"/>
                <w:sz w:val="16"/>
                <w:szCs w:val="16"/>
                <w:i w:val="1"/>
                <w:iCs w:val="1"/>
                <w:color w:val="auto"/>
                <w:w w:val="94"/>
              </w:rPr>
              <w:t>(dollars in thousands)</w:t>
            </w:r>
          </w:p>
        </w:tc>
        <w:tc>
          <w:tcPr>
            <w:tcW w:w="48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30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38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Pr>
          <w:p>
            <w:pPr>
              <w:spacing w:after="0"/>
              <w:rPr>
                <w:sz w:val="17"/>
                <w:szCs w:val="17"/>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Total</w:t>
            </w:r>
          </w:p>
        </w:tc>
      </w:tr>
      <w:tr>
        <w:trPr>
          <w:trHeight w:val="48"/>
        </w:trPr>
        <w:tc>
          <w:tcPr>
            <w:tcW w:w="4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4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Wholesale channel</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490,309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553,191</w:t>
            </w:r>
          </w:p>
        </w:tc>
      </w:tr>
      <w:tr>
        <w:trPr>
          <w:trHeight w:val="237"/>
        </w:trPr>
        <w:tc>
          <w:tcPr>
            <w:tcW w:w="40" w:type="dxa"/>
            <w:vAlign w:val="bottom"/>
          </w:tcPr>
          <w:p>
            <w:pPr>
              <w:spacing w:after="0"/>
              <w:rPr>
                <w:sz w:val="20"/>
                <w:szCs w:val="20"/>
                <w:color w:val="auto"/>
              </w:rPr>
            </w:pPr>
          </w:p>
        </w:tc>
        <w:tc>
          <w:tcPr>
            <w:tcW w:w="4220" w:type="dxa"/>
            <w:vAlign w:val="bottom"/>
          </w:tcPr>
          <w:p>
            <w:pPr>
              <w:jc w:val="right"/>
              <w:ind w:right="79"/>
              <w:spacing w:after="0"/>
              <w:rPr>
                <w:sz w:val="20"/>
                <w:szCs w:val="20"/>
                <w:color w:val="auto"/>
              </w:rPr>
            </w:pPr>
            <w:r>
              <w:rPr>
                <w:rFonts w:ascii="Arial" w:cs="Arial" w:eastAsia="Arial" w:hAnsi="Arial"/>
                <w:sz w:val="16"/>
                <w:szCs w:val="16"/>
                <w:color w:val="auto"/>
              </w:rPr>
              <w:t>Direct-to-consumer</w:t>
            </w:r>
          </w:p>
        </w:tc>
        <w:tc>
          <w:tcPr>
            <w:tcW w:w="480" w:type="dxa"/>
            <w:vAlign w:val="bottom"/>
          </w:tcPr>
          <w:p>
            <w:pPr>
              <w:spacing w:after="0"/>
              <w:rPr>
                <w:sz w:val="20"/>
                <w:szCs w:val="20"/>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785,762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113,030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6"/>
                <w:szCs w:val="16"/>
                <w:color w:val="auto"/>
              </w:rPr>
              <w:t>898,792</w:t>
            </w:r>
          </w:p>
        </w:tc>
      </w:tr>
      <w:tr>
        <w:trPr>
          <w:trHeight w:val="33"/>
        </w:trPr>
        <w:tc>
          <w:tcPr>
            <w:tcW w:w="4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785,762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490,309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175,912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1,451,983</w:t>
            </w:r>
          </w:p>
        </w:tc>
      </w:tr>
      <w:tr>
        <w:trPr>
          <w:trHeight w:val="20"/>
        </w:trPr>
        <w:tc>
          <w:tcPr>
            <w:tcW w:w="4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Royalty income</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10,802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18,349</w:t>
            </w:r>
          </w:p>
        </w:tc>
      </w:tr>
      <w:tr>
        <w:trPr>
          <w:trHeight w:val="513"/>
        </w:trPr>
        <w:tc>
          <w:tcPr>
            <w:tcW w:w="4260" w:type="dxa"/>
            <w:vAlign w:val="bottom"/>
            <w:gridSpan w:val="2"/>
          </w:tcPr>
          <w:p>
            <w:pPr>
              <w:jc w:val="right"/>
              <w:ind w:right="179"/>
              <w:spacing w:after="0"/>
              <w:rPr>
                <w:sz w:val="20"/>
                <w:szCs w:val="20"/>
                <w:color w:val="auto"/>
              </w:rPr>
            </w:pPr>
            <w:r>
              <w:rPr>
                <w:rFonts w:ascii="Arial" w:cs="Arial" w:eastAsia="Arial" w:hAnsi="Arial"/>
                <w:sz w:val="18"/>
                <w:szCs w:val="18"/>
                <w:b w:val="1"/>
                <w:bCs w:val="1"/>
                <w:color w:val="auto"/>
                <w:w w:val="87"/>
              </w:rPr>
              <w:t>Accounts Receivable from Customers and Licensees</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29, 2019</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29, 2018</w:t>
            </w:r>
          </w:p>
        </w:tc>
        <w:tc>
          <w:tcPr>
            <w:tcW w:w="320" w:type="dxa"/>
            <w:vAlign w:val="bottom"/>
          </w:tcPr>
          <w:p>
            <w:pPr>
              <w:spacing w:after="0"/>
              <w:rPr>
                <w:sz w:val="18"/>
                <w:szCs w:val="18"/>
                <w:color w:val="auto"/>
              </w:rPr>
            </w:pPr>
          </w:p>
        </w:tc>
        <w:tc>
          <w:tcPr>
            <w:tcW w:w="1720" w:type="dxa"/>
            <w:vAlign w:val="bottom"/>
          </w:tcPr>
          <w:p>
            <w:pPr>
              <w:jc w:val="right"/>
              <w:ind w:right="459"/>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receivables from wholesale customers,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157,808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138,952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Royalties receivable</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8,469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9,279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8,824</w:t>
            </w: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12,168</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 gross receivables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178,550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270,125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159,944</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Wholesale accounts receivable reserves</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(10,374)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(11,866)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(7,427)</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258,259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152,517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37" w:right="239" w:bottom="1440" w:gutter="0" w:footer="0" w:header="0"/>
          <w:type w:val="continuous"/>
        </w:sectPr>
      </w:pPr>
    </w:p>
    <w:bookmarkStart w:id="11" w:name="page12"/>
    <w:bookmarkEnd w:id="11"/>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8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the customer and has a future obligation to transfer goods to the customer. Total contract liabilities consisted of the following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29, 2019</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29, 2018</w:t>
            </w:r>
          </w:p>
        </w:tc>
        <w:tc>
          <w:tcPr>
            <w:tcW w:w="320" w:type="dxa"/>
            <w:vAlign w:val="bottom"/>
          </w:tcPr>
          <w:p>
            <w:pPr>
              <w:spacing w:after="0"/>
              <w:rPr>
                <w:sz w:val="18"/>
                <w:szCs w:val="18"/>
                <w:color w:val="auto"/>
              </w:rPr>
            </w:pPr>
          </w:p>
        </w:tc>
        <w:tc>
          <w:tcPr>
            <w:tcW w:w="1720" w:type="dxa"/>
            <w:vAlign w:val="bottom"/>
          </w:tcPr>
          <w:p>
            <w:pPr>
              <w:jc w:val="right"/>
              <w:ind w:right="459"/>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liabilities - current:</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Unredeemed gift cards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13,804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14,471</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11,072</w:t>
            </w: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Unredeemed customer loyalty rewards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6,164</w:t>
            </w:r>
          </w:p>
        </w:tc>
      </w:tr>
      <w:tr>
        <w:trPr>
          <w:trHeight w:val="27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Private label credit card - signing bonus</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20,128</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22,949</w:t>
            </w: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17,236</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500" w:right="40" w:hanging="492"/>
        <w:spacing w:after="0" w:line="273"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Private label credit card - signing bonus - reflects the amount that the Company received as an upfront signing bonus from the third-party financial institution for the private label credit card program. The amount is recognized as revenue on a straight-line basis over the term of the agreement.</w:t>
      </w:r>
    </w:p>
    <w:p>
      <w:pPr>
        <w:spacing w:after="0" w:line="38" w:lineRule="exact"/>
        <w:rPr>
          <w:rFonts w:ascii="Arial" w:cs="Arial" w:eastAsia="Arial" w:hAnsi="Arial"/>
          <w:sz w:val="14"/>
          <w:szCs w:val="14"/>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contract liabilities are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operating leases for retail stores, distribution centers, corporate offices, data centers, and certain equipment. Our leases have remaining lease terms of 1 year to 20 years, some of which may include options to extend the leases for up to 5 years, and some of which may include options to early terminate the lease.</w:t>
      </w:r>
    </w:p>
    <w:p>
      <w:pPr>
        <w:spacing w:after="0" w:line="1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29, 2019, the Company's finance leases were not material to the consolidated balance sheets, consolidated statements of operations or statement of cash flows.</w:t>
      </w:r>
    </w:p>
    <w:p>
      <w:pPr>
        <w:spacing w:after="0" w:line="1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 for the second quarter and two quarters of fiscal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Fiscal quarter ended</w:t>
            </w:r>
          </w:p>
        </w:tc>
        <w:tc>
          <w:tcPr>
            <w:tcW w:w="200" w:type="dxa"/>
            <w:vAlign w:val="bottom"/>
          </w:tcPr>
          <w:p>
            <w:pPr>
              <w:spacing w:after="0"/>
              <w:rPr>
                <w:sz w:val="18"/>
                <w:szCs w:val="18"/>
                <w:color w:val="auto"/>
              </w:rPr>
            </w:pPr>
          </w:p>
        </w:tc>
        <w:tc>
          <w:tcPr>
            <w:tcW w:w="218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Two fiscal quarters ended</w:t>
            </w:r>
          </w:p>
        </w:tc>
      </w:tr>
      <w:tr>
        <w:trPr>
          <w:trHeight w:val="33"/>
        </w:trPr>
        <w:tc>
          <w:tcPr>
            <w:tcW w:w="6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29, 2019</w:t>
            </w:r>
          </w:p>
        </w:tc>
        <w:tc>
          <w:tcPr>
            <w:tcW w:w="200" w:type="dxa"/>
            <w:vAlign w:val="bottom"/>
          </w:tcPr>
          <w:p>
            <w:pPr>
              <w:spacing w:after="0"/>
              <w:rPr>
                <w:sz w:val="18"/>
                <w:szCs w:val="18"/>
                <w:color w:val="auto"/>
              </w:rPr>
            </w:pPr>
          </w:p>
        </w:tc>
        <w:tc>
          <w:tcPr>
            <w:tcW w:w="2180" w:type="dxa"/>
            <w:vAlign w:val="bottom"/>
          </w:tcPr>
          <w:p>
            <w:pPr>
              <w:jc w:val="right"/>
              <w:ind w:right="639"/>
              <w:spacing w:after="0"/>
              <w:rPr>
                <w:sz w:val="20"/>
                <w:szCs w:val="20"/>
                <w:color w:val="auto"/>
              </w:rPr>
            </w:pPr>
            <w:r>
              <w:rPr>
                <w:rFonts w:ascii="Arial" w:cs="Arial" w:eastAsia="Arial" w:hAnsi="Arial"/>
                <w:sz w:val="16"/>
                <w:szCs w:val="16"/>
                <w:b w:val="1"/>
                <w:bCs w:val="1"/>
                <w:color w:val="auto"/>
              </w:rPr>
              <w:t>June 29, 2019</w:t>
            </w:r>
          </w:p>
        </w:tc>
      </w:tr>
      <w:tr>
        <w:trPr>
          <w:trHeight w:val="33"/>
        </w:trPr>
        <w:tc>
          <w:tcPr>
            <w:tcW w:w="6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87,907</w:t>
            </w:r>
          </w:p>
        </w:tc>
      </w:tr>
      <w:tr>
        <w:trPr>
          <w:trHeight w:val="270"/>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w:t>
            </w:r>
          </w:p>
        </w:tc>
        <w:tc>
          <w:tcPr>
            <w:tcW w:w="2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14,753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31,201</w:t>
            </w: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lease cost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119,108</w:t>
            </w: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June 29, 2019, the weighted-average remaining operating lease term was 6.2 years and the weighted-average discount rate for operating leases was 4.45%.</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the second quarter and two quarters of fiscal 2019 was $47.9 million and $95.2 million,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9720" w:type="dxa"/>
            <w:vAlign w:val="bottom"/>
          </w:tcPr>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9720" w:type="dxa"/>
            <w:vAlign w:val="bottom"/>
          </w:tcPr>
          <w:p>
            <w:pPr>
              <w:spacing w:after="0"/>
              <w:rPr>
                <w:sz w:val="20"/>
                <w:szCs w:val="20"/>
                <w:color w:val="auto"/>
              </w:rPr>
            </w:pPr>
            <w:r>
              <w:rPr>
                <w:rFonts w:ascii="Arial" w:cs="Arial" w:eastAsia="Arial" w:hAnsi="Arial"/>
                <w:sz w:val="18"/>
                <w:szCs w:val="18"/>
                <w:color w:val="auto"/>
              </w:rPr>
              <w:t>As of June 29, 2019, the maturities of lease liabilities were as follows: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40"/>
        </w:trPr>
        <w:tc>
          <w:tcPr>
            <w:tcW w:w="9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4"/>
                <w:szCs w:val="24"/>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Operating leases</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Remainder of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95,860</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182,166</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164,884</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142,413</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117,871</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After 2023</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268,026</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971,220</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Less: Interest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(127,851)</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lease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843,369</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12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 We used the incremental borrowing rate on December 30, 2018, for operating leases that commenced prior to that date.</w:t>
      </w:r>
    </w:p>
    <w:p>
      <w:pPr>
        <w:spacing w:after="0" w:line="13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As of June 29, 2019, the minimum rental commitments for additional operating lease contracts that have not yet commenced, primarily for retail stores, is $33.9 million. These operating leases will commence between fiscal year 2019 and fiscal year 2023 with lease terms of 5 years to 10 years.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29, 2018, the minimum annual rental commitments under current non-cancellable operating leases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Operating leases</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163,963</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150,010</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134,203</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116,773</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102,487</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235,731</w:t>
            </w:r>
          </w:p>
        </w:tc>
      </w:tr>
      <w:tr>
        <w:trPr>
          <w:trHeight w:val="3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903,167</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29, 2019</w:t>
            </w: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29, 2018</w:t>
            </w:r>
          </w:p>
        </w:tc>
        <w:tc>
          <w:tcPr>
            <w:tcW w:w="300" w:type="dxa"/>
            <w:vAlign w:val="bottom"/>
          </w:tcPr>
          <w:p>
            <w:pPr>
              <w:spacing w:after="0"/>
              <w:rPr>
                <w:sz w:val="18"/>
                <w:szCs w:val="18"/>
                <w:color w:val="auto"/>
              </w:rPr>
            </w:pPr>
          </w:p>
        </w:tc>
        <w:tc>
          <w:tcPr>
            <w:tcW w:w="162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foreign currency translation adjustments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(27,724)</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Pension and post-retirement obligations(*)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(9,375)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(7,875)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(7,808)</w:t>
            </w:r>
          </w:p>
        </w:tc>
      </w:tr>
      <w:tr>
        <w:trPr>
          <w:trHeight w:val="33"/>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accumulated other comprehensive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(35,532)</w:t>
            </w: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income taxes of $2.9 million, $4.4 million, and $4.4 million, respectively.</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first two quarters of both fiscal 2019 and fiscal 2018, no amounts were reclassified from accumulated other comprehensive loss to the statement of operations.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3" w:name="page14"/>
    <w:bookmarkEnd w:id="13"/>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intangible assets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June 29, 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29, 2018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 useful</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amount</w:t>
            </w:r>
          </w:p>
        </w:tc>
        <w:tc>
          <w:tcPr>
            <w:tcW w:w="1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100"/>
              <w:spacing w:after="0"/>
              <w:rPr>
                <w:sz w:val="20"/>
                <w:szCs w:val="20"/>
                <w:color w:val="auto"/>
              </w:rPr>
            </w:pPr>
            <w:r>
              <w:rPr>
                <w:rFonts w:ascii="Arial" w:cs="Arial" w:eastAsia="Arial" w:hAnsi="Arial"/>
                <w:sz w:val="16"/>
                <w:szCs w:val="16"/>
                <w:b w:val="1"/>
                <w:bCs w:val="1"/>
                <w:color w:val="auto"/>
              </w:rPr>
              <w:t>Net amount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6"/>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Carter's goodwill</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136,570</w:t>
            </w: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Canada goodwill</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40,496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40,496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38,869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38,869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goodwill</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45,960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Carter's Mexico goodwill</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5,834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5,834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5,702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228,860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228,860</w:t>
            </w:r>
          </w:p>
        </w:tc>
        <w:tc>
          <w:tcPr>
            <w:tcW w:w="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227,101</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Carter's tradename</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220,233</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OshKosh tradename</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85,500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tradename</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Finite-life tradenames</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5-20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3,034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3,911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3,159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366,444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62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365,567</w:t>
            </w:r>
          </w:p>
        </w:tc>
        <w:tc>
          <w:tcPr>
            <w:tcW w:w="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366,444</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365,692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15 years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7,068</w:t>
            </w:r>
          </w:p>
        </w:tc>
        <w:tc>
          <w:tcPr>
            <w:tcW w:w="62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40,232</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41,820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7"/>
              </w:rPr>
              <w:t>Carter's Mexico customer relationships</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10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50,509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7,684</w:t>
            </w:r>
          </w:p>
        </w:tc>
        <w:tc>
          <w:tcPr>
            <w:tcW w:w="62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42,825</w:t>
            </w:r>
          </w:p>
        </w:tc>
        <w:tc>
          <w:tcPr>
            <w:tcW w:w="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50,446</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44,511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June 30, 2018</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gridSpan w:val="6"/>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91"/>
              </w:rPr>
              <w:t>Weighted-average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88"/>
              </w:rPr>
              <w:t>useful life</w:t>
            </w:r>
          </w:p>
        </w:tc>
        <w:tc>
          <w:tcPr>
            <w:tcW w:w="60" w:type="dxa"/>
            <w:vAlign w:val="bottom"/>
          </w:tcPr>
          <w:p>
            <w:pPr>
              <w:spacing w:after="0"/>
              <w:rPr>
                <w:sz w:val="18"/>
                <w:szCs w:val="18"/>
                <w:color w:val="auto"/>
              </w:rPr>
            </w:pPr>
          </w:p>
        </w:tc>
        <w:tc>
          <w:tcPr>
            <w:tcW w:w="1160" w:type="dxa"/>
            <w:vAlign w:val="bottom"/>
            <w:gridSpan w:val="4"/>
          </w:tcPr>
          <w:p>
            <w:pPr>
              <w:ind w:left="40"/>
              <w:spacing w:after="0"/>
              <w:rPr>
                <w:sz w:val="20"/>
                <w:szCs w:val="20"/>
                <w:color w:val="auto"/>
              </w:rPr>
            </w:pPr>
            <w:r>
              <w:rPr>
                <w:rFonts w:ascii="Arial" w:cs="Arial" w:eastAsia="Arial" w:hAnsi="Arial"/>
                <w:sz w:val="16"/>
                <w:szCs w:val="16"/>
                <w:b w:val="1"/>
                <w:bCs w:val="1"/>
                <w:color w:val="auto"/>
              </w:rPr>
              <w:t>Gross 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goodwill</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5"/>
            <w:shd w:val="clear" w:color="auto" w:fill="CCEEFF"/>
          </w:tcPr>
          <w:p>
            <w:pPr>
              <w:jc w:val="center"/>
              <w:ind w:right="560"/>
              <w:spacing w:after="0"/>
              <w:rPr>
                <w:sz w:val="20"/>
                <w:szCs w:val="20"/>
                <w:color w:val="auto"/>
              </w:rPr>
            </w:pPr>
            <w:r>
              <w:rPr>
                <w:rFonts w:ascii="Arial" w:cs="Arial" w:eastAsia="Arial" w:hAnsi="Arial"/>
                <w:sz w:val="16"/>
                <w:szCs w:val="16"/>
                <w:color w:val="auto"/>
                <w:w w:val="95"/>
              </w:rPr>
              <w:t>Indefinite</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0" w:type="dxa"/>
            <w:vAlign w:val="bottom"/>
          </w:tcPr>
          <w:p>
            <w:pPr>
              <w:spacing w:after="0"/>
              <w:rPr>
                <w:sz w:val="1"/>
                <w:szCs w:val="1"/>
                <w:color w:val="auto"/>
              </w:rPr>
            </w:pPr>
          </w:p>
        </w:tc>
      </w:tr>
      <w:tr>
        <w:trPr>
          <w:trHeight w:val="237"/>
        </w:trPr>
        <w:tc>
          <w:tcPr>
            <w:tcW w:w="2740" w:type="dxa"/>
            <w:vAlign w:val="bottom"/>
          </w:tcPr>
          <w:p>
            <w:pPr>
              <w:ind w:left="60"/>
              <w:spacing w:after="0"/>
              <w:rPr>
                <w:sz w:val="20"/>
                <w:szCs w:val="20"/>
                <w:color w:val="auto"/>
              </w:rPr>
            </w:pPr>
            <w:r>
              <w:rPr>
                <w:rFonts w:ascii="Arial" w:cs="Arial" w:eastAsia="Arial" w:hAnsi="Arial"/>
                <w:sz w:val="16"/>
                <w:szCs w:val="16"/>
                <w:color w:val="auto"/>
              </w:rPr>
              <w:t>Canada goodwill</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5"/>
          </w:tcPr>
          <w:p>
            <w:pPr>
              <w:jc w:val="center"/>
              <w:ind w:right="560"/>
              <w:spacing w:after="0"/>
              <w:rPr>
                <w:sz w:val="20"/>
                <w:szCs w:val="20"/>
                <w:color w:val="auto"/>
              </w:rPr>
            </w:pPr>
            <w:r>
              <w:rPr>
                <w:rFonts w:ascii="Arial" w:cs="Arial" w:eastAsia="Arial" w:hAnsi="Arial"/>
                <w:sz w:val="16"/>
                <w:szCs w:val="16"/>
                <w:color w:val="auto"/>
                <w:w w:val="95"/>
              </w:rPr>
              <w:t>Indefinite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40,367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40,367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Skip Hop goodwill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5"/>
            <w:shd w:val="clear" w:color="auto" w:fill="CCEEFF"/>
          </w:tcPr>
          <w:p>
            <w:pPr>
              <w:jc w:val="center"/>
              <w:ind w:right="560"/>
              <w:spacing w:after="0"/>
              <w:rPr>
                <w:sz w:val="20"/>
                <w:szCs w:val="20"/>
                <w:color w:val="auto"/>
              </w:rPr>
            </w:pPr>
            <w:r>
              <w:rPr>
                <w:rFonts w:ascii="Arial" w:cs="Arial" w:eastAsia="Arial" w:hAnsi="Arial"/>
                <w:sz w:val="16"/>
                <w:szCs w:val="16"/>
                <w:color w:val="auto"/>
                <w:w w:val="95"/>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45,984</w:t>
            </w:r>
          </w:p>
        </w:tc>
        <w:tc>
          <w:tcPr>
            <w:tcW w:w="0" w:type="dxa"/>
            <w:vAlign w:val="bottom"/>
          </w:tcPr>
          <w:p>
            <w:pPr>
              <w:spacing w:after="0"/>
              <w:rPr>
                <w:sz w:val="1"/>
                <w:szCs w:val="1"/>
                <w:color w:val="auto"/>
              </w:rPr>
            </w:pPr>
          </w:p>
        </w:tc>
      </w:tr>
      <w:tr>
        <w:trPr>
          <w:trHeight w:val="237"/>
        </w:trPr>
        <w:tc>
          <w:tcPr>
            <w:tcW w:w="2740" w:type="dxa"/>
            <w:vAlign w:val="bottom"/>
          </w:tcPr>
          <w:p>
            <w:pPr>
              <w:ind w:left="60"/>
              <w:spacing w:after="0"/>
              <w:rPr>
                <w:sz w:val="20"/>
                <w:szCs w:val="20"/>
                <w:color w:val="auto"/>
              </w:rPr>
            </w:pPr>
            <w:r>
              <w:rPr>
                <w:rFonts w:ascii="Arial" w:cs="Arial" w:eastAsia="Arial" w:hAnsi="Arial"/>
                <w:sz w:val="16"/>
                <w:szCs w:val="16"/>
                <w:color w:val="auto"/>
              </w:rPr>
              <w:t>Carter's Mexico goodwill</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5"/>
          </w:tcPr>
          <w:p>
            <w:pPr>
              <w:jc w:val="center"/>
              <w:ind w:right="560"/>
              <w:spacing w:after="0"/>
              <w:rPr>
                <w:sz w:val="20"/>
                <w:szCs w:val="20"/>
                <w:color w:val="auto"/>
              </w:rPr>
            </w:pPr>
            <w:r>
              <w:rPr>
                <w:rFonts w:ascii="Arial" w:cs="Arial" w:eastAsia="Arial" w:hAnsi="Arial"/>
                <w:sz w:val="16"/>
                <w:szCs w:val="16"/>
                <w:color w:val="auto"/>
                <w:w w:val="95"/>
              </w:rPr>
              <w:t>Indefinite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5,634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5,634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228,555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228,555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tradename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5"/>
            <w:shd w:val="clear" w:color="auto" w:fill="CCEEFF"/>
          </w:tcPr>
          <w:p>
            <w:pPr>
              <w:jc w:val="center"/>
              <w:ind w:right="560"/>
              <w:spacing w:after="0"/>
              <w:rPr>
                <w:sz w:val="20"/>
                <w:szCs w:val="20"/>
                <w:color w:val="auto"/>
              </w:rPr>
            </w:pPr>
            <w:r>
              <w:rPr>
                <w:rFonts w:ascii="Arial" w:cs="Arial" w:eastAsia="Arial" w:hAnsi="Arial"/>
                <w:sz w:val="16"/>
                <w:szCs w:val="16"/>
                <w:color w:val="auto"/>
                <w:w w:val="95"/>
              </w:rPr>
              <w:t>Indefinite</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37"/>
        </w:trPr>
        <w:tc>
          <w:tcPr>
            <w:tcW w:w="2740" w:type="dxa"/>
            <w:vAlign w:val="bottom"/>
          </w:tcPr>
          <w:p>
            <w:pPr>
              <w:ind w:left="60"/>
              <w:spacing w:after="0"/>
              <w:rPr>
                <w:sz w:val="20"/>
                <w:szCs w:val="20"/>
                <w:color w:val="auto"/>
              </w:rPr>
            </w:pPr>
            <w:r>
              <w:rPr>
                <w:rFonts w:ascii="Arial" w:cs="Arial" w:eastAsia="Arial" w:hAnsi="Arial"/>
                <w:sz w:val="16"/>
                <w:szCs w:val="16"/>
                <w:color w:val="auto"/>
              </w:rPr>
              <w:t>OshKosh tradename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5"/>
          </w:tcPr>
          <w:p>
            <w:pPr>
              <w:jc w:val="center"/>
              <w:ind w:right="560"/>
              <w:spacing w:after="0"/>
              <w:rPr>
                <w:sz w:val="20"/>
                <w:szCs w:val="20"/>
                <w:color w:val="auto"/>
              </w:rPr>
            </w:pPr>
            <w:r>
              <w:rPr>
                <w:rFonts w:ascii="Arial" w:cs="Arial" w:eastAsia="Arial" w:hAnsi="Arial"/>
                <w:sz w:val="16"/>
                <w:szCs w:val="16"/>
                <w:color w:val="auto"/>
                <w:w w:val="95"/>
              </w:rPr>
              <w:t>Indefinite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Skip Hop tradename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5"/>
            <w:shd w:val="clear" w:color="auto" w:fill="CCEEFF"/>
          </w:tcPr>
          <w:p>
            <w:pPr>
              <w:jc w:val="center"/>
              <w:ind w:right="560"/>
              <w:spacing w:after="0"/>
              <w:rPr>
                <w:sz w:val="20"/>
                <w:szCs w:val="20"/>
                <w:color w:val="auto"/>
              </w:rPr>
            </w:pPr>
            <w:r>
              <w:rPr>
                <w:rFonts w:ascii="Arial" w:cs="Arial" w:eastAsia="Arial" w:hAnsi="Arial"/>
                <w:sz w:val="16"/>
                <w:szCs w:val="16"/>
                <w:color w:val="auto"/>
                <w:w w:val="95"/>
              </w:rPr>
              <w:t>Indefinite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0" w:type="dxa"/>
            <w:vAlign w:val="bottom"/>
          </w:tcPr>
          <w:p>
            <w:pPr>
              <w:spacing w:after="0"/>
              <w:rPr>
                <w:sz w:val="1"/>
                <w:szCs w:val="1"/>
                <w:color w:val="auto"/>
              </w:rPr>
            </w:pPr>
          </w:p>
        </w:tc>
      </w:tr>
      <w:tr>
        <w:trPr>
          <w:trHeight w:val="237"/>
        </w:trPr>
        <w:tc>
          <w:tcPr>
            <w:tcW w:w="2740" w:type="dxa"/>
            <w:vAlign w:val="bottom"/>
          </w:tcPr>
          <w:p>
            <w:pPr>
              <w:ind w:left="60"/>
              <w:spacing w:after="0"/>
              <w:rPr>
                <w:sz w:val="20"/>
                <w:szCs w:val="20"/>
                <w:color w:val="auto"/>
              </w:rPr>
            </w:pPr>
            <w:r>
              <w:rPr>
                <w:rFonts w:ascii="Arial" w:cs="Arial" w:eastAsia="Arial" w:hAnsi="Arial"/>
                <w:sz w:val="16"/>
                <w:szCs w:val="16"/>
                <w:color w:val="auto"/>
              </w:rPr>
              <w:t>Finite-life tradenames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5"/>
          </w:tcPr>
          <w:p>
            <w:pPr>
              <w:jc w:val="center"/>
              <w:ind w:right="580"/>
              <w:spacing w:after="0"/>
              <w:rPr>
                <w:sz w:val="20"/>
                <w:szCs w:val="20"/>
                <w:color w:val="auto"/>
              </w:rPr>
            </w:pPr>
            <w:r>
              <w:rPr>
                <w:rFonts w:ascii="Arial" w:cs="Arial" w:eastAsia="Arial" w:hAnsi="Arial"/>
                <w:sz w:val="16"/>
                <w:szCs w:val="16"/>
                <w:color w:val="auto"/>
                <w:w w:val="89"/>
              </w:rPr>
              <w:t>5-20 years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20"/>
                <w:szCs w:val="20"/>
                <w:color w:val="auto"/>
              </w:rPr>
            </w:pP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3,284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366,444</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365,817</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3"/>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7"/>
              </w:rPr>
              <w:t>15 years</w:t>
            </w: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43,408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7"/>
              </w:rPr>
              <w:t>Carter's Mexico customer relationships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gridSpan w:val="3"/>
          </w:tcPr>
          <w:p>
            <w:pPr>
              <w:jc w:val="center"/>
              <w:spacing w:after="0"/>
              <w:rPr>
                <w:sz w:val="20"/>
                <w:szCs w:val="20"/>
                <w:color w:val="auto"/>
              </w:rPr>
            </w:pPr>
            <w:r>
              <w:rPr>
                <w:rFonts w:ascii="Arial" w:cs="Arial" w:eastAsia="Arial" w:hAnsi="Arial"/>
                <w:sz w:val="16"/>
                <w:szCs w:val="16"/>
                <w:color w:val="auto"/>
                <w:w w:val="87"/>
              </w:rPr>
              <w:t>10 years</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2,814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50,331</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46,222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subject to amortization was approximately $0.9 million and $0.8 million for the second fiscal quarter ended</w:t>
      </w:r>
    </w:p>
    <w:p>
      <w:pPr>
        <w:spacing w:after="0" w:line="35"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June 29, 2019 and second fiscal quarter ended June 30, 2018, respectively. For the first two quarters of fiscal 2019 and fiscal 2018, amortization expense was approximately $1.9 million and $1.8 million,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9940" w:type="dxa"/>
            <w:vAlign w:val="bottom"/>
          </w:tcPr>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9940" w:type="dxa"/>
            <w:vAlign w:val="bottom"/>
          </w:tcPr>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0"/>
        </w:trPr>
        <w:tc>
          <w:tcPr>
            <w:tcW w:w="99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24"/>
                <w:szCs w:val="24"/>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3,747</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3,705</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3,675</w:t>
            </w:r>
          </w:p>
        </w:tc>
      </w:tr>
      <w:tr>
        <w:trPr>
          <w:trHeight w:val="33"/>
        </w:trPr>
        <w:tc>
          <w:tcPr>
            <w:tcW w:w="9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June 29, 2019 was approximately $300.2 million, based on settled repurchase transactions. The authorizations have no expiration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5"/>
          </w:tcPr>
          <w:p>
            <w:pPr>
              <w:ind w:left="680"/>
              <w:spacing w:after="0"/>
              <w:rPr>
                <w:sz w:val="20"/>
                <w:szCs w:val="20"/>
                <w:color w:val="auto"/>
              </w:rPr>
            </w:pPr>
            <w:r>
              <w:rPr>
                <w:rFonts w:ascii="Arial" w:cs="Arial" w:eastAsia="Arial" w:hAnsi="Arial"/>
                <w:sz w:val="16"/>
                <w:szCs w:val="16"/>
                <w:b w:val="1"/>
                <w:bCs w:val="1"/>
                <w:color w:val="auto"/>
              </w:rPr>
              <w:t>Fiscal quarter ended</w:t>
            </w:r>
          </w:p>
        </w:tc>
        <w:tc>
          <w:tcPr>
            <w:tcW w:w="180" w:type="dxa"/>
            <w:vAlign w:val="bottom"/>
          </w:tcPr>
          <w:p>
            <w:pPr>
              <w:spacing w:after="0"/>
              <w:rPr>
                <w:sz w:val="18"/>
                <w:szCs w:val="18"/>
                <w:color w:val="auto"/>
              </w:rPr>
            </w:pPr>
          </w:p>
        </w:tc>
        <w:tc>
          <w:tcPr>
            <w:tcW w:w="28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Two fiscal quarters ended</w:t>
            </w:r>
          </w:p>
        </w:tc>
      </w:tr>
      <w:tr>
        <w:trPr>
          <w:trHeight w:val="47"/>
        </w:trPr>
        <w:tc>
          <w:tcPr>
            <w:tcW w:w="5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1"/>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29, 2019</w:t>
            </w:r>
          </w:p>
        </w:tc>
        <w:tc>
          <w:tcPr>
            <w:tcW w:w="18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29, 2019</w:t>
            </w:r>
          </w:p>
        </w:tc>
        <w:tc>
          <w:tcPr>
            <w:tcW w:w="18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30, 2018</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repurchased</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545,620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599,314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1,005,877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820,627</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Aggregate cost of shares repurchased (dollars in thousands)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52,477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63,899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92,443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89,093</w:t>
            </w:r>
          </w:p>
        </w:tc>
      </w:tr>
      <w:tr>
        <w:trPr>
          <w:trHeight w:val="33"/>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106.62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108.57</w:t>
            </w:r>
          </w:p>
        </w:tc>
      </w:tr>
      <w:tr>
        <w:trPr>
          <w:trHeight w:val="33"/>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second fiscal and two fiscal quarters ended June 29, 2019, the Company declared and paid cash dividends per share of $0.50 and $1.00, respectively. In the second fiscal and two fiscal quarters ended June 30, 2018, the Company declared and paid cash dividends per share of $0.45 and $0.90, respectively. Future declarations of dividends and the establishment of future record and payment dates are at the discretion of the Company's Board of Directors and are based on a number of factors, including the Company's future financial performance and other investment priorities.</w:t>
      </w:r>
    </w:p>
    <w:p>
      <w:pPr>
        <w:spacing w:after="0" w:line="13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Provisions in the Company's secured revolving credit facility could have the effect of restricting the Company's ability to pay future cash dividends on, or make future repurchases of, its common stock, as described in the Company's Annual Report on Form 10-K for the 2018 fiscal year ended December 29,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29, 2019</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29, 2018</w:t>
            </w:r>
          </w:p>
        </w:tc>
        <w:tc>
          <w:tcPr>
            <w:tcW w:w="300" w:type="dxa"/>
            <w:vAlign w:val="bottom"/>
          </w:tcPr>
          <w:p>
            <w:pPr>
              <w:spacing w:after="0"/>
              <w:rPr>
                <w:sz w:val="18"/>
                <w:szCs w:val="18"/>
                <w:color w:val="auto"/>
              </w:rPr>
            </w:pPr>
          </w:p>
        </w:tc>
        <w:tc>
          <w:tcPr>
            <w:tcW w:w="162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at amounts repayable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unamortized issuance-related costs for senior notes</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(5,623)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(3,222)</w:t>
            </w: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net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494,377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397,264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396,778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Secured revolving credit facility</w:t>
            </w:r>
          </w:p>
        </w:tc>
        <w:tc>
          <w:tcPr>
            <w:tcW w:w="2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196,000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286,000</w:t>
            </w: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long-term debt, net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682,778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June 29, 2019, the Company had $110.0 million in outstanding borrowings under its secured revolving credit facility, exclusive of $5.0 million of outstanding letters of credit. As of June 29, 2019, approximately $635.0 million remained available for future borrowing. All outstanding borrowings under the Company's secured revolving credit facility are classified as non-</w:t>
      </w:r>
    </w:p>
    <w:p>
      <w:pPr>
        <w:sectPr>
          <w:pgSz w:w="11900" w:h="16838" w:orient="portrait"/>
          <w:cols w:equalWidth="0" w:num="1">
            <w:col w:w="11420"/>
          </w:cols>
          <w:pgMar w:left="240" w:top="337"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37"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 on the Company's consolidated balance sheet because of the contractual repayment terms under the credit facility.</w:t>
      </w:r>
    </w:p>
    <w:p>
      <w:pPr>
        <w:spacing w:after="0" w:line="18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 of June 29, 2019, the interest rate margins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4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As of June 29, 2019, U.S. dollar borrowings outstanding under the secured revolving credit facility accrued interest at a LIBOR rate plus the applicable margin, which resulted in a weighted-average borrowing rate of 3.78%. There were no Canadian borrowings outstanding on June 29, 2019.</w:t>
      </w:r>
    </w:p>
    <w:p>
      <w:pPr>
        <w:spacing w:after="0" w:line="83" w:lineRule="exact"/>
        <w:rPr>
          <w:sz w:val="20"/>
          <w:szCs w:val="20"/>
          <w:color w:val="auto"/>
        </w:rPr>
      </w:pPr>
    </w:p>
    <w:p>
      <w:pPr>
        <w:ind w:right="1640"/>
        <w:spacing w:after="0" w:line="399" w:lineRule="auto"/>
        <w:rPr>
          <w:sz w:val="20"/>
          <w:szCs w:val="20"/>
          <w:color w:val="auto"/>
        </w:rPr>
      </w:pPr>
      <w:r>
        <w:rPr>
          <w:rFonts w:ascii="Arial" w:cs="Arial" w:eastAsia="Arial" w:hAnsi="Arial"/>
          <w:sz w:val="18"/>
          <w:szCs w:val="18"/>
          <w:color w:val="auto"/>
        </w:rPr>
        <w:t xml:space="preserve">As of June 29, 2019, the Company was in compliance with the financial and other covenants under the secured revolving credit facility. </w:t>
      </w:r>
      <w:r>
        <w:rPr>
          <w:rFonts w:ascii="Arial" w:cs="Arial" w:eastAsia="Arial" w:hAnsi="Arial"/>
          <w:sz w:val="18"/>
          <w:szCs w:val="18"/>
          <w:b w:val="1"/>
          <w:bCs w:val="1"/>
          <w:color w:val="auto"/>
        </w:rPr>
        <w:t>Senior Notes</w:t>
      </w:r>
    </w:p>
    <w:p>
      <w:pPr>
        <w:spacing w:after="0" w:line="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March 14, 2019, the Company's wholly-owned subsidiary, The William Carter Company ("TWCC"), redeemed $400 million principal amount of senior notes, bearing interest at a rate of 5.25% per annum, and maturing on August 15, 2021, pursuant to the optional redemption provisions of the notes, which required that TWCC pay the outstanding principal plus accrued interest and an early redemption premium of 1.31% of the outstanding principal amounts of the senior notes. This debt redemption resulted in a loss on extinguishment of debt of $7.8 million, consisting of $5.2 million of early redemption premiums and $2.6 million of unamortized debt issuance costs.</w:t>
      </w:r>
    </w:p>
    <w:p>
      <w:pPr>
        <w:spacing w:after="0" w:line="14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Concurrently, TWCC issued $500 million principal amount of senior notes at par, bearing interest at a rate of 5.625% per annum, and maturing on March 15, 2027, all of which were outstanding as of June 29, 2019. TWCC received net proceeds from the offering of the senior notes of approximately $494.8 million, after deducting underwriting fees and other expenses, which TWCC used to redeem the senior notes discussed above and repay borrowings outstanding under the Company's secured revolving credit facility. As of June 29, 2019, approximately $5.8 million, including both bank fees and other third party expenses, has been capitalized in connection with the issuance and is being amortized over the term of the senior notes.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5"/>
          </w:tcPr>
          <w:p>
            <w:pPr>
              <w:ind w:left="920"/>
              <w:spacing w:after="0"/>
              <w:rPr>
                <w:sz w:val="20"/>
                <w:szCs w:val="20"/>
                <w:color w:val="auto"/>
              </w:rPr>
            </w:pPr>
            <w:r>
              <w:rPr>
                <w:rFonts w:ascii="Arial" w:cs="Arial" w:eastAsia="Arial" w:hAnsi="Arial"/>
                <w:sz w:val="16"/>
                <w:szCs w:val="16"/>
                <w:b w:val="1"/>
                <w:bCs w:val="1"/>
                <w:color w:val="auto"/>
              </w:rPr>
              <w:t>Fiscal quarter ended</w:t>
            </w:r>
          </w:p>
        </w:tc>
        <w:tc>
          <w:tcPr>
            <w:tcW w:w="260" w:type="dxa"/>
            <w:vAlign w:val="bottom"/>
          </w:tcPr>
          <w:p>
            <w:pPr>
              <w:spacing w:after="0"/>
              <w:rPr>
                <w:sz w:val="18"/>
                <w:szCs w:val="18"/>
                <w:color w:val="auto"/>
              </w:rPr>
            </w:pPr>
          </w:p>
        </w:tc>
        <w:tc>
          <w:tcPr>
            <w:tcW w:w="346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29, 2019</w:t>
            </w:r>
          </w:p>
        </w:tc>
        <w:tc>
          <w:tcPr>
            <w:tcW w:w="28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26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29, 2019</w:t>
            </w:r>
          </w:p>
        </w:tc>
        <w:tc>
          <w:tcPr>
            <w:tcW w:w="260" w:type="dxa"/>
            <w:vAlign w:val="bottom"/>
          </w:tcPr>
          <w:p>
            <w:pPr>
              <w:spacing w:after="0"/>
              <w:rPr>
                <w:sz w:val="20"/>
                <w:szCs w:val="20"/>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Restricted stock:</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Time-based awards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4,108</w:t>
            </w:r>
          </w:p>
        </w:tc>
      </w:tr>
      <w:tr>
        <w:trPr>
          <w:trHeight w:val="237"/>
        </w:trPr>
        <w:tc>
          <w:tcPr>
            <w:tcW w:w="3780" w:type="dxa"/>
            <w:vAlign w:val="bottom"/>
          </w:tcPr>
          <w:p>
            <w:pPr>
              <w:ind w:left="160"/>
              <w:spacing w:after="0"/>
              <w:rPr>
                <w:sz w:val="20"/>
                <w:szCs w:val="20"/>
                <w:color w:val="auto"/>
              </w:rPr>
            </w:pPr>
            <w:r>
              <w:rPr>
                <w:rFonts w:ascii="Arial" w:cs="Arial" w:eastAsia="Arial" w:hAnsi="Arial"/>
                <w:sz w:val="16"/>
                <w:szCs w:val="16"/>
                <w:color w:val="auto"/>
              </w:rPr>
              <w:t>Performance-based awards</w:t>
            </w:r>
          </w:p>
        </w:tc>
        <w:tc>
          <w:tcPr>
            <w:tcW w:w="2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1,658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2,499</w:t>
            </w: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awards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w:t>
            </w: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5,194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5,322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9,807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10,266</w:t>
            </w: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Company recognizes compensation cost ratably over the applicable performance periods based on the estimated probability of achievement of its performance targets at the end of each period. During the second fiscal quarter of 2019, the achievement of performance target estimates related to certain performance-based grants were revised resulting in a $0.3 million increase to stock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4" w:lineRule="exact"/>
        <w:rPr>
          <w:sz w:val="20"/>
          <w:szCs w:val="20"/>
          <w:color w:val="auto"/>
        </w:rPr>
      </w:pPr>
    </w:p>
    <w:p>
      <w:pPr>
        <w:jc w:val="both"/>
        <w:ind w:right="620"/>
        <w:spacing w:after="0" w:line="286" w:lineRule="auto"/>
        <w:rPr>
          <w:sz w:val="20"/>
          <w:szCs w:val="20"/>
          <w:color w:val="auto"/>
        </w:rPr>
      </w:pPr>
      <w:r>
        <w:rPr>
          <w:rFonts w:ascii="Arial" w:cs="Arial" w:eastAsia="Arial" w:hAnsi="Arial"/>
          <w:sz w:val="17"/>
          <w:szCs w:val="17"/>
          <w:color w:val="auto"/>
        </w:rPr>
        <w:t>As of June 29, 2019, the Company had gross unrecognized income tax benefits of approximately $14.6 million, of which $12.5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Included in the reserves for unrecognized tax benefits at June 29, 2019 were approximately $2.5 million of reserves for which the statute of limitations is expected to expire within the next fiscal year. If these tax benefits are ultimately recognized, such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recognition, net of federal income taxes, may affect the annual effective income tax rate for fiscal 2019 or fiscal 2020 along with the effective income tax rate in the quarter in which the benefits are recognized.</w:t>
      </w:r>
    </w:p>
    <w:p>
      <w:pPr>
        <w:spacing w:after="0" w:line="13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recognizes interest related to unrecognized tax benefits as a component of interest expense and recognizes penalties related to unrecognized income tax benefits as a component of income tax expense. During the second fiscal quarters ended June 29, 2019 and June 30, 2018, interest expense recorded on uncertain tax positions was not material. During the first two quarters of fiscal 2019, interest expense recorded on uncertain tax positions was $0.5 million, and during the first two quarters of fiscal 2018, interest expense recorded on uncertain tax positions was not material. The Company had approximately $2.4 million, $1.8 million, and $1.3 million of interest accrued on uncertain tax positions as of June 29, 2019, December 29, 2018, and June 30, 2018,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$17.3 million, $15.7 million, and $16.9 million at June 29, 2019, December 29, 2018, and June 30, 2018, respectively. These investments are classified as Level 1 within the fair value hierarchy. Gains on the investments in marketable securities were not material for the second fiscal quarter ended June 29, 2019 and were $0.2 million for the second fiscal quarter ended June 30, 2018. Gains on the investments in marketable securities were $1.7 million and $0.2 million for the two fiscal quarters ended June 29, 2019 and June 30, 2018, respectively. These amounts are included in Other expense (income), net on the Company's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29, 2019, the fair value of the Company's $110.0 million in outstanding borrowings under its secured revolving credit facility approximated the carrying value.</w:t>
      </w:r>
    </w:p>
    <w:p>
      <w:pPr>
        <w:spacing w:after="0" w:line="13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fair value of the Company's senior notes at June 29, 2019 was approximately $524.8 million. The fair value of these senior notes with a notional value and carrying value (gross of debt cost) of $500 million was estimated using a quoted price as provided in the secondary market, which considers the Company's credit risk and market related conditions, and is therefore within Level 2 of the fair value hierarchy.</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337" w:right="299" w:bottom="1440" w:gutter="0" w:footer="0" w:header="0"/>
        </w:sectPr>
      </w:pPr>
    </w:p>
    <w:bookmarkStart w:id="17" w:name="page18"/>
    <w:bookmarkEnd w:id="17"/>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ind w:left="580"/>
              <w:spacing w:after="0"/>
              <w:rPr>
                <w:sz w:val="20"/>
                <w:szCs w:val="20"/>
                <w:color w:val="auto"/>
              </w:rPr>
            </w:pPr>
            <w:r>
              <w:rPr>
                <w:rFonts w:ascii="Arial" w:cs="Arial" w:eastAsia="Arial" w:hAnsi="Arial"/>
                <w:sz w:val="16"/>
                <w:szCs w:val="16"/>
                <w:b w:val="1"/>
                <w:bCs w:val="1"/>
                <w:color w:val="auto"/>
              </w:rPr>
              <w:t>Fiscal quarter ended</w:t>
            </w:r>
          </w:p>
        </w:tc>
        <w:tc>
          <w:tcPr>
            <w:tcW w:w="140" w:type="dxa"/>
            <w:vAlign w:val="bottom"/>
          </w:tcPr>
          <w:p>
            <w:pPr>
              <w:spacing w:after="0"/>
              <w:rPr>
                <w:sz w:val="19"/>
                <w:szCs w:val="19"/>
                <w:color w:val="auto"/>
              </w:rPr>
            </w:pPr>
          </w:p>
        </w:tc>
        <w:tc>
          <w:tcPr>
            <w:tcW w:w="26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 2019</w:t>
            </w: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 2019</w:t>
            </w:r>
          </w:p>
        </w:tc>
        <w:tc>
          <w:tcPr>
            <w:tcW w:w="16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June 30, 2018</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Weighted-average number of common and common equivalent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360"/>
              <w:spacing w:after="0"/>
              <w:rPr>
                <w:sz w:val="20"/>
                <w:szCs w:val="20"/>
                <w:color w:val="auto"/>
              </w:rPr>
            </w:pPr>
            <w:r>
              <w:rPr>
                <w:rFonts w:ascii="Arial" w:cs="Arial" w:eastAsia="Arial" w:hAnsi="Arial"/>
                <w:sz w:val="16"/>
                <w:szCs w:val="16"/>
                <w:color w:val="auto"/>
              </w:rPr>
              <w:t>Basic number of common shares outstanding</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44,706,307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46,437,093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44,888,552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46,604,599</w:t>
            </w: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Dilutive effect of equity awards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332,070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509,545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310,479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563,137</w:t>
            </w:r>
          </w:p>
        </w:tc>
      </w:tr>
      <w:tr>
        <w:trPr>
          <w:trHeight w:val="284"/>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Diluted number of common and common equivalent shares outstanding</w:t>
            </w:r>
          </w:p>
        </w:tc>
        <w:tc>
          <w:tcPr>
            <w:tcW w:w="1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45,038,377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46,946,638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45,199,031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47,167,736</w:t>
            </w:r>
          </w:p>
        </w:tc>
      </w:tr>
      <w:tr>
        <w:trPr>
          <w:trHeight w:val="203"/>
        </w:trPr>
        <w:tc>
          <w:tcPr>
            <w:tcW w:w="5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Basic net income per common share (in thousands, except per share data):</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79,737</w:t>
            </w:r>
          </w:p>
        </w:tc>
      </w:tr>
      <w:tr>
        <w:trPr>
          <w:trHeight w:val="237"/>
        </w:trPr>
        <w:tc>
          <w:tcPr>
            <w:tcW w:w="5620" w:type="dxa"/>
            <w:vAlign w:val="bottom"/>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available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43,541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79,137</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 (in thousands, except per share data):</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43,937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37,268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78,403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79,737</w:t>
            </w: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84"/>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available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43,542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36,994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77,720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79,141</w:t>
            </w:r>
          </w:p>
        </w:tc>
      </w:tr>
      <w:tr>
        <w:trPr>
          <w:trHeight w:val="203"/>
        </w:trPr>
        <w:tc>
          <w:tcPr>
            <w:tcW w:w="5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5620" w:type="dxa"/>
            <w:vAlign w:val="bottom"/>
          </w:tcPr>
          <w:p>
            <w:pPr>
              <w:ind w:left="360"/>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1.68</w:t>
            </w: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56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31"/>
        </w:trPr>
        <w:tc>
          <w:tcPr>
            <w:tcW w:w="5620" w:type="dxa"/>
            <w:vAlign w:val="bottom"/>
          </w:tcPr>
          <w:p>
            <w:pPr>
              <w:ind w:left="360"/>
              <w:spacing w:after="0"/>
              <w:rPr>
                <w:sz w:val="20"/>
                <w:szCs w:val="20"/>
                <w:color w:val="auto"/>
              </w:rPr>
            </w:pPr>
            <w:r>
              <w:rPr>
                <w:rFonts w:ascii="Arial" w:cs="Arial" w:eastAsia="Arial" w:hAnsi="Arial"/>
                <w:sz w:val="16"/>
                <w:szCs w:val="16"/>
                <w:color w:val="auto"/>
                <w:w w:val="99"/>
              </w:rPr>
              <w:t>Anti-dilutive awards excluded from diluted earnings per share computation</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311,300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332,448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513,742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254,417</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AND LONG-TERM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any comparable period,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96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29, 2019</w:t>
            </w: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29, 2018</w:t>
            </w:r>
          </w:p>
        </w:tc>
        <w:tc>
          <w:tcPr>
            <w:tcW w:w="180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17,415</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4,301</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Accrued employee benefits</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10,331</w:t>
            </w:r>
          </w:p>
        </w:tc>
        <w:tc>
          <w:tcPr>
            <w:tcW w:w="1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16,421</w:t>
            </w: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10,663</w:t>
            </w:r>
          </w:p>
        </w:tc>
      </w:tr>
      <w:tr>
        <w:trPr>
          <w:trHeight w:val="33"/>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and deferred rent</w:t>
            </w: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19,120</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18,702</w:t>
            </w:r>
          </w:p>
        </w:tc>
      </w:tr>
      <w:tr>
        <w:trPr>
          <w:trHeight w:val="33"/>
        </w:trPr>
        <w:tc>
          <w:tcPr>
            <w:tcW w:w="57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that exceeded five percent of total liabilities, at the end of any comparable period,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June 29, 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 2018</w:t>
            </w:r>
          </w:p>
        </w:tc>
        <w:tc>
          <w:tcPr>
            <w:tcW w:w="260" w:type="dxa"/>
            <w:vAlign w:val="bottom"/>
          </w:tcPr>
          <w:p>
            <w:pPr>
              <w:spacing w:after="0"/>
              <w:rPr>
                <w:sz w:val="18"/>
                <w:szCs w:val="18"/>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57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lease incentives</w:t>
            </w:r>
          </w:p>
        </w:tc>
        <w:tc>
          <w:tcPr>
            <w:tcW w:w="148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75,431</w:t>
            </w:r>
          </w:p>
        </w:tc>
      </w:tr>
      <w:tr>
        <w:trPr>
          <w:trHeight w:val="33"/>
        </w:trPr>
        <w:tc>
          <w:tcPr>
            <w:tcW w:w="57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9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0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Company's contractual obligations and commitments also include obligations associated with leases, the secured revolving credit agreement, senior notes, employee benefit plans, and facility consolidations/closures as disclosed elsewhere in the notes to the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8" w:name="page19"/>
    <w:bookmarkEnd w:id="18"/>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information for our reportable segments and unallocated corporate expenses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ind w:left="540"/>
              <w:spacing w:after="0"/>
              <w:rPr>
                <w:sz w:val="20"/>
                <w:szCs w:val="20"/>
                <w:color w:val="auto"/>
              </w:rPr>
            </w:pPr>
            <w:r>
              <w:rPr>
                <w:rFonts w:ascii="Arial" w:cs="Arial" w:eastAsia="Arial" w:hAnsi="Arial"/>
                <w:sz w:val="16"/>
                <w:szCs w:val="16"/>
                <w:b w:val="1"/>
                <w:bCs w:val="1"/>
                <w:color w:val="auto"/>
              </w:rPr>
              <w:t>Fiscal 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ind w:left="380"/>
              <w:spacing w:after="0"/>
              <w:rPr>
                <w:sz w:val="20"/>
                <w:szCs w:val="20"/>
                <w:color w:val="auto"/>
              </w:rPr>
            </w:pPr>
            <w:r>
              <w:rPr>
                <w:rFonts w:ascii="Arial" w:cs="Arial" w:eastAsia="Arial" w:hAnsi="Arial"/>
                <w:sz w:val="16"/>
                <w:szCs w:val="16"/>
                <w:b w:val="1"/>
                <w:bCs w:val="1"/>
                <w:color w:val="auto"/>
              </w:rPr>
              <w:t>Two fiscal quarters ended</w:t>
            </w:r>
          </w:p>
        </w:tc>
        <w:tc>
          <w:tcPr>
            <w:tcW w:w="11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146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 of</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1180" w:type="dxa"/>
            <w:vAlign w:val="bottom"/>
          </w:tcPr>
          <w:p>
            <w:pPr>
              <w:jc w:val="right"/>
              <w:ind w:right="339"/>
              <w:spacing w:after="0"/>
              <w:rPr>
                <w:sz w:val="20"/>
                <w:szCs w:val="20"/>
                <w:color w:val="auto"/>
              </w:rPr>
            </w:pPr>
            <w:r>
              <w:rPr>
                <w:rFonts w:ascii="Arial" w:cs="Arial" w:eastAsia="Arial" w:hAnsi="Arial"/>
                <w:sz w:val="16"/>
                <w:szCs w:val="16"/>
                <w:b w:val="1"/>
                <w:bCs w:val="1"/>
                <w:color w:val="auto"/>
              </w:rPr>
              <w:t>% of</w:t>
            </w:r>
          </w:p>
        </w:tc>
      </w:tr>
      <w:tr>
        <w:trPr>
          <w:trHeight w:val="210"/>
        </w:trPr>
        <w:tc>
          <w:tcPr>
            <w:tcW w:w="1460" w:type="dxa"/>
            <w:vAlign w:val="bottom"/>
            <w:gridSpan w:val="3"/>
          </w:tcPr>
          <w:p>
            <w:pPr>
              <w:ind w:left="40"/>
              <w:spacing w:after="0"/>
              <w:rPr>
                <w:sz w:val="20"/>
                <w:szCs w:val="20"/>
                <w:color w:val="auto"/>
              </w:rPr>
            </w:pPr>
            <w:r>
              <w:rPr>
                <w:rFonts w:ascii="Arial" w:cs="Arial" w:eastAsia="Arial" w:hAnsi="Arial"/>
                <w:sz w:val="16"/>
                <w:szCs w:val="16"/>
                <w:i w:val="1"/>
                <w:iCs w:val="1"/>
                <w:color w:val="auto"/>
              </w:rPr>
              <w:t>thousands)</w:t>
            </w: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rPr>
              <w:t>June 29, 2019</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Total Net Sales</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June 30, 2018</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w w:val="94"/>
              </w:rPr>
              <w:t>Total Net Sales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Total Net Sales</w:t>
            </w:r>
          </w:p>
        </w:tc>
        <w:tc>
          <w:tcPr>
            <w:tcW w:w="18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w w:val="94"/>
              </w:rPr>
              <w:t>Total Net Sales</w:t>
            </w: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14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37"/>
        </w:trPr>
        <w:tc>
          <w:tcPr>
            <w:tcW w:w="1460" w:type="dxa"/>
            <w:vAlign w:val="bottom"/>
            <w:gridSpan w:val="3"/>
          </w:tcPr>
          <w:p>
            <w:pPr>
              <w:ind w:left="40"/>
              <w:spacing w:after="0"/>
              <w:rPr>
                <w:sz w:val="20"/>
                <w:szCs w:val="20"/>
                <w:color w:val="auto"/>
              </w:rPr>
            </w:pPr>
            <w:r>
              <w:rPr>
                <w:rFonts w:ascii="Arial" w:cs="Arial" w:eastAsia="Arial" w:hAnsi="Arial"/>
                <w:sz w:val="16"/>
                <w:szCs w:val="16"/>
                <w:color w:val="auto"/>
              </w:rPr>
              <w:t>U.S. Retail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423,128</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402,021</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800,182</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785,762</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U.S. Wholesale</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229,091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209,476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504,458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490,309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37"/>
        </w:trPr>
        <w:tc>
          <w:tcPr>
            <w:tcW w:w="1460" w:type="dxa"/>
            <w:vAlign w:val="bottom"/>
            <w:gridSpan w:val="3"/>
          </w:tcPr>
          <w:p>
            <w:pPr>
              <w:ind w:left="40"/>
              <w:spacing w:after="0"/>
              <w:rPr>
                <w:sz w:val="20"/>
                <w:szCs w:val="20"/>
                <w:color w:val="auto"/>
              </w:rPr>
            </w:pPr>
            <w:r>
              <w:rPr>
                <w:rFonts w:ascii="Arial" w:cs="Arial" w:eastAsia="Arial" w:hAnsi="Arial"/>
                <w:sz w:val="16"/>
                <w:szCs w:val="16"/>
                <w:color w:val="auto"/>
              </w:rPr>
              <w:t>International</w:t>
            </w:r>
          </w:p>
        </w:tc>
        <w:tc>
          <w:tcPr>
            <w:tcW w:w="2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82,165</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84,700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170,802</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175,912</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net sales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696,197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1,475,442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1,451,983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 of</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 of</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Segment</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Segment</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76"/>
        </w:trPr>
        <w:tc>
          <w:tcPr>
            <w:tcW w:w="14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w w:val="99"/>
              </w:rPr>
              <w:t>Operating income:</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19"/>
              <w:spacing w:after="0" w:line="176" w:lineRule="exact"/>
              <w:rPr>
                <w:sz w:val="20"/>
                <w:szCs w:val="20"/>
                <w:color w:val="auto"/>
              </w:rPr>
            </w:pPr>
            <w:r>
              <w:rPr>
                <w:rFonts w:ascii="Arial" w:cs="Arial" w:eastAsia="Arial" w:hAnsi="Arial"/>
                <w:sz w:val="16"/>
                <w:szCs w:val="16"/>
                <w:b w:val="1"/>
                <w:bCs w:val="1"/>
                <w:color w:val="auto"/>
                <w:w w:val="88"/>
              </w:rPr>
              <w:t>Net Sales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Net Sales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88"/>
              </w:rPr>
              <w:t>Net Sales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U.S. Retail</w:t>
            </w:r>
            <w:r>
              <w:rPr>
                <w:rFonts w:ascii="Arial" w:cs="Arial" w:eastAsia="Arial" w:hAnsi="Arial"/>
                <w:sz w:val="21"/>
                <w:szCs w:val="21"/>
                <w:color w:val="auto"/>
                <w:vertAlign w:val="superscript"/>
              </w:rPr>
              <w:t>(1)(2)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51,146</w:t>
            </w:r>
          </w:p>
        </w:tc>
        <w:tc>
          <w:tcPr>
            <w:tcW w:w="14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12.1%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45,428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74,947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70"/>
        </w:trPr>
        <w:tc>
          <w:tcPr>
            <w:tcW w:w="1460" w:type="dxa"/>
            <w:vAlign w:val="bottom"/>
            <w:gridSpan w:val="3"/>
          </w:tcPr>
          <w:p>
            <w:pPr>
              <w:ind w:left="40"/>
              <w:spacing w:after="0"/>
              <w:rPr>
                <w:sz w:val="20"/>
                <w:szCs w:val="20"/>
                <w:color w:val="auto"/>
              </w:rPr>
            </w:pPr>
            <w:r>
              <w:rPr>
                <w:rFonts w:ascii="Arial" w:cs="Arial" w:eastAsia="Arial" w:hAnsi="Arial"/>
                <w:sz w:val="16"/>
                <w:szCs w:val="16"/>
                <w:color w:val="auto"/>
              </w:rPr>
              <w:t>U.S. Wholesale</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35,335</w:t>
            </w:r>
          </w:p>
        </w:tc>
        <w:tc>
          <w:tcPr>
            <w:tcW w:w="1400" w:type="dxa"/>
            <w:vAlign w:val="bottom"/>
            <w:gridSpan w:val="2"/>
          </w:tcPr>
          <w:p>
            <w:pPr>
              <w:jc w:val="right"/>
              <w:ind w:right="59"/>
              <w:spacing w:after="0"/>
              <w:rPr>
                <w:sz w:val="20"/>
                <w:szCs w:val="20"/>
                <w:color w:val="auto"/>
              </w:rPr>
            </w:pPr>
            <w:r>
              <w:rPr>
                <w:rFonts w:ascii="Arial" w:cs="Arial" w:eastAsia="Arial" w:hAnsi="Arial"/>
                <w:sz w:val="16"/>
                <w:szCs w:val="16"/>
                <w:color w:val="auto"/>
              </w:rPr>
              <w:t>15.4%</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30,338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90,791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80,610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70"/>
        </w:trPr>
        <w:tc>
          <w:tcPr>
            <w:tcW w:w="1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International</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4,257</w:t>
            </w:r>
          </w:p>
        </w:tc>
        <w:tc>
          <w:tcPr>
            <w:tcW w:w="14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4,312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9,216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8,073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0"/>
        </w:trPr>
        <w:tc>
          <w:tcPr>
            <w:tcW w:w="146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460" w:type="dxa"/>
            <w:vAlign w:val="bottom"/>
            <w:tcBorders>
              <w:bottom w:val="single" w:sz="8" w:color="CCEEFF"/>
            </w:tcBorders>
            <w:gridSpan w:val="3"/>
          </w:tcPr>
          <w:p>
            <w:pPr>
              <w:ind w:left="40"/>
              <w:spacing w:after="0" w:line="239" w:lineRule="exact"/>
              <w:rPr>
                <w:sz w:val="20"/>
                <w:szCs w:val="20"/>
                <w:color w:val="auto"/>
              </w:rPr>
            </w:pPr>
            <w:r>
              <w:rPr>
                <w:rFonts w:ascii="Arial" w:cs="Arial" w:eastAsia="Arial" w:hAnsi="Arial"/>
                <w:sz w:val="16"/>
                <w:szCs w:val="16"/>
                <w:color w:val="auto"/>
              </w:rPr>
              <w:t>expenses</w:t>
            </w:r>
            <w:r>
              <w:rPr>
                <w:rFonts w:ascii="Arial" w:cs="Arial" w:eastAsia="Arial" w:hAnsi="Arial"/>
                <w:sz w:val="21"/>
                <w:szCs w:val="21"/>
                <w:color w:val="auto"/>
                <w:vertAlign w:val="superscript"/>
              </w:rPr>
              <w:t>(5)(6)</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(26,262)</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(23,108)</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(49,867)</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(46,351)</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operating</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64,476</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56,970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125,235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117,279</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income</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8.8%</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Fiscal quarter and two fiscal quarters ended June 29, 2019 includes a $0.7 million reversal of retail store restructuring costs previously recorded during the third quarter of fiscal 2017.</w:t>
      </w:r>
    </w:p>
    <w:p>
      <w:pPr>
        <w:spacing w:after="0" w:line="93" w:lineRule="exact"/>
        <w:rPr>
          <w:rFonts w:ascii="Arial" w:cs="Arial" w:eastAsia="Arial" w:hAnsi="Arial"/>
          <w:sz w:val="13"/>
          <w:szCs w:val="13"/>
          <w:color w:val="auto"/>
        </w:rPr>
      </w:pPr>
    </w:p>
    <w:p>
      <w:pPr>
        <w:ind w:left="500" w:hanging="49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Two fiscal quarters ended June 30, 2018 includes insurance recovery of approximately $0.4 million associated with storm-related store closures.</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approximately $12.8 million of charges related to a customer bankruptcy for the two fiscal quarters ended June 30, 2018.</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Two fiscal quarters ended June 29, 2019 includes a benefit of $2.1 million related to sale of inventory previously reserved in China.</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Two fiscal quarters ended June 29, 2019 includes $1.6 million in charges related to organizational restructuring.</w:t>
      </w:r>
    </w:p>
    <w:p>
      <w:pPr>
        <w:spacing w:after="0" w:line="82" w:lineRule="exact"/>
        <w:rPr>
          <w:rFonts w:ascii="Arial" w:cs="Arial" w:eastAsia="Arial" w:hAnsi="Arial"/>
          <w:sz w:val="14"/>
          <w:szCs w:val="14"/>
          <w:color w:val="auto"/>
        </w:rPr>
      </w:pPr>
    </w:p>
    <w:p>
      <w:pPr>
        <w:ind w:left="500" w:right="40" w:hanging="492"/>
        <w:spacing w:after="0" w:line="273"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134" w:lineRule="exact"/>
        <w:rPr>
          <w:sz w:val="20"/>
          <w:szCs w:val="20"/>
          <w:color w:val="auto"/>
        </w:rPr>
      </w:pPr>
    </w:p>
    <w:p>
      <w:pPr>
        <w:ind w:right="4420"/>
        <w:spacing w:after="0" w:line="346" w:lineRule="auto"/>
        <w:rPr>
          <w:sz w:val="20"/>
          <w:szCs w:val="20"/>
          <w:color w:val="auto"/>
        </w:rPr>
      </w:pPr>
      <w:r>
        <w:rPr>
          <w:rFonts w:ascii="Arial" w:cs="Arial" w:eastAsia="Arial" w:hAnsi="Arial"/>
          <w:sz w:val="18"/>
          <w:szCs w:val="18"/>
          <w:b w:val="1"/>
          <w:bCs w:val="1"/>
          <w:color w:val="auto"/>
        </w:rPr>
        <w:t>NOTE 16 – PENDING ADOPTION OF RECENT ACCOUNTING PRONOUNCEMENTS Credit Losses (ASU 2016-13)</w:t>
      </w:r>
    </w:p>
    <w:p>
      <w:pPr>
        <w:spacing w:after="0" w:line="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("ASU 2016-13")</w:t>
      </w:r>
      <w:r>
        <w:rPr>
          <w:rFonts w:ascii="Arial" w:cs="Arial" w:eastAsia="Arial" w:hAnsi="Arial"/>
          <w:sz w:val="17"/>
          <w:szCs w:val="17"/>
          <w:i w:val="1"/>
          <w:iCs w:val="1"/>
          <w:color w:val="auto"/>
        </w:rPr>
        <w:t>.</w:t>
      </w:r>
      <w:r>
        <w:rPr>
          <w:rFonts w:ascii="Arial" w:cs="Arial" w:eastAsia="Arial" w:hAnsi="Arial"/>
          <w:sz w:val="17"/>
          <w:szCs w:val="17"/>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will be effective for the Company at the beginning of fiscal 2020 with early adoption permitted for fiscal 2019, including interim periods therein. The standard will require entities to record a cumulative-effect adjustment to the balance sheet as of the beginning of the first reporting period in which the guidance is effective. The Company is currently evaluating the impact that ASU 2016-13 may have on the timing of recognizing future provisions for expected losses on the Company's accounts receivable.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 Testing (ASU 2017-04)</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("ASU 2017-04")</w:t>
      </w:r>
      <w:r>
        <w:rPr>
          <w:rFonts w:ascii="Arial" w:cs="Arial" w:eastAsia="Arial" w:hAnsi="Arial"/>
          <w:sz w:val="18"/>
          <w:szCs w:val="18"/>
          <w:i w:val="1"/>
          <w:iCs w:val="1"/>
          <w:color w:val="auto"/>
        </w:rPr>
        <w:t>.</w:t>
      </w:r>
      <w:r>
        <w:rPr>
          <w:rFonts w:ascii="Arial" w:cs="Arial" w:eastAsia="Arial" w:hAnsi="Arial"/>
          <w:sz w:val="18"/>
          <w:szCs w:val="18"/>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based on the current step 1). Any impairment charge will be limited to the amount of goodwill allocated to an affected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the Company will be effective for annual and interim impairment tests performed beginning in fiscal 2020.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337"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2019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for children in sizes newborn to 14 and accessories.</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apparel for children in sizes newborn to 14, with a focus on playclothes for toddlers and young children, and accessories.</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childhood necessities to create higher value, superior quality, and top-performance goods for parents, babies, and toddlers. We acquired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in February 2017.</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vision is to be the leader in baby and young children's apparel and accessories, and to consistently provide high-quality products at a compelling value to consumers. Our multi-channel, global business model - which includes retail stores, eCommerce and wholesale channels - enables us to reach a broad range of consumers around the world. We have extensive experience in the young children's apparel and accessories market and focus on delivering products that satisfy our consumers' needs.</w:t>
      </w:r>
    </w:p>
    <w:p>
      <w:pPr>
        <w:spacing w:after="0" w:line="1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2018 fiscal year ended December 29,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three segments we use to manage and evaluate our performance are: U.S. Retail, U.S. Wholesale, and International. These segments are our operating and reporting segments. Our U.S. Retail segment consists of revenue primarily from sales of products in the United States through our retail and online stores. Similarly, our U.S. Wholesale segment consists of revenue primarily from sales in the United States of products to our wholesale customers. Finally, our International segment consists of revenue primarily from sales of products outside the United States, largely through our retail stores in Canada and Mexico, our eCommerce site in Canada, and sales to our international wholesale customers and licensees.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21" w:name="page22"/>
    <w:bookmarkEnd w:id="21"/>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selected statement of operations data expressed as a percentage of consolidated net sales:</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gridSpan w:val="4"/>
          </w:tcPr>
          <w:p>
            <w:pPr>
              <w:ind w:left="1100"/>
              <w:spacing w:after="0"/>
              <w:rPr>
                <w:sz w:val="20"/>
                <w:szCs w:val="20"/>
                <w:color w:val="auto"/>
              </w:rPr>
            </w:pPr>
            <w:r>
              <w:rPr>
                <w:rFonts w:ascii="Arial" w:cs="Arial" w:eastAsia="Arial" w:hAnsi="Arial"/>
                <w:sz w:val="16"/>
                <w:szCs w:val="16"/>
                <w:b w:val="1"/>
                <w:bCs w:val="1"/>
                <w:color w:val="auto"/>
              </w:rPr>
              <w:t>Fiscal quarter ended</w:t>
            </w:r>
          </w:p>
        </w:tc>
        <w:tc>
          <w:tcPr>
            <w:tcW w:w="35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Two fiscal quarters ended</w:t>
            </w:r>
          </w:p>
        </w:tc>
      </w:tr>
      <w:tr>
        <w:trPr>
          <w:trHeight w:val="3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40" w:type="dxa"/>
            <w:vAlign w:val="bottom"/>
            <w:gridSpan w:val="2"/>
          </w:tcPr>
          <w:p>
            <w:pPr>
              <w:ind w:left="400"/>
              <w:spacing w:after="0"/>
              <w:rPr>
                <w:sz w:val="20"/>
                <w:szCs w:val="20"/>
                <w:color w:val="auto"/>
              </w:rPr>
            </w:pPr>
            <w:r>
              <w:rPr>
                <w:rFonts w:ascii="Arial" w:cs="Arial" w:eastAsia="Arial" w:hAnsi="Arial"/>
                <w:sz w:val="16"/>
                <w:szCs w:val="16"/>
                <w:b w:val="1"/>
                <w:bCs w:val="1"/>
                <w:color w:val="auto"/>
              </w:rPr>
              <w:t>June 29, 2019</w:t>
            </w:r>
          </w:p>
        </w:tc>
        <w:tc>
          <w:tcPr>
            <w:tcW w:w="1860" w:type="dxa"/>
            <w:vAlign w:val="bottom"/>
            <w:gridSpan w:val="2"/>
          </w:tcPr>
          <w:p>
            <w:pPr>
              <w:ind w:left="400"/>
              <w:spacing w:after="0"/>
              <w:rPr>
                <w:sz w:val="20"/>
                <w:szCs w:val="20"/>
                <w:color w:val="auto"/>
              </w:rPr>
            </w:pPr>
            <w:r>
              <w:rPr>
                <w:rFonts w:ascii="Arial" w:cs="Arial" w:eastAsia="Arial" w:hAnsi="Arial"/>
                <w:sz w:val="16"/>
                <w:szCs w:val="16"/>
                <w:b w:val="1"/>
                <w:bCs w:val="1"/>
                <w:color w:val="auto"/>
              </w:rPr>
              <w:t>June 30, 2018</w:t>
            </w:r>
          </w:p>
        </w:tc>
        <w:tc>
          <w:tcPr>
            <w:tcW w:w="1840" w:type="dxa"/>
            <w:vAlign w:val="bottom"/>
            <w:gridSpan w:val="2"/>
          </w:tcPr>
          <w:p>
            <w:pPr>
              <w:ind w:left="400"/>
              <w:spacing w:after="0"/>
              <w:rPr>
                <w:sz w:val="20"/>
                <w:szCs w:val="20"/>
                <w:color w:val="auto"/>
              </w:rPr>
            </w:pPr>
            <w:r>
              <w:rPr>
                <w:rFonts w:ascii="Arial" w:cs="Arial" w:eastAsia="Arial" w:hAnsi="Arial"/>
                <w:sz w:val="16"/>
                <w:szCs w:val="16"/>
                <w:b w:val="1"/>
                <w:bCs w:val="1"/>
                <w:color w:val="auto"/>
              </w:rPr>
              <w:t>June 29, 2019</w:t>
            </w:r>
          </w:p>
        </w:tc>
        <w:tc>
          <w:tcPr>
            <w:tcW w:w="1740" w:type="dxa"/>
            <w:vAlign w:val="bottom"/>
          </w:tcPr>
          <w:p>
            <w:pPr>
              <w:jc w:val="right"/>
              <w:ind w:right="319"/>
              <w:spacing w:after="0"/>
              <w:rPr>
                <w:sz w:val="20"/>
                <w:szCs w:val="20"/>
                <w:color w:val="auto"/>
              </w:rPr>
            </w:pPr>
            <w:r>
              <w:rPr>
                <w:rFonts w:ascii="Arial" w:cs="Arial" w:eastAsia="Arial" w:hAnsi="Arial"/>
                <w:sz w:val="16"/>
                <w:szCs w:val="16"/>
                <w:b w:val="1"/>
                <w:bCs w:val="1"/>
                <w:color w:val="auto"/>
              </w:rPr>
              <w:t>June 30, 2018</w:t>
            </w:r>
          </w:p>
        </w:tc>
      </w:tr>
      <w:tr>
        <w:trPr>
          <w:trHeight w:val="33"/>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40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Net sales</w:t>
            </w: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75"/>
        </w:trPr>
        <w:tc>
          <w:tcPr>
            <w:tcW w:w="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346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rPr>
              <w:t>U.S. Retail</w:t>
            </w:r>
          </w:p>
        </w:tc>
        <w:tc>
          <w:tcPr>
            <w:tcW w:w="174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3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U.S. Wholesale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37"/>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rPr>
              <w:t>International</w:t>
            </w:r>
          </w:p>
        </w:tc>
        <w:tc>
          <w:tcPr>
            <w:tcW w:w="17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rPr>
              <w:t>Consolidated net sales</w:t>
            </w:r>
          </w:p>
        </w:tc>
        <w:tc>
          <w:tcPr>
            <w:tcW w:w="17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37"/>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rPr>
              <w:t>Royalty income</w:t>
            </w: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7"/>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1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84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6"/>
                <w:szCs w:val="16"/>
                <w:color w:val="auto"/>
              </w:rPr>
              <w:t>n/m</w:t>
            </w:r>
          </w:p>
        </w:tc>
        <w:tc>
          <w:tcPr>
            <w:tcW w:w="186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6"/>
                <w:szCs w:val="16"/>
                <w:color w:val="auto"/>
              </w:rPr>
              <w:t>n/m</w:t>
            </w:r>
          </w:p>
        </w:tc>
        <w:tc>
          <w:tcPr>
            <w:tcW w:w="184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6"/>
                <w:szCs w:val="16"/>
                <w:color w:val="auto"/>
              </w:rPr>
              <w:t>n/m</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n/m</w:t>
            </w:r>
          </w:p>
        </w:tc>
      </w:tr>
      <w:tr>
        <w:trPr>
          <w:trHeight w:val="237"/>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6"/>
                <w:szCs w:val="16"/>
                <w:color w:val="auto"/>
              </w:rPr>
              <w:t>Other expense (income), net</w:t>
            </w:r>
          </w:p>
        </w:tc>
        <w:tc>
          <w:tcPr>
            <w:tcW w:w="1840" w:type="dxa"/>
            <w:vAlign w:val="bottom"/>
            <w:gridSpan w:val="2"/>
          </w:tcPr>
          <w:p>
            <w:pPr>
              <w:ind w:left="1320"/>
              <w:spacing w:after="0"/>
              <w:rPr>
                <w:sz w:val="20"/>
                <w:szCs w:val="20"/>
                <w:color w:val="auto"/>
              </w:rPr>
            </w:pPr>
            <w:r>
              <w:rPr>
                <w:rFonts w:ascii="Arial" w:cs="Arial" w:eastAsia="Arial" w:hAnsi="Arial"/>
                <w:sz w:val="16"/>
                <w:szCs w:val="16"/>
                <w:color w:val="auto"/>
              </w:rPr>
              <w:t>n/m</w:t>
            </w:r>
          </w:p>
        </w:tc>
        <w:tc>
          <w:tcPr>
            <w:tcW w:w="17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840" w:type="dxa"/>
            <w:vAlign w:val="bottom"/>
            <w:gridSpan w:val="2"/>
          </w:tcPr>
          <w:p>
            <w:pPr>
              <w:ind w:left="1320"/>
              <w:spacing w:after="0"/>
              <w:rPr>
                <w:sz w:val="20"/>
                <w:szCs w:val="20"/>
                <w:color w:val="auto"/>
              </w:rPr>
            </w:pPr>
            <w:r>
              <w:rPr>
                <w:rFonts w:ascii="Arial" w:cs="Arial" w:eastAsia="Arial" w:hAnsi="Arial"/>
                <w:sz w:val="16"/>
                <w:szCs w:val="16"/>
                <w:color w:val="auto"/>
              </w:rPr>
              <w:t>n/m</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n/m</w:t>
            </w:r>
          </w:p>
        </w:tc>
      </w:tr>
      <w:tr>
        <w:trPr>
          <w:trHeight w:val="3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Loss on extinguishment of debt</w:t>
            </w:r>
          </w:p>
        </w:tc>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50"/>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37"/>
        </w:trPr>
        <w:tc>
          <w:tcPr>
            <w:tcW w:w="4100" w:type="dxa"/>
            <w:vAlign w:val="bottom"/>
            <w:gridSpan w:val="3"/>
          </w:tcPr>
          <w:p>
            <w:pPr>
              <w:ind w:left="20"/>
              <w:spacing w:after="0"/>
              <w:rPr>
                <w:sz w:val="20"/>
                <w:szCs w:val="20"/>
                <w:color w:val="auto"/>
              </w:rPr>
            </w:pPr>
            <w:r>
              <w:rPr>
                <w:rFonts w:ascii="Arial" w:cs="Arial" w:eastAsia="Arial" w:hAnsi="Arial"/>
                <w:sz w:val="16"/>
                <w:szCs w:val="16"/>
                <w:color w:val="auto"/>
              </w:rPr>
              <w:t>Provision for income taxes</w:t>
            </w:r>
          </w:p>
        </w:tc>
        <w:tc>
          <w:tcPr>
            <w:tcW w:w="17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Results may not be additive due to rounding.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Retail Sales Metrics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management's discussion and analysis includes comparable sales metrics for our company-owned retail stores and our eCommerce sites in our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Retail and International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method of calculating comparable sales may not be the same as that of other retailers, as methods vary across the retail industry.</w:t>
      </w:r>
    </w:p>
    <w:p>
      <w:pPr>
        <w:spacing w:after="0" w:line="18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SECOND FISCAL QUARTER AND TWO FISCAL QUARTERS ENDED JUNE 29, 2019 COMPARED TO SECOND FISCAL QUARTER AND TWO FISCAL QUARTERS ENDED JUNE 30,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second quarter of fiscal 2019, consolidated net sales increased $38.2 million, or 5.5%, to $734.4 million from $696.2 million in the second quarter of fiscal 2018. For the first two quarters of fiscal 2019, consolidated net sales increased $23.5 million, or 1.6%, to $1.48 billion from $1.45 billion in the first two quarters of fiscal 2018. The increases for the fiscal quarter and year-to-date periods in fiscal 2019 were primarily driven by growth in our U.S. Retail and U.S. Wholesale segments, partially offset by a decrease in net sales in our International segment. Changes in foreign currency exchange rates used for translation in the second quarter and first two quarters of fiscal 2019, as compared to the second quarter and first two quarters of fiscal 2018, had an unfavorable effect on our consolidated net sales of approximately $2.1 million and $5.1 million, respectively.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37" w:right="259" w:bottom="1440" w:gutter="0" w:footer="0" w:header="0"/>
        </w:sectPr>
      </w:pPr>
    </w:p>
    <w:bookmarkStart w:id="22" w:name="page23"/>
    <w:bookmarkEnd w:id="22"/>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Net sales by segment, and each segment's percentage of consolidated net sales,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ind w:left="180"/>
              <w:spacing w:after="0"/>
              <w:rPr>
                <w:sz w:val="20"/>
                <w:szCs w:val="20"/>
                <w:color w:val="auto"/>
              </w:rPr>
            </w:pPr>
            <w:r>
              <w:rPr>
                <w:rFonts w:ascii="Arial" w:cs="Arial" w:eastAsia="Arial" w:hAnsi="Arial"/>
                <w:sz w:val="16"/>
                <w:szCs w:val="16"/>
                <w:b w:val="1"/>
                <w:bCs w:val="1"/>
                <w:color w:val="auto"/>
              </w:rPr>
              <w:t>Fiscal quarter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6"/>
                <w:szCs w:val="16"/>
                <w:b w:val="1"/>
                <w:bCs w:val="1"/>
                <w:color w:val="auto"/>
              </w:rPr>
              <w:t>Two fiscal quarters ended</w:t>
            </w:r>
          </w:p>
        </w:tc>
        <w:tc>
          <w:tcPr>
            <w:tcW w:w="840" w:type="dxa"/>
            <w:vAlign w:val="bottom"/>
          </w:tcPr>
          <w:p>
            <w:pPr>
              <w:spacing w:after="0"/>
              <w:rPr>
                <w:sz w:val="18"/>
                <w:szCs w:val="18"/>
                <w:color w:val="auto"/>
              </w:rPr>
            </w:pPr>
          </w:p>
        </w:tc>
      </w:tr>
      <w:tr>
        <w:trPr>
          <w:trHeight w:val="47"/>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 of</w:t>
            </w:r>
          </w:p>
        </w:tc>
      </w:tr>
      <w:tr>
        <w:trPr>
          <w:trHeight w:val="210"/>
        </w:trPr>
        <w:tc>
          <w:tcPr>
            <w:tcW w:w="192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29, 2019</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29, 2019</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19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r>
      <w:tr>
        <w:trPr>
          <w:trHeight w:val="237"/>
        </w:trPr>
        <w:tc>
          <w:tcPr>
            <w:tcW w:w="1920" w:type="dxa"/>
            <w:vAlign w:val="bottom"/>
            <w:gridSpan w:val="3"/>
          </w:tcPr>
          <w:p>
            <w:pPr>
              <w:ind w:left="40"/>
              <w:spacing w:after="0"/>
              <w:rPr>
                <w:sz w:val="20"/>
                <w:szCs w:val="20"/>
                <w:color w:val="auto"/>
              </w:rPr>
            </w:pPr>
            <w:r>
              <w:rPr>
                <w:rFonts w:ascii="Arial" w:cs="Arial" w:eastAsia="Arial" w:hAnsi="Arial"/>
                <w:sz w:val="16"/>
                <w:szCs w:val="16"/>
                <w:color w:val="auto"/>
              </w:rPr>
              <w:t>U.S. Retail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423,128</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402,021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800,182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785,762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U.S. Wholesale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229,091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209,476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504,458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490,309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37"/>
        </w:trPr>
        <w:tc>
          <w:tcPr>
            <w:tcW w:w="1920" w:type="dxa"/>
            <w:vAlign w:val="bottom"/>
            <w:gridSpan w:val="3"/>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82,165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84,700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170,802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175,912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734,384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696,197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1,475,442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1,451,983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Percentages may not be additive due to rounding.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 Sales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 Data for Company-Operated Retail Stores in our U.S. Retail segment</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740" w:type="dxa"/>
            <w:vAlign w:val="bottom"/>
            <w:gridSpan w:val="3"/>
          </w:tcPr>
          <w:p>
            <w:pPr>
              <w:ind w:left="1460"/>
              <w:spacing w:after="0"/>
              <w:rPr>
                <w:sz w:val="20"/>
                <w:szCs w:val="20"/>
                <w:color w:val="auto"/>
              </w:rPr>
            </w:pPr>
            <w:r>
              <w:rPr>
                <w:rFonts w:ascii="Arial" w:cs="Arial" w:eastAsia="Arial" w:hAnsi="Arial"/>
                <w:sz w:val="16"/>
                <w:szCs w:val="16"/>
                <w:b w:val="1"/>
                <w:bCs w:val="1"/>
                <w:color w:val="auto"/>
              </w:rPr>
              <w:t>Store Count</w:t>
            </w: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6"/>
                <w:szCs w:val="16"/>
                <w:b w:val="1"/>
                <w:bCs w:val="1"/>
                <w:color w:val="auto"/>
              </w:rPr>
              <w:t>Region:</w:t>
            </w:r>
          </w:p>
        </w:tc>
        <w:tc>
          <w:tcPr>
            <w:tcW w:w="194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29, 2019</w:t>
            </w: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29, 2018</w:t>
            </w:r>
          </w:p>
        </w:tc>
      </w:tr>
      <w:tr>
        <w:trPr>
          <w:trHeight w:val="48"/>
        </w:trPr>
        <w:tc>
          <w:tcPr>
            <w:tcW w:w="2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CCEEFF"/>
            </w:tcBorders>
          </w:tcPr>
          <w:p>
            <w:pPr>
              <w:spacing w:after="0"/>
              <w:rPr>
                <w:sz w:val="4"/>
                <w:szCs w:val="4"/>
                <w:color w:val="auto"/>
              </w:rPr>
            </w:pPr>
          </w:p>
        </w:tc>
        <w:tc>
          <w:tcPr>
            <w:tcW w:w="708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82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833</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r>
              <w:rPr>
                <w:rFonts w:ascii="Arial" w:cs="Arial" w:eastAsia="Arial" w:hAnsi="Arial"/>
                <w:sz w:val="21"/>
                <w:szCs w:val="21"/>
                <w:color w:val="auto"/>
                <w:vertAlign w:val="superscript"/>
              </w:rPr>
              <w:t>(*)</w:t>
            </w:r>
          </w:p>
        </w:tc>
      </w:tr>
    </w:tbl>
    <w:p>
      <w:pPr>
        <w:spacing w:after="0" w:line="3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five temporary Skip Hop stores that were closed in January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Net Sales for our U.S. Retail segment</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Comparable retail net sales increased 3.8% during the second quarter and 0.1% during the first two quarters of fiscal 2019 compared to the corresponding periods in fiscal 2018.</w:t>
      </w:r>
    </w:p>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Compared to the second fiscal quarter of 2018, we believe comparable retail net sales were positively affected in the second fiscal quarter of 2019 by the timing of the Easter holiday and increased traffic to our eCommerce website.</w:t>
      </w:r>
    </w:p>
    <w:p>
      <w:pPr>
        <w:spacing w:after="0" w:line="13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Compared to the first two quarters of fiscal 2018, we believe comparable retail net sales were positively affected in the first two quarters of fiscal 2019 by increased traffic to our eCommerce website, partially offset by persistent cold weather in the first fiscal quarter of 2019 and the liquidation of a competitor.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Results</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U.S. Retail segment net sales increased approximately $21.1 million, or 5.3%, in the second quarter of fiscal 2019 to $423.1 million from $402.0 million in the second quarter of fiscal 2018. This increase in net sales primarily reflected a/an:</w:t>
      </w:r>
    </w:p>
    <w:p>
      <w:pPr>
        <w:spacing w:after="0" w:line="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of $12.6 million from new retail stores that are not yet comparable;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of $7.5 million from eCommerce sales, primarily as a result of increased traffic;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of $7.5 million in comparable retail store sales, benefiting from the timing of the Easter holiday;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of $7.7 million due to the effect of store closings.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U.S. Retail segment net sales increased approximately $14.4 million, or 1.8%, in the first two quarters of fiscal 2019 to $800.2 million from $785.8 million in the first two quarters of fiscal 2018. This increase in net sales primarily reflected a/an:</w:t>
      </w:r>
    </w:p>
    <w:p>
      <w:pPr>
        <w:spacing w:after="0" w:line="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$25.5 million from new retail stores that are not yet comparable;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$12.1 million from eCommerce sales, primarily as a result of increased traffic;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of $14.0 million due to the effect of store closings;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of $11.0 million in comparable retail store sales, primarily as a result of lower traffic.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 Sales</w:t>
      </w:r>
    </w:p>
    <w:p>
      <w:pPr>
        <w:spacing w:after="0" w:line="9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U.S. Wholesale segment net sales increased approximately $19.6 million, or 9.4%, in the second quarter of fiscal 2019 to $229.1 million from $209.5 million in the second quarter of fiscal 2018. This increase reflected a 7.7% increase in the number of units shipped and a 1.6% increase in the average price per unit.</w:t>
      </w:r>
    </w:p>
    <w:p>
      <w:pPr>
        <w:spacing w:after="0" w:line="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U.S. Wholesale segment net sales increased approximately $14.1 million, or 2.9%, in the first two quarters of fiscal 2019 to $504.5 million from $490.3 million in the first two quarters of fiscal 2018. This increase reflected a 1.5% increase in the number of units shipped and a 1.3% increase in the average price per unit.</w:t>
      </w:r>
    </w:p>
    <w:p>
      <w:pPr>
        <w:sectPr>
          <w:pgSz w:w="11900" w:h="16838" w:orient="portrait"/>
          <w:cols w:equalWidth="0" w:num="1">
            <w:col w:w="11420"/>
          </w:cols>
          <w:pgMar w:left="240" w:top="337"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37" w:right="239" w:bottom="1440" w:gutter="0" w:footer="0" w:header="0"/>
          <w:type w:val="continuous"/>
        </w:sectPr>
      </w:pPr>
    </w:p>
    <w:bookmarkStart w:id="23" w:name="page24"/>
    <w:bookmarkEnd w:id="23"/>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 Data for Company-Operated Retail Stores in our International segment</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740" w:type="dxa"/>
            <w:vAlign w:val="bottom"/>
            <w:gridSpan w:val="3"/>
          </w:tcPr>
          <w:p>
            <w:pPr>
              <w:jc w:val="right"/>
              <w:ind w:right="1359"/>
              <w:spacing w:after="0"/>
              <w:rPr>
                <w:sz w:val="20"/>
                <w:szCs w:val="20"/>
                <w:color w:val="auto"/>
              </w:rPr>
            </w:pPr>
            <w:r>
              <w:rPr>
                <w:rFonts w:ascii="Arial" w:cs="Arial" w:eastAsia="Arial" w:hAnsi="Arial"/>
                <w:sz w:val="16"/>
                <w:szCs w:val="16"/>
                <w:b w:val="1"/>
                <w:bCs w:val="1"/>
                <w:color w:val="auto"/>
              </w:rPr>
              <w:t>Store Count</w:t>
            </w:r>
          </w:p>
        </w:tc>
      </w:tr>
      <w:tr>
        <w:trPr>
          <w:trHeight w:val="3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6"/>
                <w:szCs w:val="16"/>
                <w:b w:val="1"/>
                <w:bCs w:val="1"/>
                <w:color w:val="auto"/>
              </w:rPr>
              <w:t>Region:</w:t>
            </w:r>
          </w:p>
        </w:tc>
        <w:tc>
          <w:tcPr>
            <w:tcW w:w="194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29, 2019</w:t>
            </w: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29, 2018</w:t>
            </w:r>
          </w:p>
        </w:tc>
      </w:tr>
      <w:tr>
        <w:trPr>
          <w:trHeight w:val="48"/>
        </w:trPr>
        <w:tc>
          <w:tcPr>
            <w:tcW w:w="2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CCEEFF"/>
            </w:tcBorders>
          </w:tcPr>
          <w:p>
            <w:pPr>
              <w:spacing w:after="0"/>
              <w:rPr>
                <w:sz w:val="4"/>
                <w:szCs w:val="4"/>
                <w:color w:val="auto"/>
              </w:rPr>
            </w:pPr>
          </w:p>
        </w:tc>
        <w:tc>
          <w:tcPr>
            <w:tcW w:w="708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Canada</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37"/>
        </w:trPr>
        <w:tc>
          <w:tcPr>
            <w:tcW w:w="20" w:type="dxa"/>
            <w:vAlign w:val="bottom"/>
          </w:tcPr>
          <w:p>
            <w:pPr>
              <w:spacing w:after="0"/>
              <w:rPr>
                <w:sz w:val="20"/>
                <w:szCs w:val="20"/>
                <w:color w:val="auto"/>
              </w:rPr>
            </w:pPr>
          </w:p>
        </w:tc>
        <w:tc>
          <w:tcPr>
            <w:tcW w:w="7620" w:type="dxa"/>
            <w:vAlign w:val="bottom"/>
            <w:gridSpan w:val="2"/>
          </w:tcPr>
          <w:p>
            <w:pPr>
              <w:spacing w:after="0"/>
              <w:rPr>
                <w:sz w:val="20"/>
                <w:szCs w:val="20"/>
                <w:color w:val="auto"/>
              </w:rPr>
            </w:pPr>
            <w:r>
              <w:rPr>
                <w:rFonts w:ascii="Arial" w:cs="Arial" w:eastAsia="Arial" w:hAnsi="Arial"/>
                <w:sz w:val="16"/>
                <w:szCs w:val="16"/>
                <w:color w:val="auto"/>
              </w:rPr>
              <w:t>Mexico</w:t>
            </w: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Net Sales for our International segment</w:t>
      </w:r>
    </w:p>
    <w:p>
      <w:pPr>
        <w:spacing w:after="0" w:line="9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Compared to the second quarter of fiscal 2018, our Canadian comparable retail sales increased 0.9% in the second quarter of fiscal 2019. Compared to the first two quarters of fiscal 2018, our Canadian comparable retail sales decreased 2.6% in the first two quarters of fiscal 2019.</w:t>
      </w:r>
    </w:p>
    <w:p>
      <w:pPr>
        <w:spacing w:after="0" w:line="10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Compared to the second fiscal quarter of 2018, we believe comparable retail net sales were positively affected in the second fiscal quarter of 2019 by the timing of the Easter holiday.</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Compared to the first two quarters of fiscal 2018, we believe comparable retail net sales were negatively affected in the first two quarters of 2019 by reduced traffic due to persistent cold weather.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Results</w:t>
      </w:r>
    </w:p>
    <w:p>
      <w:pPr>
        <w:spacing w:after="0" w:line="9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International segment net sales decreased approximately $2.5 million, or 3.0%, in the second quarter of fiscal 2019 to $82.2 million from $84.7 million in the second quarter of fiscal 2018. Changes in foreign currency exchange rates used for translation had an unfavorable effect on International segment net sales of approximately $2.1 million in the second quarter of fiscal 2019 compared to the second quarter of fiscal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$2.5 million decrease in net sales in our International segment primarily reflected a/an:</w:t>
      </w:r>
    </w:p>
    <w:p>
      <w:pPr>
        <w:spacing w:after="0" w:line="9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$2.6 million from sales in China due to transitioning eCommerce and wholesale operations to a full licensing model;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$0.8 million from international sales to customers across various regions outside of Canada, Mexico, and China;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of $1.1 million from our Mexico stores and wholesale business.</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International segment net sales decreased approximately $5.1 million, or 2.9%, in the first two quarters of fiscal 2019 to $170.8 million from $175.9 million in the first two quarters of fiscal 2018. Changes in foreign currency exchange rates used for translation had an unfavorable impact on International segment net sales of approximately $5.1 million in the first two quarters of fiscal 2019 compared to the first two quarters of fiscal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$5.1 million decrease in net sales in our International segment primarily reflected a/an:</w:t>
      </w:r>
    </w:p>
    <w:p>
      <w:pPr>
        <w:spacing w:after="0" w:line="9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of $5.3 million from our Canada stores and wholesale business, partially offset by eCommerce sales growth;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Decrease of $3.5 million from sales in China, primarily due to transitioning eCommerce and wholesale operations to a full licensing model;</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of $1.9 million from international sales to customers across various regions outside of Canada, Mexico, and China;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of $1.8 million from our Mexico stores and wholesale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and Gross Profit</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consolidated gross margin decreased from 44.5% in the second quarter of fiscal 2018 to 44.0% in the second quarter of fiscal 2019. Our consolidated gross profit increased $13.0 million, or 4.2%, to $323.0 million in the second quarter of fiscal 2019 from $310.0 million in the second quarter of fiscal 2018. The decrease in gross margin was primarily due to changes in customer and channel mix, higher shipping costs in our eCommerce channel, and higher product costs, which was partially offset by lower provisions for inventory.</w:t>
      </w:r>
    </w:p>
    <w:p>
      <w:pPr>
        <w:spacing w:after="0" w:line="1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consolidated gross margin decreased from 44.2% in the first two quarters of fiscal 2018 to 43.3% in the first two quarters of fiscal 2019. Our consolidated gross profit decreased $3.6 million, or 0.6%, to $638.9 million in the first two quarters of fiscal 2019 from $642.4 million in the first two quarters of fiscal 2018. These decreases were primarily due to changes in customer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and channel mix, higher shipping costs in our eCommerce channel, and higher product costs, which was partially offset by lower provisions for inventory.</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cost of product, cost of goods sold includes expenses related to the merchandising, design, and procurement of product. Also included are outbound shipping costs incurred in the eCommerce channel related to delivery of product to the end consumer.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Definitions of gross profit and gross margin vary across the industry and as such, our metrics may not be comparable to other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Royalty income for the second quarter of fiscal 2019 decreased $0.7 million, or 7.0% to $9.6 million from $10.4 million in the second quarter of fiscal 2018.</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Royalty income for the first two quarters of fiscal 2019 decreased $0.2 million, or 0.9% to $18.2 million from $18.3 million in the first two quarters of fiscal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94"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Consolidated SG&amp;A expenses in the second quarter of fiscal 2019 increased $4.8 million, or 1.8%, to $268.2 million from $263.3 million in the second quarter of fiscal 2018. As a percentage of net sales, SG&amp;A expenses decreased from 37.8% in the second quarter of fiscal 2018 to 36.5% in the second quarter of fiscal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SG&amp;A expenses in the second quarter of fiscal 2019 primarily reflected a:</w:t>
      </w:r>
    </w:p>
    <w:p>
      <w:pPr>
        <w:spacing w:after="0" w:line="9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$3.6 million increase in expenses related to the U.S. retail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 million increase in distribution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 million increase in performance 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$1.8 million increase due to the receipt of insurance recoveries that occurred in the second quarter of fiscal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$2.8 million decrease in expenses due to the China business model change;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$2.2 million decrease in marketing expenses.</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Consolidated SG&amp;A expenses in the first two quarters of fiscal 2019 decreased $11.7 million, or 2.2%, to $531.8 million from $543.5 million in the first two quarters of fiscal 2018. As a percentage of net sales, SG&amp;A expenses decreased from 37.4% in the first two quarters of fiscal 2018 to 36.0% in the first two quarters of fiscal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SG&amp;A expenses in the first two quarters of fiscal 2019 primarily reflected a:</w:t>
      </w:r>
    </w:p>
    <w:p>
      <w:pPr>
        <w:spacing w:after="0" w:line="90"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$14.8 million decrease in provisions for accounts receivable, primarily attributable to the absence of customer bankruptcy-related charges incurred in the first quarter of fiscal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 million decrease in expenses due to the China business model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 million decrease in marketing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$4.6 million increase in expenses related to the U.S. retail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$3.0 million increase in distribution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 million in severance associated with an organizational restructuring;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$1.4 million increase in information technology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Consolidated operating income increased $7.5 million, or 13.2%, to $64.5 million in the second quarter of fiscal 2019 from $57.0 million in the second quarter of fiscal 2018. Consolidated operating income increased $8.0 million, or 6.8%, to $125.2 million in the first two quarters of fiscal 2019 from $117.3 million in the first two quarters of fiscal 2018.</w:t>
      </w:r>
    </w:p>
    <w:p>
      <w:pPr>
        <w:spacing w:after="0" w:line="1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Consolidated operating margin increased from 8.2% in the second quarter of fiscal 2018 to 8.8% in the second quarter of fiscal 2019. Consolidated operating margin increased from 8.1% in the first two quarters of fiscal 2018 to 8.5% in the first two quarters of fiscal 2019.</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37" w:right="259" w:bottom="1440" w:gutter="0" w:footer="0" w:header="0"/>
        </w:sectPr>
      </w:pPr>
    </w:p>
    <w:bookmarkStart w:id="25" w:name="page26"/>
    <w:bookmarkEnd w:id="25"/>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changes in each of our segment's operating results and unallocated corporate expenses between the fiscal periods indicated: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Unallocated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Expenses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Operating income (loss) for the second quarter of fiscal</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45,428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(23,108)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56,970</w:t>
            </w:r>
          </w:p>
        </w:tc>
        <w:tc>
          <w:tcPr>
            <w:tcW w:w="0" w:type="dxa"/>
            <w:vAlign w:val="bottom"/>
          </w:tcPr>
          <w:p>
            <w:pPr>
              <w:spacing w:after="0"/>
              <w:rPr>
                <w:sz w:val="1"/>
                <w:szCs w:val="1"/>
                <w:color w:val="auto"/>
              </w:rPr>
            </w:pPr>
          </w:p>
        </w:tc>
      </w:tr>
      <w:tr>
        <w:trPr>
          <w:trHeight w:val="220"/>
        </w:trPr>
        <w:tc>
          <w:tcPr>
            <w:tcW w:w="4120" w:type="dxa"/>
            <w:vAlign w:val="bottom"/>
          </w:tcPr>
          <w:p>
            <w:pPr>
              <w:ind w:left="140"/>
              <w:spacing w:after="0"/>
              <w:rPr>
                <w:sz w:val="20"/>
                <w:szCs w:val="20"/>
                <w:color w:val="auto"/>
              </w:rPr>
            </w:pPr>
            <w:r>
              <w:rPr>
                <w:rFonts w:ascii="Arial" w:cs="Arial" w:eastAsia="Arial" w:hAnsi="Arial"/>
                <w:sz w:val="16"/>
                <w:szCs w:val="16"/>
                <w:color w:val="auto"/>
                <w:w w:val="99"/>
              </w:rPr>
              <w:t>Favorable (unfavorable) change in the second quarter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60"/>
              <w:spacing w:after="0"/>
              <w:rPr>
                <w:sz w:val="20"/>
                <w:szCs w:val="20"/>
                <w:color w:val="auto"/>
              </w:rPr>
            </w:pPr>
            <w:r>
              <w:rPr>
                <w:rFonts w:ascii="Arial" w:cs="Arial" w:eastAsia="Arial" w:hAnsi="Arial"/>
                <w:sz w:val="16"/>
                <w:szCs w:val="16"/>
                <w:color w:val="auto"/>
              </w:rPr>
              <w:t>fiscal 2019</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13,039</w:t>
            </w:r>
          </w:p>
        </w:tc>
        <w:tc>
          <w:tcPr>
            <w:tcW w:w="0" w:type="dxa"/>
            <w:vAlign w:val="bottom"/>
          </w:tcPr>
          <w:p>
            <w:pPr>
              <w:spacing w:after="0"/>
              <w:rPr>
                <w:sz w:val="1"/>
                <w:szCs w:val="1"/>
                <w:color w:val="auto"/>
              </w:rPr>
            </w:pPr>
          </w:p>
        </w:tc>
      </w:tr>
      <w:tr>
        <w:trPr>
          <w:trHeight w:val="237"/>
        </w:trPr>
        <w:tc>
          <w:tcPr>
            <w:tcW w:w="412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SG&amp;A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(4,813)</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w w:val="96"/>
              </w:rPr>
              <w:t>Operating income (loss) for the second quarter of fiscal</w:t>
            </w: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51,146</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35,335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4,257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(26,262)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64,476</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Unallocated</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Expenses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 for the first two quarters of</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2018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80,610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117,279</w:t>
            </w:r>
          </w:p>
        </w:tc>
        <w:tc>
          <w:tcPr>
            <w:tcW w:w="0" w:type="dxa"/>
            <w:vAlign w:val="bottom"/>
          </w:tcPr>
          <w:p>
            <w:pPr>
              <w:spacing w:after="0"/>
              <w:rPr>
                <w:sz w:val="1"/>
                <w:szCs w:val="1"/>
                <w:color w:val="auto"/>
              </w:rPr>
            </w:pPr>
          </w:p>
        </w:tc>
      </w:tr>
      <w:tr>
        <w:trPr>
          <w:trHeight w:val="220"/>
        </w:trPr>
        <w:tc>
          <w:tcPr>
            <w:tcW w:w="4120" w:type="dxa"/>
            <w:vAlign w:val="bottom"/>
          </w:tcPr>
          <w:p>
            <w:pPr>
              <w:ind w:left="140"/>
              <w:spacing w:after="0"/>
              <w:rPr>
                <w:sz w:val="20"/>
                <w:szCs w:val="20"/>
                <w:color w:val="auto"/>
              </w:rPr>
            </w:pPr>
            <w:r>
              <w:rPr>
                <w:rFonts w:ascii="Arial" w:cs="Arial" w:eastAsia="Arial" w:hAnsi="Arial"/>
                <w:sz w:val="16"/>
                <w:szCs w:val="16"/>
                <w:color w:val="auto"/>
                <w:w w:val="96"/>
              </w:rPr>
              <w:t>Favorable (unfavorable) change in the first two quarters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60"/>
              <w:spacing w:after="0"/>
              <w:rPr>
                <w:sz w:val="20"/>
                <w:szCs w:val="20"/>
                <w:color w:val="auto"/>
              </w:rPr>
            </w:pPr>
            <w:r>
              <w:rPr>
                <w:rFonts w:ascii="Arial" w:cs="Arial" w:eastAsia="Arial" w:hAnsi="Arial"/>
                <w:sz w:val="16"/>
                <w:szCs w:val="16"/>
                <w:color w:val="auto"/>
              </w:rPr>
              <w:t>fiscal 2019</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237"/>
        </w:trPr>
        <w:tc>
          <w:tcPr>
            <w:tcW w:w="412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SG&amp;A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11,698</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 for the first two quarters of</w:t>
            </w: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75,095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90,791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9,216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(49,867)</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125,235</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fiscal 2019</w:t>
            </w:r>
          </w:p>
        </w:tc>
        <w:tc>
          <w:tcPr>
            <w:tcW w:w="2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changes in the operating margin for each of our three operating segments expressed in basis points ("bps") relative to net sales between the fiscal periods indicated.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1740" w:type="dxa"/>
            <w:vAlign w:val="bottom"/>
            <w:gridSpan w:val="2"/>
          </w:tcPr>
          <w:p>
            <w:pPr>
              <w:ind w:left="440"/>
              <w:spacing w:after="0"/>
              <w:rPr>
                <w:sz w:val="20"/>
                <w:szCs w:val="20"/>
                <w:color w:val="auto"/>
              </w:rPr>
            </w:pPr>
            <w:r>
              <w:rPr>
                <w:rFonts w:ascii="Arial" w:cs="Arial" w:eastAsia="Arial" w:hAnsi="Arial"/>
                <w:sz w:val="16"/>
                <w:szCs w:val="16"/>
                <w:b w:val="1"/>
                <w:bCs w:val="1"/>
                <w:color w:val="auto"/>
              </w:rPr>
              <w:t>U.S. Retail</w:t>
            </w:r>
          </w:p>
        </w:tc>
        <w:tc>
          <w:tcPr>
            <w:tcW w:w="1760" w:type="dxa"/>
            <w:vAlign w:val="bottom"/>
            <w:gridSpan w:val="2"/>
          </w:tcPr>
          <w:p>
            <w:pPr>
              <w:ind w:left="300"/>
              <w:spacing w:after="0"/>
              <w:rPr>
                <w:sz w:val="20"/>
                <w:szCs w:val="20"/>
                <w:color w:val="auto"/>
              </w:rPr>
            </w:pPr>
            <w:r>
              <w:rPr>
                <w:rFonts w:ascii="Arial" w:cs="Arial" w:eastAsia="Arial" w:hAnsi="Arial"/>
                <w:sz w:val="16"/>
                <w:szCs w:val="16"/>
                <w:b w:val="1"/>
                <w:bCs w:val="1"/>
                <w:color w:val="auto"/>
              </w:rPr>
              <w:t>U.S. Wholesale</w:t>
            </w:r>
          </w:p>
        </w:tc>
        <w:tc>
          <w:tcPr>
            <w:tcW w:w="1640" w:type="dxa"/>
            <w:vAlign w:val="bottom"/>
          </w:tcPr>
          <w:p>
            <w:pPr>
              <w:jc w:val="right"/>
              <w:ind w:right="279"/>
              <w:spacing w:after="0"/>
              <w:rPr>
                <w:sz w:val="20"/>
                <w:szCs w:val="20"/>
                <w:color w:val="auto"/>
              </w:rPr>
            </w:pPr>
            <w:r>
              <w:rPr>
                <w:rFonts w:ascii="Arial" w:cs="Arial" w:eastAsia="Arial" w:hAnsi="Arial"/>
                <w:sz w:val="16"/>
                <w:szCs w:val="16"/>
                <w:b w:val="1"/>
                <w:bCs w:val="1"/>
                <w:color w:val="auto"/>
              </w:rPr>
              <w:t>International</w:t>
            </w:r>
          </w:p>
        </w:tc>
      </w:tr>
      <w:tr>
        <w:trPr>
          <w:trHeight w:val="33"/>
        </w:trPr>
        <w:tc>
          <w:tcPr>
            <w:tcW w:w="62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margin for the second quarter of fiscal 2018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w w:val="98"/>
              </w:rPr>
              <w:t>5.1%</w:t>
            </w:r>
          </w:p>
        </w:tc>
      </w:tr>
      <w:tr>
        <w:trPr>
          <w:trHeight w:val="237"/>
        </w:trPr>
        <w:tc>
          <w:tcPr>
            <w:tcW w:w="6240" w:type="dxa"/>
            <w:vAlign w:val="bottom"/>
          </w:tcPr>
          <w:p>
            <w:pPr>
              <w:ind w:left="140"/>
              <w:spacing w:after="0"/>
              <w:rPr>
                <w:sz w:val="20"/>
                <w:szCs w:val="20"/>
                <w:color w:val="auto"/>
              </w:rPr>
            </w:pPr>
            <w:r>
              <w:rPr>
                <w:rFonts w:ascii="Arial" w:cs="Arial" w:eastAsia="Arial" w:hAnsi="Arial"/>
                <w:sz w:val="16"/>
                <w:szCs w:val="16"/>
                <w:color w:val="auto"/>
              </w:rPr>
              <w:t>Favorable (unfavorable) bps change in the second quarter of fiscal 2019</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Gross profit</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(40) bps</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 bps</w:t>
            </w:r>
          </w:p>
        </w:tc>
        <w:tc>
          <w:tcPr>
            <w:tcW w:w="1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(190) bps</w:t>
            </w:r>
          </w:p>
        </w:tc>
      </w:tr>
      <w:tr>
        <w:trPr>
          <w:trHeight w:val="237"/>
        </w:trPr>
        <w:tc>
          <w:tcPr>
            <w:tcW w:w="6240" w:type="dxa"/>
            <w:vAlign w:val="bottom"/>
          </w:tcPr>
          <w:p>
            <w:pPr>
              <w:jc w:val="right"/>
              <w:spacing w:after="0"/>
              <w:rPr>
                <w:sz w:val="20"/>
                <w:szCs w:val="20"/>
                <w:color w:val="auto"/>
              </w:rPr>
            </w:pPr>
            <w:r>
              <w:rPr>
                <w:rFonts w:ascii="Arial" w:cs="Arial" w:eastAsia="Arial" w:hAnsi="Arial"/>
                <w:sz w:val="16"/>
                <w:szCs w:val="16"/>
                <w:color w:val="auto"/>
              </w:rPr>
              <w:t>Royalty income</w:t>
            </w:r>
          </w:p>
        </w:tc>
        <w:tc>
          <w:tcPr>
            <w:tcW w:w="1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300"/>
              <w:spacing w:after="0"/>
              <w:rPr>
                <w:sz w:val="20"/>
                <w:szCs w:val="20"/>
                <w:color w:val="auto"/>
              </w:rPr>
            </w:pPr>
            <w:r>
              <w:rPr>
                <w:rFonts w:ascii="Arial" w:cs="Arial" w:eastAsia="Arial" w:hAnsi="Arial"/>
                <w:sz w:val="16"/>
                <w:szCs w:val="16"/>
                <w:color w:val="auto"/>
              </w:rPr>
              <w:t>(50) bps</w:t>
            </w: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10 bps</w:t>
            </w:r>
          </w:p>
        </w:tc>
      </w:tr>
      <w:tr>
        <w:trPr>
          <w:trHeight w:val="33"/>
        </w:trPr>
        <w:tc>
          <w:tcPr>
            <w:tcW w:w="6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SG&amp;A expenses</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120 bps</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 bps</w:t>
            </w:r>
          </w:p>
        </w:tc>
        <w:tc>
          <w:tcPr>
            <w:tcW w:w="1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190 bps</w:t>
            </w:r>
          </w:p>
        </w:tc>
      </w:tr>
      <w:tr>
        <w:trPr>
          <w:trHeight w:val="244"/>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Operating margin for the second quarter of fiscal 2019</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w:t>
            </w:r>
          </w:p>
        </w:tc>
        <w:tc>
          <w:tcPr>
            <w:tcW w:w="100" w:type="dxa"/>
            <w:vAlign w:val="bottom"/>
          </w:tcPr>
          <w:p>
            <w:pPr>
              <w:spacing w:after="0"/>
              <w:rPr>
                <w:sz w:val="21"/>
                <w:szCs w:val="21"/>
                <w:color w:val="auto"/>
              </w:rPr>
            </w:pPr>
          </w:p>
        </w:tc>
        <w:tc>
          <w:tcPr>
            <w:tcW w:w="16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6"/>
                <w:szCs w:val="16"/>
                <w:b w:val="1"/>
                <w:bCs w:val="1"/>
                <w:color w:val="auto"/>
              </w:rPr>
              <w:t>15.4%</w:t>
            </w:r>
          </w:p>
        </w:tc>
        <w:tc>
          <w:tcPr>
            <w:tcW w:w="100" w:type="dxa"/>
            <w:vAlign w:val="bottom"/>
          </w:tcPr>
          <w:p>
            <w:pPr>
              <w:spacing w:after="0"/>
              <w:rPr>
                <w:sz w:val="21"/>
                <w:szCs w:val="21"/>
                <w:color w:val="auto"/>
              </w:rPr>
            </w:pPr>
          </w:p>
        </w:tc>
        <w:tc>
          <w:tcPr>
            <w:tcW w:w="164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6"/>
                <w:szCs w:val="16"/>
                <w:b w:val="1"/>
                <w:bCs w:val="1"/>
                <w:color w:val="auto"/>
                <w:w w:val="98"/>
              </w:rPr>
              <w:t>5.2%</w:t>
            </w:r>
          </w:p>
        </w:tc>
      </w:tr>
      <w:tr>
        <w:trPr>
          <w:trHeight w:val="20"/>
        </w:trPr>
        <w:tc>
          <w:tcPr>
            <w:tcW w:w="6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35"/>
        </w:trPr>
        <w:tc>
          <w:tcPr>
            <w:tcW w:w="6240" w:type="dxa"/>
            <w:vAlign w:val="bottom"/>
          </w:tcPr>
          <w:p>
            <w:pPr>
              <w:spacing w:after="0"/>
              <w:rPr>
                <w:sz w:val="24"/>
                <w:szCs w:val="24"/>
                <w:color w:val="auto"/>
              </w:rPr>
            </w:pPr>
          </w:p>
        </w:tc>
        <w:tc>
          <w:tcPr>
            <w:tcW w:w="1740" w:type="dxa"/>
            <w:vAlign w:val="bottom"/>
            <w:gridSpan w:val="2"/>
          </w:tcPr>
          <w:p>
            <w:pPr>
              <w:ind w:left="440"/>
              <w:spacing w:after="0"/>
              <w:rPr>
                <w:sz w:val="20"/>
                <w:szCs w:val="20"/>
                <w:color w:val="auto"/>
              </w:rPr>
            </w:pPr>
            <w:r>
              <w:rPr>
                <w:rFonts w:ascii="Arial" w:cs="Arial" w:eastAsia="Arial" w:hAnsi="Arial"/>
                <w:sz w:val="16"/>
                <w:szCs w:val="16"/>
                <w:b w:val="1"/>
                <w:bCs w:val="1"/>
                <w:color w:val="auto"/>
              </w:rPr>
              <w:t>U.S. Retail</w:t>
            </w:r>
          </w:p>
        </w:tc>
        <w:tc>
          <w:tcPr>
            <w:tcW w:w="1760" w:type="dxa"/>
            <w:vAlign w:val="bottom"/>
            <w:gridSpan w:val="2"/>
          </w:tcPr>
          <w:p>
            <w:pPr>
              <w:ind w:left="300"/>
              <w:spacing w:after="0"/>
              <w:rPr>
                <w:sz w:val="20"/>
                <w:szCs w:val="20"/>
                <w:color w:val="auto"/>
              </w:rPr>
            </w:pPr>
            <w:r>
              <w:rPr>
                <w:rFonts w:ascii="Arial" w:cs="Arial" w:eastAsia="Arial" w:hAnsi="Arial"/>
                <w:sz w:val="16"/>
                <w:szCs w:val="16"/>
                <w:b w:val="1"/>
                <w:bCs w:val="1"/>
                <w:color w:val="auto"/>
              </w:rPr>
              <w:t>U.S. Wholesale</w:t>
            </w:r>
          </w:p>
        </w:tc>
        <w:tc>
          <w:tcPr>
            <w:tcW w:w="1640" w:type="dxa"/>
            <w:vAlign w:val="bottom"/>
          </w:tcPr>
          <w:p>
            <w:pPr>
              <w:jc w:val="right"/>
              <w:ind w:right="279"/>
              <w:spacing w:after="0"/>
              <w:rPr>
                <w:sz w:val="20"/>
                <w:szCs w:val="20"/>
                <w:color w:val="auto"/>
              </w:rPr>
            </w:pPr>
            <w:r>
              <w:rPr>
                <w:rFonts w:ascii="Arial" w:cs="Arial" w:eastAsia="Arial" w:hAnsi="Arial"/>
                <w:sz w:val="16"/>
                <w:szCs w:val="16"/>
                <w:b w:val="1"/>
                <w:bCs w:val="1"/>
                <w:color w:val="auto"/>
              </w:rPr>
              <w:t>International</w:t>
            </w:r>
          </w:p>
        </w:tc>
      </w:tr>
      <w:tr>
        <w:trPr>
          <w:trHeight w:val="33"/>
        </w:trPr>
        <w:tc>
          <w:tcPr>
            <w:tcW w:w="62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margin for the first two quarters of fiscal 2018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w w:val="98"/>
              </w:rPr>
              <w:t>4.6%</w:t>
            </w:r>
          </w:p>
        </w:tc>
      </w:tr>
      <w:tr>
        <w:trPr>
          <w:trHeight w:val="237"/>
        </w:trPr>
        <w:tc>
          <w:tcPr>
            <w:tcW w:w="6240" w:type="dxa"/>
            <w:vAlign w:val="bottom"/>
          </w:tcPr>
          <w:p>
            <w:pPr>
              <w:ind w:left="140"/>
              <w:spacing w:after="0"/>
              <w:rPr>
                <w:sz w:val="20"/>
                <w:szCs w:val="20"/>
                <w:color w:val="auto"/>
              </w:rPr>
            </w:pPr>
            <w:r>
              <w:rPr>
                <w:rFonts w:ascii="Arial" w:cs="Arial" w:eastAsia="Arial" w:hAnsi="Arial"/>
                <w:sz w:val="16"/>
                <w:szCs w:val="16"/>
                <w:color w:val="auto"/>
              </w:rPr>
              <w:t>Favorable (unfavorable) bps change in the first two quarters of fiscal 2019</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Gross profit</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(40) bps</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(170) bps</w:t>
            </w:r>
          </w:p>
        </w:tc>
        <w:tc>
          <w:tcPr>
            <w:tcW w:w="1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(90) bps</w:t>
            </w:r>
          </w:p>
        </w:tc>
      </w:tr>
      <w:tr>
        <w:trPr>
          <w:trHeight w:val="237"/>
        </w:trPr>
        <w:tc>
          <w:tcPr>
            <w:tcW w:w="6240" w:type="dxa"/>
            <w:vAlign w:val="bottom"/>
          </w:tcPr>
          <w:p>
            <w:pPr>
              <w:jc w:val="right"/>
              <w:spacing w:after="0"/>
              <w:rPr>
                <w:sz w:val="20"/>
                <w:szCs w:val="20"/>
                <w:color w:val="auto"/>
              </w:rPr>
            </w:pPr>
            <w:r>
              <w:rPr>
                <w:rFonts w:ascii="Arial" w:cs="Arial" w:eastAsia="Arial" w:hAnsi="Arial"/>
                <w:sz w:val="16"/>
                <w:szCs w:val="16"/>
                <w:color w:val="auto"/>
              </w:rPr>
              <w:t>Royalty income</w:t>
            </w:r>
          </w:p>
        </w:tc>
        <w:tc>
          <w:tcPr>
            <w:tcW w:w="1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300"/>
              <w:spacing w:after="0"/>
              <w:rPr>
                <w:sz w:val="20"/>
                <w:szCs w:val="20"/>
                <w:color w:val="auto"/>
              </w:rPr>
            </w:pPr>
            <w:r>
              <w:rPr>
                <w:rFonts w:ascii="Arial" w:cs="Arial" w:eastAsia="Arial" w:hAnsi="Arial"/>
                <w:sz w:val="16"/>
                <w:szCs w:val="16"/>
                <w:color w:val="auto"/>
              </w:rPr>
              <w:t>(20) bps</w:t>
            </w: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10 bps</w:t>
            </w:r>
          </w:p>
        </w:tc>
      </w:tr>
      <w:tr>
        <w:trPr>
          <w:trHeight w:val="33"/>
        </w:trPr>
        <w:tc>
          <w:tcPr>
            <w:tcW w:w="62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SG&amp;A expenses</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 bps</w:t>
            </w:r>
          </w:p>
        </w:tc>
        <w:tc>
          <w:tcPr>
            <w:tcW w:w="1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350 bps</w:t>
            </w:r>
          </w:p>
        </w:tc>
        <w:tc>
          <w:tcPr>
            <w:tcW w:w="1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160 bps</w:t>
            </w:r>
          </w:p>
        </w:tc>
      </w:tr>
      <w:tr>
        <w:trPr>
          <w:trHeight w:val="244"/>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Operating margin for the first two quarters of fiscal 2019</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Pr>
          <w:p>
            <w:pPr>
              <w:spacing w:after="0"/>
              <w:rPr>
                <w:sz w:val="21"/>
                <w:szCs w:val="21"/>
                <w:color w:val="auto"/>
              </w:rPr>
            </w:pPr>
          </w:p>
        </w:tc>
        <w:tc>
          <w:tcPr>
            <w:tcW w:w="16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6"/>
                <w:szCs w:val="16"/>
                <w:b w:val="1"/>
                <w:bCs w:val="1"/>
                <w:color w:val="auto"/>
              </w:rPr>
              <w:t>18.0%</w:t>
            </w:r>
          </w:p>
        </w:tc>
        <w:tc>
          <w:tcPr>
            <w:tcW w:w="100" w:type="dxa"/>
            <w:vAlign w:val="bottom"/>
          </w:tcPr>
          <w:p>
            <w:pPr>
              <w:spacing w:after="0"/>
              <w:rPr>
                <w:sz w:val="21"/>
                <w:szCs w:val="21"/>
                <w:color w:val="auto"/>
              </w:rPr>
            </w:pPr>
          </w:p>
        </w:tc>
        <w:tc>
          <w:tcPr>
            <w:tcW w:w="164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6"/>
                <w:szCs w:val="16"/>
                <w:b w:val="1"/>
                <w:bCs w:val="1"/>
                <w:color w:val="auto"/>
                <w:w w:val="98"/>
              </w:rPr>
              <w:t>5.4%</w:t>
            </w:r>
          </w:p>
        </w:tc>
      </w:tr>
      <w:tr>
        <w:trPr>
          <w:trHeight w:val="20"/>
        </w:trPr>
        <w:tc>
          <w:tcPr>
            <w:tcW w:w="6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7" w:right="259" w:bottom="1440" w:gutter="0" w:footer="0" w:header="0"/>
        </w:sectPr>
      </w:pPr>
    </w:p>
    <w:bookmarkStart w:id="26" w:name="page27"/>
    <w:bookmarkEnd w:id="26"/>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 Operating Income</w:t>
      </w:r>
    </w:p>
    <w:p>
      <w:pPr>
        <w:spacing w:after="0" w:line="9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U.S. Retail segment operating income increased by $5.7 million, or 12.6%, to $51.1 million in the second quarter of fiscal 2019 from $45.4 million in the second quarter of fiscal 2018. This segment's operating margin increased 80 bps from 11.3% in the second quarter of fiscal 2018 to 12.1% in the second quarter of fiscal 2019. The primary drivers of the change in operating margin were a:</w:t>
      </w:r>
    </w:p>
    <w:p>
      <w:pPr>
        <w:spacing w:after="0" w:line="46" w:lineRule="exact"/>
        <w:rPr>
          <w:sz w:val="20"/>
          <w:szCs w:val="20"/>
          <w:color w:val="auto"/>
        </w:rPr>
      </w:pPr>
    </w:p>
    <w:p>
      <w:pPr>
        <w:ind w:left="660" w:right="4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 bps decrease in gross profit, primarily due to higher product costs, including eCommerce shipping costs, partially offset by a higher average price per unit;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120 bps decrease in SG&amp;A expenses, primarily due to 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100 bps decrease in expenses associated with retail stores;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50 bps decrease in marketing investments;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20 bps increase in expenses related to eCommerce growth.</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U.S. Retail segment operating income increased by $0.1 million, or 0.2%, to $75.1 million in the first two quarters of fiscal 2019 from $74.9 million in the first two quarters of fiscal 2018. This segment's operating margin decreased 10 bps from 9.5% in the first two quarters of fiscal 2018 to 9.4% in the first two quarters of fiscal 2019. The primary drivers of the change in operating margin were a:</w:t>
      </w:r>
    </w:p>
    <w:p>
      <w:pPr>
        <w:spacing w:after="0" w:line="46" w:lineRule="exact"/>
        <w:rPr>
          <w:sz w:val="20"/>
          <w:szCs w:val="20"/>
          <w:color w:val="auto"/>
        </w:rPr>
      </w:pPr>
    </w:p>
    <w:p>
      <w:pPr>
        <w:ind w:left="660" w:right="4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40 bps decrease in gross profit, primarily due to higher product costs, including eCommerce shipping costs, partially offset by a higher average price per unit and lower provisions for inventory;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30 bps decrease in SG&amp;A expenses, primarily due to 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40 bps decrease in marketing investments;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20 bps decrease in expenses associated with retail stores;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20 bps increase in expenses related to eCommerce growth;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10 bps increase in distribution and freight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 Operating Income</w:t>
      </w:r>
    </w:p>
    <w:p>
      <w:pPr>
        <w:spacing w:after="0" w:line="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U.S. Wholesale segment operating income in the second quarter of fiscal 2019 increased $5.0 million, or 16.5%, to $35.3 million from $30.3 million in the second quarter of fiscal 2018. The segment's operating margin increased 90 bps from 14.5% in the second quarter of fiscal 2018 to 15.4% in the second quarter of fiscal 2019. The primary drivers of the change in operating margin were a:</w:t>
      </w:r>
    </w:p>
    <w:p>
      <w:pPr>
        <w:spacing w:after="0" w:line="4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 bps increase in gross profit, primarily due to lower provisions for inventory, partially offset by changes in customer mix;</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 bps decrease in royalty income, primarily due to the transition of a licensee to a wholesale model, which was partially offset by increased licensee sales;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90 bps decrease in SG&amp;A expenses, primarily due to 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40 bps decrease in marketing investments;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30 bps decrease in provisions for accounts receivable;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10 bps decrease in distribution costs.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U.S. Wholesale segment operating income in the first two quarters of fiscal 2019 increased $10.2 million, or 12.6%, to $90.8 million from $80.6 million in the first two quarters of fiscal 2018. The segment's operating margin increased 160 bps from 16.4% in the first two quarters of fiscal 2018 to 18.0% in the first two quarters of fiscal 2019. The primary drivers of the change in operating margin were a:</w:t>
      </w:r>
    </w:p>
    <w:p>
      <w:pPr>
        <w:spacing w:after="0" w:line="4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170 bps decrease in gross profit, primarily due to changes in customer mix, partially offset by lower provisions for inventory;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 bps decrease in royalty income, primarily due to the transition of a licensee to a wholesale model;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350 bps decrease in SG&amp;A expenses, primarily due to 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300 bps decrease primarily due to the absence of a provision for a customer bankruptcy that occurred in the first fiscal quarter of 2018; and</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20 bps decrease in marketing investments.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37" w:right="259" w:bottom="1440" w:gutter="0" w:footer="0" w:header="0"/>
        </w:sectPr>
      </w:pPr>
    </w:p>
    <w:bookmarkStart w:id="27" w:name="page28"/>
    <w:bookmarkEnd w:id="27"/>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Operating Income</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International segment operating income decreased by $0.1 million, or 1.3%, to $4.3 million in the second quarter of fiscal 2019 from $4.3 million in the second quarter of fiscal 2018. This segment's operating margin increased 10 bps from 5.1% in the second quarter of fiscal 2018 to 5.2% in the second quarter of fiscal 2019. The primary drivers of the change in operating margin were:</w:t>
      </w:r>
    </w:p>
    <w:p>
      <w:pPr>
        <w:spacing w:after="0" w:line="4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190 bps decrease in gross profit primarily due to channel mix and higher product costs;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190 bps decrease in SG&amp;A expenses, primarily due to the China business model change.</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International segment operating income increased by $1.1 million, or 14.2%, to $9.2 million in the first two quarters of fiscal 2019 from $8.1 million in the first two quarters of fiscal 2018. This segment's operating margin increased 80 bps from 4.6% in the first two quarters of fiscal 2018 to 5.4% in the first two quarters of fiscal 2019. The primary drivers of the change in operating margin were:</w:t>
      </w:r>
    </w:p>
    <w:p>
      <w:pPr>
        <w:spacing w:after="0" w:line="46" w:lineRule="exact"/>
        <w:rPr>
          <w:sz w:val="20"/>
          <w:szCs w:val="20"/>
          <w:color w:val="auto"/>
        </w:rPr>
      </w:pPr>
    </w:p>
    <w:p>
      <w:pPr>
        <w:ind w:left="660" w:right="10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90 bps decrease in gross profit primarily due to increased promotional activity for sales to customers across various regions, partially offset by the benefit from the favorable recovery of value of China-related inventories in the first quarter of fiscal 2019;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160 bps decrease in SG&amp;A expenses, primarily due to the China business model 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Unallocated corporate expenses increased by $3.2 million, or 13.6%, in the second quarter of fiscal 2019 compared to the second quarter of fiscal 2018. Unallocated corporate expenses, as a percentage of consolidated net sales, increased from 3.3% in the second quarter of fiscal 2018 to 3.6% in the second quarter of fiscal 2019.</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Unallocated corporate expenses increased by $3.5 million, or 7.6%, in the first two quarters of fiscal 2019 compared to the first two quarters of fiscal 2018. Unallocated corporate expenses, as a percentage of consolidated net sales, increased from 3.2% in the first two quarters of fiscal 2018 to 3.4% in the first two quarters of fiscal 2019.</w:t>
      </w:r>
    </w:p>
    <w:p>
      <w:pPr>
        <w:spacing w:after="0" w:line="14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increases in the second quarter and first two quarters of fiscal 2019 primarily reflect the receipt of insurance recoveries that occurred in the second quarter of fiscal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Interest expense in the second quarter of fiscal 2019 and 2018 was $9.1 million and $7.9 million, respectively. Weighted-average borrowings for the second quarter of fiscal 2019 were approximately $608.8 million with an effective interest rate of 5.78%, compared to weighted-average borrowings for the second quarter of fiscal 2018 of $616.9 million with an effective interest rate of 5.04%. The decrease in weighted-average borrowings during the second quarter of fiscal 2019 was attributable to lower borrowings under our secured revolving credit facility.</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Interest expense in the first two quarters of fiscal 2019 and 2018 was $18.7 million and $15.9 million, respectively. Weighted-average borrowings for the first two quarters of fiscal 2019 were approximately $624.2 million with an effective interest rate of 5.51%, compared to weighted-average borrowings for the first two quarters of fiscal 2018 of $634.9 million with an effective interest rate of 4.92%. The decrease in weighted-average borrowings during the first two quarters of fiscal 2019 was attributable to reduced borrowings under our secured revolving credit facility.</w:t>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increase in the weighted-average interest rate for the second quarter and first two quarters of fiscal 2019 compared to the second quarter and first two quarters of fiscal 2018 was due primarily to incremental interest expense associated with the refinancing of the senior notes in the first fiscal quarter of 2019 and a higher LIBOR rate for the outstanding variable-rate borrowings on our secured revolving credit facility during the 2019 period.</w:t>
      </w:r>
    </w:p>
    <w:p>
      <w:pPr>
        <w:spacing w:after="0" w:line="1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On our consolidated balance sheet, unamortized debt issuance costs associated with our senior notes are presented as a direct reduction in the carrying value of the associated debt liability for all periods presented. See Note 8,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expense (income), net is comprised primarily of gains and losses on foreign currency transactions and, if utilized during a reporting period, gains and losses on foreign currency forward contracts.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37" w:right="259" w:bottom="1440" w:gutter="0" w:footer="0" w:header="0"/>
        </w:sectPr>
      </w:pPr>
    </w:p>
    <w:bookmarkStart w:id="28" w:name="page29"/>
    <w:bookmarkEnd w:id="28"/>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first quarter of fiscal 2019, loss on extinguishment of debt was $7.8 million due to the early extinguishment of $400 million in aggregate principal amount, 5.25% senior notes due 2021. Concurrently, we issued $500 million in aggregate principal amount, 5.625% senior notes due 2027, allowing us to extend our maturity schedule.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Our consolidated effective income tax rate for the second quarter of fiscal 2019 was 21.1% compared to 22.8% for the second quarter of fiscal 2018. Our consolidated effective income tax rate for the first two quarters of fiscal 2019 was 21.2% compared to 21.2% for the first two quarters of fiscal 2018. The lower effective rate in fiscal 2019 benefits from clarification of the international tax provisions enacted under the 2017 U.S. tax reform legislation.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4"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Our consolidated net income for the second quarter of fiscal 2019 increased by $6.7 million, or 17.9%, to $43.9 million compared to $37.3 million in the second quarter of fiscal 2018. Our consolidated net income for the first two quarters of fiscal 2019 decreased by $1.3 million, or 1.7%, to $78.4 million compared to $79.7 million in the first two quarters of fiscal 2018. These changes were due to the factors previously discussed.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ongoing cash needs are primarily for working capital and capital expenditures. We expect that our primary sources of liquidity will continue to be cash and cash equivalents on hand, cash flow from operations, and, if necessary, borrowings available under our secured revolving credit facility. We expect that these sources and access to capital markets will fund our ongoing requirements for the foreseeable future. Further, we do not expect current economic conditions to prevent us from meeting our cash requirements. These sources of liquidity may be affected by events described in our risk factors, as further discussed under the heading "Risk Factors" in our most recently filed Annual Report on Form 10-K and other reports filed with the Securities and Exchange Commission from time to time.</w:t>
      </w:r>
    </w:p>
    <w:p>
      <w:pPr>
        <w:spacing w:after="0" w:line="15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of June 29, 2019, the Company had $118.5 million of cash and cash equivalents in major financial institutions, including $33.1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Net accounts receivable at June 29, 2019 were $168.2 million compared to $152.5 million at June 30, 2018 and $258.3 million at December 29, 2018. The overall increase of $15.7 million, or 10.3%, at June 29, 2019 compared to June 30, 2018 was primarily a result of increased wholesale demand. Due to the seasonal nature of our operations, the net accounts receivable balance at June 29, 2019 is not comparable to the net accounts receivable balance at December 29, 2018.</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Inventories at June 29, 2019 were $697.6 million compared to $663.3 million at June 30, 2018 and $574.2 million at December 29, 2018. The increase of</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$34.3 million, or 5.2%, at June 29, 2019 compared to June 30, 2018 primarily reflects increased wholesale demand and new retail stores, higher product costs, and lower provisions for inventory. Due to the seasonal nature of our operations, the inventories balance at June 29, 2019 is not comparable to the inventories balance at December 29,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for the first two quarters of fiscal 2019 was $104.5 million compared to net cash provided by operating activities of $103.1 million in the first two quarters of fiscal 2018. Our cash flow provided by operating activities is dependent on net income and changes in our working capital. The increase in operating cash flow for the 2019 period was primarily due to the timing of payments by customers, partially offset by higher payments for inventory to support increased wholesale demand and new retail stores.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cash used in investing activities was $24.2 million for the first two quarters of fiscal 2019 compared to $31.3 million in the first two quarters of fiscal 2018. Capital expenditures were $25.0 million in the first two quarters of fiscal 2019 compared to</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38"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$31.8 million in the first two quarters of fiscal 2018, reflecting timing of new store openings in the 2018 fiscal period. Capital spending in the first two quarters of fiscal 2019 included approximately $14.6 million for our U.S. and international retail store openings and re-modelings, $4.2 million for information technology initiatives, $4.2 million for distribution and office facilities, and $0.8 million for wholesale fixtures.</w:t>
      </w:r>
    </w:p>
    <w:p>
      <w:pPr>
        <w:spacing w:after="0" w:line="1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plan to invest approximately $80 million in total capital expenditures for all of fiscal 2019, primarily for our U.S. and international retail store openings and re-modelings, information technology initiatives, and distribution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financing activities was $132.5 million in the first two quarters of fiscal 2019 compared to $65.7 million in the first two quarters of fiscal 2018. The net increase in cash used in financing activities in the 2019 period primarily reflected the redemption of $400 million in principal amount of senior notes, the premium paid on the early extinguishment of the $400 million senior notes, a decrease in borrowings on the revolving credit facility, increased repurchases of common stock, and increased dividend payments, partially offset by the issuance of $500 million in principal amount of senior notes in March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June 29, 2019, we had $110.0 million in outstanding borrowings under our secured revolving credit facility, exclusive of $5.0 million of outstanding letters of credit. As of June 29, 2019, approximately $635.0 million was available for future borrowing.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13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interest rate margins applicable to our secured revolving credit facility as of June 29, 2019 were 1.375% for LIBOR rate loans (which may be adjusted based on a leverage-based pricing grid ranging from 1.125% to 1.875%) and 0.375% for base rate loans (which may be adjusted based on a leverage-based pricing grid ranging from 0.125% to 0.875%).</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June 29, 2019, U.S. dollar borrowings outstanding under the secured revolving credit facility accrued interest at a LIBOR rate plus the applicable margin, which resulted in a weighted-average borrowing rate of 3.78%.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June 29, 2019, we were in compliance with the financial and other covenants under our secured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9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March 14, 2019, TWCC redeemed $400 million principal amount of senior notes, bearing interest at a rate of 5.25% per annum, and maturing on August 15, 2021, pursuant to the optional redemption provisions of the notes, which required that TWCC pay the outstanding principal plus accrued interest and an early redemption premium of 1.31% of the outstanding principal amounts of the senior notes. This debt redemption resulted in a loss on extinguishment of debt of $7.8 million, consisting of $5.2 million of early redemption premiums and $2.6 million of unamortized debt issuance costs.</w:t>
      </w:r>
    </w:p>
    <w:p>
      <w:pPr>
        <w:spacing w:after="0" w:line="1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Concurrently, TWCC issued $500 million principal amount of senior notes at par, bearing interest at a rate of 5.625% per annum, and maturing on March 15, 2027, all of which were outstanding as of June 29, 2019. TWCC received net proceeds from the offering of the senior notes of approximately $494.8 million, after deducting the underwriting fees and other expenses, which TWCC used to redeem the senior notes discussed above and repay borrowings under the secured revolving credit facility. During the second quarter and first two quarters of fiscal 2019, approximately $0.1 million and $5.8 million, respectively, including both bank fees and other third party expenses, has been capitalized in connection with the issuance and is being amortized over the term of the senior notes.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first two quarters of fiscal 2019, the Company repurchased and retired 1,005,877 shares in open market transactions for approximately $92.4 million at an average price of $91.90 per share. In the first two quarters of fiscal 2018, the Company repurchased and retired 820,627 shares in open market transactions for approximately $89.1 million, at an average price of $108.57 per share.</w:t>
      </w:r>
    </w:p>
    <w:p>
      <w:pPr>
        <w:spacing w:after="0" w:line="14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total remaining capacity under all remaining repurchase authorizations as of June 29, 2019 was approximately $300.2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37" w:right="259" w:bottom="1440" w:gutter="0" w:footer="0" w:header="0"/>
        </w:sectPr>
      </w:pPr>
    </w:p>
    <w:bookmarkStart w:id="30" w:name="page31"/>
    <w:bookmarkEnd w:id="30"/>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the first and second quarters of fiscal 2019, we paid quarterly cash dividends of $0.50 per share in each quarter. In the first and second quarters of fiscal 2018, we paid quarterly cash dividends of $0.45 per share in each quarter.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4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 disclosed in our most recent Annual Report on Form 10-K for the 2018 fiscal year ended December 29, 2018, provisions in our secured revolving credit facility could have the effect of restricting our ability to pay future cash dividends on or make future repurchases of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5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critical accounting policies and estimates are described under the heading "Critical Accounting Policies and Estimates" in Item 7 of our most recent Annual Report on Form 10-K for the 2018 fiscal year ended December 29, 2018.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for the effects that the adoption of ASC 842, Leases</w:t>
      </w:r>
      <w:r>
        <w:rPr>
          <w:rFonts w:ascii="Arial" w:cs="Arial" w:eastAsia="Arial" w:hAnsi="Arial"/>
          <w:sz w:val="16"/>
          <w:szCs w:val="16"/>
          <w:i w:val="1"/>
          <w:iCs w:val="1"/>
          <w:color w:val="auto"/>
        </w:rPr>
        <w:t>,</w:t>
      </w:r>
      <w:r>
        <w:rPr>
          <w:rFonts w:ascii="Arial" w:cs="Arial" w:eastAsia="Arial" w:hAnsi="Arial"/>
          <w:sz w:val="16"/>
          <w:szCs w:val="16"/>
          <w:color w:val="auto"/>
        </w:rPr>
        <w:t xml:space="preserve"> had on our policies as disclosed under the header "Accounting Policies"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to the accompanying unaudited condensed consolidated financial statements contained in Item 1 of this Quarterly Report on Form 10-Q.</w:t>
      </w:r>
    </w:p>
    <w:p>
      <w:pPr>
        <w:spacing w:after="0" w:line="12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Additionally, information related to the pending adoption of recently issued accounting standards is provided in Note 16, </w:t>
      </w:r>
      <w:r>
        <w:rPr>
          <w:rFonts w:ascii="Arial" w:cs="Arial" w:eastAsia="Arial" w:hAnsi="Arial"/>
          <w:sz w:val="18"/>
          <w:szCs w:val="18"/>
          <w:i w:val="1"/>
          <w:iCs w:val="1"/>
          <w:color w:val="auto"/>
        </w:rPr>
        <w:t>Pending Adoption of Recent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Pronouncements</w:t>
      </w:r>
      <w:r>
        <w:rPr>
          <w:rFonts w:ascii="Arial" w:cs="Arial" w:eastAsia="Arial" w:hAnsi="Arial"/>
          <w:sz w:val="18"/>
          <w:szCs w:val="18"/>
          <w:color w:val="auto"/>
        </w:rPr>
        <w:t>, to the accompanying unaudited condensed consolidated financial statements contained in Item 1 of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1" w:name="page32"/>
    <w:bookmarkEnd w:id="31"/>
    <w:p>
      <w:pPr>
        <w:ind w:right="4120"/>
        <w:spacing w:after="0" w:line="346" w:lineRule="auto"/>
        <w:rPr>
          <w:sz w:val="20"/>
          <w:szCs w:val="20"/>
          <w:color w:val="auto"/>
        </w:rPr>
      </w:pPr>
      <w:r>
        <w:rPr>
          <w:rFonts w:ascii="Arial" w:cs="Arial" w:eastAsia="Arial" w:hAnsi="Arial"/>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9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We cannot predict the impact that future currency fluctuations may have on our financial position, results of operations, or cash flows in future periods.</w:t>
      </w:r>
    </w:p>
    <w:p>
      <w:pPr>
        <w:spacing w:after="0" w:line="106"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Fluctuations in currency exchange rates, primarily between the U.S. dollar and the currencies of Canada, Mexico, Hong Kong, and the United Kingdom, may affect our results of operations, financial position, and cash flows. Transactions by certain foreign subsidiaries may be denominated in currencies other than that entity's functional currency. Foreign currency transaction gains and losses also include the impact of non-current intercompany loans with foreign subsidiaries that are marked to market. In our statement of operations, these gains and losses are recorded within Other income/expense, net.</w:t>
      </w:r>
    </w:p>
    <w:p>
      <w:pPr>
        <w:spacing w:after="0" w:line="1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our overall strategy to manage the level of exposure to the risk of foreign currency exchange rate fluctuations, some of our foreign operations may use currency forward contracts from time to time to hedge the foreign currency exchange risk associated with purchases that are made in U.S. dollars, primarily for inventory purchases. As part of this strategy, we primarily use foreign currency forward exchange contracts that have maturities of less than 12 months to provide continuing coverage throughout the hedging period. As of June 29, 2019, there were no open foreign currency forward exchange contracts.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operating results are subject to risk from interest rate fluctuations on our secured revolving credit facility, which carries variable interest rates. Our variable rate borrowings outstanding as of June 29, 2019 were $110.0 million. An increase or decrease of 1% in the effective interest rate on that amount would increase or decrease our annual pre-tax interest expense by approximately $1.1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June 29,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June 29, 2019 that have materially affected, or which are reasonably likely to materially affect, Internal Control.</w:t>
      </w:r>
    </w:p>
    <w:p>
      <w:pPr>
        <w:spacing w:after="0" w:line="1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June 29, 2019.</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32" w:name="page33"/>
    <w:bookmarkEnd w:id="32"/>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2018 fiscal year ended December 29, 2018.</w:t>
      </w: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364"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second quarter of fiscal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dollar value of shares</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that may</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yet be</w:t>
            </w:r>
          </w:p>
        </w:tc>
      </w:tr>
      <w:tr>
        <w:trPr>
          <w:trHeight w:val="203"/>
        </w:trPr>
        <w:tc>
          <w:tcPr>
            <w:tcW w:w="4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6"/>
              </w:rPr>
              <w:t>purchased</w:t>
            </w:r>
          </w:p>
        </w:tc>
      </w:tr>
      <w:tr>
        <w:trPr>
          <w:trHeight w:val="203"/>
        </w:trPr>
        <w:tc>
          <w:tcPr>
            <w:tcW w:w="4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20" w:type="dxa"/>
            <w:vAlign w:val="bottom"/>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w w:val="99"/>
              </w:rPr>
              <w:t>Average price paid per</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under the plans</w:t>
            </w:r>
          </w:p>
        </w:tc>
      </w:tr>
      <w:tr>
        <w:trPr>
          <w:trHeight w:val="243"/>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1"/>
                <w:szCs w:val="21"/>
                <w:b w:val="1"/>
                <w:bCs w:val="1"/>
                <w:color w:val="auto"/>
                <w:w w:val="88"/>
                <w:vertAlign w:val="superscript"/>
              </w:rPr>
              <w:t>(2)</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(3)</w:t>
            </w: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2019 through April 27,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173,962</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$102.80</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173,962</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$334,763,601</w:t>
            </w:r>
          </w:p>
        </w:tc>
      </w:t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28, 2019 through May 25,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132,286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$95.73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131,781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$322,148,364</w:t>
            </w:r>
          </w:p>
        </w:tc>
      </w:t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26, 2019 through June 29,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239,877</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$91.62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239,877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$300,169,730</w:t>
            </w:r>
          </w:p>
        </w:tc>
      </w:tr>
      <w:tr>
        <w:trPr>
          <w:trHeight w:val="216"/>
        </w:trPr>
        <w:tc>
          <w:tcPr>
            <w:tcW w:w="42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546,125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545,620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right="40" w:hanging="332"/>
        <w:spacing w:after="0" w:line="273"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shares of our common stock surrendered by our employees to satisfy required tax withholding upon the vesting of restricted stock awards. There were 505 shares surrendered between April 28, 2019 and May 25, 2019.</w:t>
      </w:r>
    </w:p>
    <w:p>
      <w:pPr>
        <w:spacing w:after="0" w:line="38" w:lineRule="exact"/>
        <w:rPr>
          <w:rFonts w:ascii="Arial" w:cs="Arial" w:eastAsia="Arial" w:hAnsi="Arial"/>
          <w:sz w:val="14"/>
          <w:szCs w:val="14"/>
          <w:color w:val="auto"/>
        </w:rPr>
      </w:pPr>
    </w:p>
    <w:p>
      <w:pPr>
        <w:ind w:left="340" w:right="560" w:hanging="332"/>
        <w:spacing w:after="0" w:line="352"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Share purchases during the second quarter of fiscal 2019 were made in compliance with all applicable rules and regulations and in accordance with the share repurchase authorizations described in Note 7, </w:t>
      </w:r>
      <w:r>
        <w:rPr>
          <w:rFonts w:ascii="Arial" w:cs="Arial" w:eastAsia="Arial" w:hAnsi="Arial"/>
          <w:sz w:val="12"/>
          <w:szCs w:val="12"/>
          <w:i w:val="1"/>
          <w:iCs w:val="1"/>
          <w:color w:val="auto"/>
        </w:rPr>
        <w:t>Common Stock</w:t>
      </w:r>
      <w:r>
        <w:rPr>
          <w:rFonts w:ascii="Arial" w:cs="Arial" w:eastAsia="Arial" w:hAnsi="Arial"/>
          <w:sz w:val="12"/>
          <w:szCs w:val="12"/>
          <w:color w:val="auto"/>
        </w:rPr>
        <w:t>, to our accompanying unaudited condensed consolidated financial statements included in Item 1 of this Quarterly Report on Form 10-Q.</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Under share repurchase authorizations approved by our Board of Directors.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40" w:type="dxa"/>
            <w:vAlign w:val="bottom"/>
            <w:gridSpan w:val="6"/>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0"/>
        </w:trPr>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69"/>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w:t>
            </w:r>
          </w:p>
        </w:tc>
        <w:tc>
          <w:tcPr>
            <w:tcW w:w="600" w:type="dxa"/>
            <w:vAlign w:val="bottom"/>
          </w:tcPr>
          <w:p>
            <w:pPr>
              <w:spacing w:after="0"/>
              <w:rPr>
                <w:sz w:val="24"/>
                <w:szCs w:val="24"/>
                <w:color w:val="auto"/>
              </w:rPr>
            </w:pPr>
          </w:p>
        </w:tc>
        <w:tc>
          <w:tcPr>
            <w:tcW w:w="9160" w:type="dxa"/>
            <w:vAlign w:val="bottom"/>
            <w:tcBorders>
              <w:bottom w:val="single" w:sz="8" w:color="0000FF"/>
            </w:tcBorders>
            <w:gridSpan w:val="5"/>
          </w:tcPr>
          <w:p>
            <w:pPr>
              <w:spacing w:after="0"/>
              <w:rPr>
                <w:rFonts w:ascii="Arial" w:cs="Arial" w:eastAsia="Arial" w:hAnsi="Arial"/>
                <w:sz w:val="16"/>
                <w:szCs w:val="16"/>
                <w:color w:val="0000FF"/>
                <w:w w:val="92"/>
              </w:rPr>
            </w:pPr>
            <w:hyperlink r:id="rId9">
              <w:r>
                <w:rPr>
                  <w:rFonts w:ascii="Arial" w:cs="Arial" w:eastAsia="Arial" w:hAnsi="Arial"/>
                  <w:sz w:val="16"/>
                  <w:szCs w:val="16"/>
                  <w:color w:val="0000FF"/>
                  <w:w w:val="92"/>
                </w:rPr>
                <w:t>Certificate of Incorporation of Carter's, Inc., as amended on May 22, 2017 (incorporated by reference to Exhibit 3.1 of Carter's, Inc.'s Current</w:t>
              </w:r>
            </w:hyperlink>
          </w:p>
        </w:tc>
        <w:tc>
          <w:tcPr>
            <w:tcW w:w="28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00" w:type="dxa"/>
            <w:vAlign w:val="bottom"/>
            <w:tcBorders>
              <w:bottom w:val="single" w:sz="8" w:color="0000FF"/>
            </w:tcBorders>
            <w:gridSpan w:val="3"/>
          </w:tcPr>
          <w:p>
            <w:pPr>
              <w:spacing w:after="0" w:line="183" w:lineRule="exact"/>
              <w:rPr>
                <w:rFonts w:ascii="Arial" w:cs="Arial" w:eastAsia="Arial" w:hAnsi="Arial"/>
                <w:sz w:val="16"/>
                <w:szCs w:val="16"/>
                <w:color w:val="0000FF"/>
                <w:w w:val="93"/>
              </w:rPr>
            </w:pPr>
            <w:hyperlink r:id="rId9">
              <w:r>
                <w:rPr>
                  <w:rFonts w:ascii="Arial" w:cs="Arial" w:eastAsia="Arial" w:hAnsi="Arial"/>
                  <w:sz w:val="16"/>
                  <w:szCs w:val="16"/>
                  <w:color w:val="0000FF"/>
                  <w:w w:val="93"/>
                </w:rPr>
                <w:t>Report on Form 8-K filed on May 23, 2017).</w:t>
              </w:r>
            </w:hyperlink>
          </w:p>
        </w:tc>
        <w:tc>
          <w:tcPr>
            <w:tcW w:w="6540" w:type="dxa"/>
            <w:vAlign w:val="bottom"/>
            <w:gridSpan w:val="3"/>
          </w:tcPr>
          <w:p>
            <w:pPr>
              <w:spacing w:after="0"/>
              <w:rPr>
                <w:sz w:val="15"/>
                <w:szCs w:val="15"/>
                <w:color w:val="auto"/>
              </w:rPr>
            </w:pPr>
          </w:p>
        </w:tc>
      </w:tr>
      <w:tr>
        <w:trPr>
          <w:trHeight w:val="237"/>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3.2</w:t>
            </w:r>
          </w:p>
        </w:tc>
        <w:tc>
          <w:tcPr>
            <w:tcW w:w="600" w:type="dxa"/>
            <w:vAlign w:val="bottom"/>
          </w:tcPr>
          <w:p>
            <w:pPr>
              <w:spacing w:after="0"/>
              <w:rPr>
                <w:sz w:val="20"/>
                <w:szCs w:val="20"/>
                <w:color w:val="auto"/>
              </w:rPr>
            </w:pPr>
          </w:p>
        </w:tc>
        <w:tc>
          <w:tcPr>
            <w:tcW w:w="9440" w:type="dxa"/>
            <w:vAlign w:val="bottom"/>
            <w:tcBorders>
              <w:bottom w:val="single" w:sz="8" w:color="0000FF"/>
            </w:tcBorders>
            <w:gridSpan w:val="6"/>
          </w:tcPr>
          <w:p>
            <w:pPr>
              <w:spacing w:after="0"/>
              <w:rPr>
                <w:rFonts w:ascii="Arial" w:cs="Arial" w:eastAsia="Arial" w:hAnsi="Arial"/>
                <w:sz w:val="16"/>
                <w:szCs w:val="16"/>
                <w:color w:val="0000FF"/>
                <w:w w:val="92"/>
              </w:rPr>
            </w:pPr>
            <w:hyperlink r:id="rId10">
              <w:r>
                <w:rPr>
                  <w:rFonts w:ascii="Arial" w:cs="Arial" w:eastAsia="Arial" w:hAnsi="Arial"/>
                  <w:sz w:val="16"/>
                  <w:szCs w:val="16"/>
                  <w:color w:val="0000FF"/>
                  <w:w w:val="92"/>
                </w:rPr>
                <w:t>Amended and Restated By-Laws of Carter's, Inc. (incorporated by reference to Exhibit 3.2 of Carter's, Inc.'s Current Report on Form 8-K filed on</w:t>
              </w:r>
            </w:hyperlink>
          </w:p>
        </w:tc>
      </w:tr>
      <w:tr>
        <w:trPr>
          <w:trHeight w:val="183"/>
        </w:trPr>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40" w:type="dxa"/>
            <w:vAlign w:val="bottom"/>
            <w:gridSpan w:val="6"/>
          </w:tcPr>
          <w:p>
            <w:pPr>
              <w:spacing w:after="0" w:line="183" w:lineRule="exact"/>
              <w:rPr>
                <w:rFonts w:ascii="Arial" w:cs="Arial" w:eastAsia="Arial" w:hAnsi="Arial"/>
                <w:sz w:val="16"/>
                <w:szCs w:val="16"/>
                <w:color w:val="0000FF"/>
              </w:rPr>
            </w:pPr>
            <w:hyperlink r:id="rId10">
              <w:r>
                <w:rPr>
                  <w:rFonts w:ascii="Arial" w:cs="Arial" w:eastAsia="Arial" w:hAnsi="Arial"/>
                  <w:sz w:val="16"/>
                  <w:szCs w:val="16"/>
                  <w:color w:val="0000FF"/>
                </w:rPr>
                <w:t>May 23, 2017).</w:t>
              </w:r>
            </w:hyperlink>
          </w:p>
        </w:tc>
      </w:tr>
      <w:tr>
        <w:trPr>
          <w:trHeight w:val="20"/>
        </w:trPr>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r>
      <w:tr>
        <w:trPr>
          <w:trHeight w:val="237"/>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31.1</w:t>
            </w:r>
          </w:p>
        </w:tc>
        <w:tc>
          <w:tcPr>
            <w:tcW w:w="600" w:type="dxa"/>
            <w:vAlign w:val="bottom"/>
          </w:tcPr>
          <w:p>
            <w:pPr>
              <w:spacing w:after="0"/>
              <w:rPr>
                <w:sz w:val="20"/>
                <w:szCs w:val="20"/>
                <w:color w:val="auto"/>
              </w:rPr>
            </w:pPr>
          </w:p>
        </w:tc>
        <w:tc>
          <w:tcPr>
            <w:tcW w:w="9440" w:type="dxa"/>
            <w:vAlign w:val="bottom"/>
            <w:gridSpan w:val="6"/>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Rule 13a-15(e)/15d-15(e) and 13a-15(f)/15d-15(f) Certification.</w:t>
              </w:r>
            </w:hyperlink>
          </w:p>
        </w:tc>
      </w:tr>
      <w:tr>
        <w:trPr>
          <w:trHeight w:val="20"/>
        </w:trPr>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r>
      <w:tr>
        <w:trPr>
          <w:trHeight w:val="237"/>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31.2</w:t>
            </w:r>
          </w:p>
        </w:tc>
        <w:tc>
          <w:tcPr>
            <w:tcW w:w="600" w:type="dxa"/>
            <w:vAlign w:val="bottom"/>
          </w:tcPr>
          <w:p>
            <w:pPr>
              <w:spacing w:after="0"/>
              <w:rPr>
                <w:sz w:val="20"/>
                <w:szCs w:val="20"/>
                <w:color w:val="auto"/>
              </w:rPr>
            </w:pPr>
          </w:p>
        </w:tc>
        <w:tc>
          <w:tcPr>
            <w:tcW w:w="9440" w:type="dxa"/>
            <w:vAlign w:val="bottom"/>
            <w:gridSpan w:val="6"/>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Rule 13a-15(e)/15d-15(e) and 13a-15(f)/15d-15(f) Certification.</w:t>
              </w:r>
            </w:hyperlink>
          </w:p>
        </w:tc>
      </w:tr>
      <w:tr>
        <w:trPr>
          <w:trHeight w:val="20"/>
        </w:trPr>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71" w:lineRule="exact"/>
        <w:rPr>
          <w:sz w:val="20"/>
          <w:szCs w:val="20"/>
          <w:color w:val="auto"/>
        </w:rPr>
      </w:pPr>
    </w:p>
    <w:p>
      <w:pPr>
        <w:ind w:left="1760" w:hanging="975"/>
        <w:spacing w:after="0"/>
        <w:tabs>
          <w:tab w:leader="none" w:pos="1760" w:val="left"/>
        </w:tabs>
        <w:numPr>
          <w:ilvl w:val="0"/>
          <w:numId w:val="23"/>
        </w:numPr>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Section 1350 Certification.</w:t>
        </w:r>
      </w:hyperlink>
    </w:p>
    <w:p>
      <w:pPr>
        <w:spacing w:after="0" w:line="73" w:lineRule="exact"/>
        <w:rPr>
          <w:sz w:val="20"/>
          <w:szCs w:val="20"/>
          <w:color w:val="auto"/>
        </w:rPr>
      </w:pPr>
    </w:p>
    <w:p>
      <w:pPr>
        <w:ind w:left="740"/>
        <w:spacing w:after="0"/>
        <w:tabs>
          <w:tab w:leader="none" w:pos="174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364" w:right="459" w:bottom="1440" w:gutter="0" w:footer="0" w:header="0"/>
        </w:sectPr>
      </w:pPr>
    </w:p>
    <w:bookmarkStart w:id="35" w:name="page36"/>
    <w:bookmarkEnd w:id="35"/>
    <w:p>
      <w:pPr>
        <w:ind w:left="50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300"/>
        <w:spacing w:after="0"/>
        <w:tabs>
          <w:tab w:leader="none" w:pos="6240" w:val="left"/>
        </w:tabs>
        <w:rPr>
          <w:sz w:val="20"/>
          <w:szCs w:val="20"/>
          <w:color w:val="auto"/>
        </w:rPr>
      </w:pPr>
      <w:r>
        <w:rPr>
          <w:rFonts w:ascii="Arial" w:cs="Arial" w:eastAsia="Arial" w:hAnsi="Arial"/>
          <w:sz w:val="16"/>
          <w:szCs w:val="16"/>
          <w:color w:val="auto"/>
        </w:rPr>
        <w:t>July 25, 2019</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6073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07" w:lineRule="exact"/>
        <w:rPr>
          <w:sz w:val="20"/>
          <w:szCs w:val="20"/>
          <w:color w:val="auto"/>
        </w:rPr>
      </w:pPr>
    </w:p>
    <w:p>
      <w:pPr>
        <w:jc w:val="center"/>
        <w:ind w:left="2780"/>
        <w:spacing w:after="0"/>
        <w:rPr>
          <w:sz w:val="20"/>
          <w:szCs w:val="20"/>
          <w:color w:val="auto"/>
        </w:rPr>
      </w:pPr>
      <w:r>
        <w:rPr>
          <w:rFonts w:ascii="Arial" w:cs="Arial" w:eastAsia="Arial" w:hAnsi="Arial"/>
          <w:sz w:val="16"/>
          <w:szCs w:val="16"/>
          <w:color w:val="auto"/>
        </w:rPr>
        <w:t>Michael D. Casey</w:t>
      </w:r>
    </w:p>
    <w:p>
      <w:pPr>
        <w:spacing w:after="0" w:line="73"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Chief Executive Officer</w:t>
      </w:r>
    </w:p>
    <w:p>
      <w:pPr>
        <w:spacing w:after="0" w:line="86" w:lineRule="exact"/>
        <w:rPr>
          <w:sz w:val="20"/>
          <w:szCs w:val="20"/>
          <w:color w:val="auto"/>
        </w:rPr>
      </w:pPr>
    </w:p>
    <w:p>
      <w:pPr>
        <w:ind w:left="616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300"/>
        <w:spacing w:after="0"/>
        <w:tabs>
          <w:tab w:leader="none" w:pos="5880" w:val="left"/>
        </w:tabs>
        <w:rPr>
          <w:sz w:val="20"/>
          <w:szCs w:val="20"/>
          <w:color w:val="auto"/>
        </w:rPr>
      </w:pPr>
      <w:r>
        <w:rPr>
          <w:rFonts w:ascii="Arial" w:cs="Arial" w:eastAsia="Arial" w:hAnsi="Arial"/>
          <w:sz w:val="16"/>
          <w:szCs w:val="16"/>
          <w:color w:val="auto"/>
        </w:rPr>
        <w:t>July 25, 2019</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6073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07" w:lineRule="exact"/>
        <w:rPr>
          <w:sz w:val="20"/>
          <w:szCs w:val="20"/>
          <w:color w:val="auto"/>
        </w:rPr>
      </w:pPr>
    </w:p>
    <w:p>
      <w:pPr>
        <w:jc w:val="center"/>
        <w:ind w:left="2780"/>
        <w:spacing w:after="0"/>
        <w:rPr>
          <w:sz w:val="20"/>
          <w:szCs w:val="20"/>
          <w:color w:val="auto"/>
        </w:rPr>
      </w:pPr>
      <w:r>
        <w:rPr>
          <w:rFonts w:ascii="Arial" w:cs="Arial" w:eastAsia="Arial" w:hAnsi="Arial"/>
          <w:sz w:val="16"/>
          <w:szCs w:val="16"/>
          <w:color w:val="auto"/>
        </w:rPr>
        <w:t>Richard F. Westenberger</w:t>
      </w:r>
    </w:p>
    <w:p>
      <w:pPr>
        <w:spacing w:after="0" w:line="73"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Executive Vice President and</w:t>
      </w:r>
    </w:p>
    <w:p>
      <w:pPr>
        <w:spacing w:after="0" w:line="86"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Chief Financial Officer</w:t>
      </w:r>
    </w:p>
    <w:p>
      <w:pPr>
        <w:spacing w:after="0" w:line="86"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00"/>
          </w:cols>
          <w:pgMar w:left="240" w:top="765" w:right="11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60"/>
        <w:spacing w:after="0"/>
        <w:tabs>
          <w:tab w:leader="none" w:pos="6980" w:val="left"/>
        </w:tabs>
        <w:rPr>
          <w:sz w:val="20"/>
          <w:szCs w:val="20"/>
          <w:color w:val="auto"/>
        </w:rPr>
      </w:pPr>
      <w:r>
        <w:rPr>
          <w:rFonts w:ascii="Arial" w:cs="Arial" w:eastAsia="Arial" w:hAnsi="Arial"/>
          <w:sz w:val="18"/>
          <w:szCs w:val="18"/>
          <w:color w:val="auto"/>
        </w:rPr>
        <w:t>July 25, 2019</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18351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4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60"/>
        <w:spacing w:after="0"/>
        <w:tabs>
          <w:tab w:leader="none" w:pos="6420" w:val="left"/>
        </w:tabs>
        <w:rPr>
          <w:sz w:val="20"/>
          <w:szCs w:val="20"/>
          <w:color w:val="auto"/>
        </w:rPr>
      </w:pPr>
      <w:r>
        <w:rPr>
          <w:rFonts w:ascii="Arial" w:cs="Arial" w:eastAsia="Arial" w:hAnsi="Arial"/>
          <w:sz w:val="18"/>
          <w:szCs w:val="18"/>
          <w:color w:val="auto"/>
        </w:rPr>
        <w:t>July 25, 2019</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1697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24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June 29, 2019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60"/>
        <w:spacing w:after="0"/>
        <w:tabs>
          <w:tab w:leader="none" w:pos="6580" w:val="left"/>
        </w:tabs>
        <w:rPr>
          <w:sz w:val="20"/>
          <w:szCs w:val="20"/>
          <w:color w:val="auto"/>
        </w:rPr>
      </w:pPr>
      <w:r>
        <w:rPr>
          <w:rFonts w:ascii="Arial" w:cs="Arial" w:eastAsia="Arial" w:hAnsi="Arial"/>
          <w:sz w:val="18"/>
          <w:szCs w:val="18"/>
          <w:color w:val="auto"/>
        </w:rPr>
        <w:t>July 25, 2019</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143510</wp:posOffset>
            </wp:positionV>
            <wp:extent cx="284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59"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60"/>
        <w:spacing w:after="0"/>
        <w:tabs>
          <w:tab w:leader="none" w:pos="6180" w:val="left"/>
        </w:tabs>
        <w:rPr>
          <w:sz w:val="20"/>
          <w:szCs w:val="20"/>
          <w:color w:val="auto"/>
        </w:rPr>
      </w:pPr>
      <w:r>
        <w:rPr>
          <w:rFonts w:ascii="Arial" w:cs="Arial" w:eastAsia="Arial" w:hAnsi="Arial"/>
          <w:sz w:val="18"/>
          <w:szCs w:val="18"/>
          <w:color w:val="auto"/>
        </w:rPr>
        <w:t>July 25, 2019</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143510</wp:posOffset>
            </wp:positionV>
            <wp:extent cx="284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5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lvl w:ilvl="1">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
      <w:numFmt w:val="bullet"/>
      <w:start w:val="1"/>
    </w:lvl>
    <w:lvl w:ilvl="1">
      <w:lvlJc w:val="left"/>
      <w:lvlText w:val="•"/>
      <w:numFmt w:val="bullet"/>
      <w:start w:val="1"/>
    </w:lvl>
  </w:abstractNum>
  <w:abstractNum w:abstractNumId="18">
    <w:nsid w:val="721DA317"/>
    <w:multiLevelType w:val="hybridMultilevel"/>
    <w:lvl w:ilvl="0">
      <w:lvlJc w:val="left"/>
      <w:lvlText w:val="•"/>
      <w:numFmt w:val="bullet"/>
      <w:start w:val="1"/>
    </w:lvl>
    <w:lvl w:ilvl="1">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32"/>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9" Type="http://schemas.openxmlformats.org/officeDocument/2006/relationships/hyperlink" Target="http://www.sec.gov/Archives/edgar/data/1060822/000119312517179483/d400342dex31.htm" TargetMode="External"/><Relationship Id="rId10" Type="http://schemas.openxmlformats.org/officeDocument/2006/relationships/hyperlink" Target="http://www.sec.gov/Archives/edgar/data/1060822/000119312517179483/d40034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2019-12-28T10:26:07Z</dcterms:created>
  <dcterms:modified xsi:type="dcterms:W3CDTF">2019-12-28T10:26:07Z</dcterms:modified>
</cp:coreProperties>
</file>