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61" w:lineRule="exact"/>
        <w:rPr>
          <w:sz w:val="24"/>
          <w:szCs w:val="24"/>
          <w:color w:val="auto"/>
        </w:rPr>
      </w:pPr>
    </w:p>
    <w:p>
      <w:pPr>
        <w:ind w:left="380" w:right="1000" w:hanging="345"/>
        <w:spacing w:after="0" w:line="286" w:lineRule="auto"/>
        <w:tabs>
          <w:tab w:leader="none" w:pos="40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JULY 1, 2017 OR</w:t>
      </w:r>
    </w:p>
    <w:p>
      <w:pPr>
        <w:spacing w:after="0" w:line="114"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w:t>
      </w:r>
    </w:p>
    <w:p>
      <w:pPr>
        <w:spacing w:after="0" w:line="33" w:lineRule="exact"/>
        <w:rPr>
          <w:rFonts w:ascii="MS PGothic" w:cs="MS PGothic" w:eastAsia="MS PGothic" w:hAnsi="MS PGothic"/>
          <w:sz w:val="18"/>
          <w:szCs w:val="18"/>
          <w:color w:val="auto"/>
        </w:rPr>
      </w:pPr>
    </w:p>
    <w:p>
      <w:pPr>
        <w:ind w:left="3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EXCHANGE ACT OF 1934 FOR THE TRANSITION PERIOD FROM _____</w:t>
      </w:r>
    </w:p>
    <w:p>
      <w:pPr>
        <w:spacing w:after="0" w:line="7" w:lineRule="exact"/>
        <w:rPr>
          <w:rFonts w:ascii="MS PGothic" w:cs="MS PGothic" w:eastAsia="MS PGothic" w:hAnsi="MS PGothic"/>
          <w:sz w:val="18"/>
          <w:szCs w:val="18"/>
          <w:color w:val="auto"/>
        </w:rPr>
      </w:pPr>
    </w:p>
    <w:p>
      <w:pPr>
        <w:ind w:left="3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TO ______</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w:t>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001-31829</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CARTER’S,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473" w:right="239" w:bottom="1440" w:gutter="0" w:footer="0" w:header="0"/>
        </w:sectPr>
      </w:pPr>
    </w:p>
    <w:p>
      <w:pPr>
        <w:spacing w:after="0" w:line="147"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13-3912933</w:t>
      </w:r>
    </w:p>
    <w:p>
      <w:pPr>
        <w:spacing w:after="0" w:line="67" w:lineRule="exact"/>
        <w:rPr>
          <w:sz w:val="24"/>
          <w:szCs w:val="24"/>
          <w:color w:val="auto"/>
        </w:rPr>
      </w:pPr>
    </w:p>
    <w:p>
      <w:pPr>
        <w:sectPr>
          <w:pgSz w:w="11900" w:h="16838" w:orient="portrait"/>
          <w:cols w:equalWidth="0" w:num="2">
            <w:col w:w="6760" w:space="720"/>
            <w:col w:w="3940"/>
          </w:cols>
          <w:pgMar w:left="240" w:top="473" w:right="239" w:bottom="1440" w:gutter="0" w:footer="0" w:header="0"/>
          <w:type w:val="continuous"/>
        </w:sectPr>
      </w:pPr>
    </w:p>
    <w:p>
      <w:pPr>
        <w:ind w:left="246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75" w:lineRule="exact"/>
        <w:rPr>
          <w:sz w:val="24"/>
          <w:szCs w:val="24"/>
          <w:color w:val="auto"/>
        </w:rPr>
      </w:pPr>
    </w:p>
    <w:p>
      <w:pPr>
        <w:sectPr>
          <w:pgSz w:w="11900" w:h="16838" w:orient="portrait"/>
          <w:cols w:equalWidth="0" w:num="2">
            <w:col w:w="5900" w:space="720"/>
            <w:col w:w="4800"/>
          </w:cols>
          <w:pgMar w:left="240" w:top="473" w:right="239" w:bottom="1440" w:gutter="0" w:footer="0" w:header="0"/>
          <w:type w:val="continuous"/>
        </w:sectPr>
      </w:pPr>
    </w:p>
    <w:p>
      <w:pPr>
        <w:ind w:left="2420"/>
        <w:spacing w:after="0"/>
        <w:rPr>
          <w:sz w:val="20"/>
          <w:szCs w:val="20"/>
          <w:color w:val="auto"/>
        </w:rPr>
      </w:pPr>
      <w:r>
        <w:rPr>
          <w:rFonts w:ascii="Times New Roman" w:cs="Times New Roman" w:eastAsia="Times New Roman" w:hAnsi="Times New Roman"/>
          <w:sz w:val="17"/>
          <w:szCs w:val="17"/>
          <w:color w:val="auto"/>
        </w:rPr>
        <w:t>incorporation or organization)</w:t>
      </w:r>
    </w:p>
    <w:p>
      <w:pPr>
        <w:sectPr>
          <w:pgSz w:w="11900" w:h="16838" w:orient="portrait"/>
          <w:cols w:equalWidth="0" w:num="1">
            <w:col w:w="11420"/>
          </w:cols>
          <w:pgMar w:left="240" w:top="473" w:right="239" w:bottom="1440" w:gutter="0" w:footer="0" w:header="0"/>
          <w:type w:val="continuous"/>
        </w:sect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Phipps Tower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3438 Peachtree Road NE, Suite 1800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Atlanta, Georgia 30326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(678) 791-1000</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6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6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 (Check one)</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Large Accelerated Filer (X) Accelerated Filer ( )</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Non-Accelerated Filer ( ) (Do not check if a smaller reporting company) Smaller Reporting Company ( )</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Emerging Growth Company ( )</w:t>
      </w:r>
    </w:p>
    <w:p>
      <w:pPr>
        <w:spacing w:after="0" w:line="200" w:lineRule="exact"/>
        <w:rPr>
          <w:sz w:val="24"/>
          <w:szCs w:val="24"/>
          <w:color w:val="auto"/>
        </w:rPr>
      </w:pPr>
    </w:p>
    <w:p>
      <w:pPr>
        <w:spacing w:after="0" w:line="268"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 (</w:t>
      </w:r>
      <w:r>
        <w:rPr>
          <w:rFonts w:ascii="Times New Roman" w:cs="Times New Roman" w:eastAsia="Times New Roman" w:hAnsi="Times New Roman"/>
          <w:sz w:val="18"/>
          <w:szCs w:val="18"/>
          <w:color w:val="FFFFFF"/>
        </w:rPr>
        <w:t>X</w:t>
      </w:r>
      <w:r>
        <w:rPr>
          <w:rFonts w:ascii="Times New Roman" w:cs="Times New Roman" w:eastAsia="Times New Roman" w:hAnsi="Times New Roman"/>
          <w:sz w:val="18"/>
          <w:szCs w:val="18"/>
          <w:color w:val="auto"/>
        </w:rPr>
        <w:t>) No (X)</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686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456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Outstanding Shares at July 21, 2017</w:t>
            </w:r>
          </w:p>
        </w:tc>
      </w:tr>
      <w:tr>
        <w:trPr>
          <w:trHeight w:val="27"/>
        </w:trPr>
        <w:tc>
          <w:tcPr>
            <w:tcW w:w="4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6860" w:type="dxa"/>
            <w:vAlign w:val="bottom"/>
            <w:gridSpan w:val="2"/>
          </w:tcPr>
          <w:p>
            <w:pPr>
              <w:jc w:val="center"/>
              <w:ind w:right="238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4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47,834,177</w:t>
            </w:r>
          </w:p>
        </w:tc>
      </w:tr>
      <w:tr>
        <w:trPr>
          <w:trHeight w:val="358"/>
        </w:trPr>
        <w:tc>
          <w:tcPr>
            <w:tcW w:w="446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20" w:type="dxa"/>
            <w:vAlign w:val="bottom"/>
            <w:gridSpan w:val="12"/>
          </w:tcPr>
          <w:p>
            <w:pPr>
              <w:jc w:val="center"/>
              <w:ind w:right="2020"/>
              <w:spacing w:after="0"/>
              <w:rPr>
                <w:sz w:val="20"/>
                <w:szCs w:val="20"/>
                <w:color w:val="auto"/>
              </w:rPr>
            </w:pPr>
            <w:r>
              <w:rPr>
                <w:rFonts w:ascii="Times New Roman" w:cs="Times New Roman" w:eastAsia="Times New Roman" w:hAnsi="Times New Roman"/>
                <w:sz w:val="20"/>
                <w:szCs w:val="20"/>
                <w:b w:val="1"/>
                <w:bCs w:val="1"/>
                <w:color w:val="auto"/>
                <w:w w:val="98"/>
              </w:rPr>
              <w:t>CARTER’S, INC.</w:t>
            </w: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80" w:type="dxa"/>
            <w:vAlign w:val="bottom"/>
            <w:gridSpan w:val="11"/>
          </w:tcPr>
          <w:p>
            <w:pPr>
              <w:jc w:val="center"/>
              <w:ind w:right="2960"/>
              <w:spacing w:after="0"/>
              <w:rPr>
                <w:sz w:val="20"/>
                <w:szCs w:val="20"/>
                <w:color w:val="auto"/>
              </w:rPr>
            </w:pPr>
            <w:r>
              <w:rPr>
                <w:rFonts w:ascii="Times New Roman" w:cs="Times New Roman" w:eastAsia="Times New Roman" w:hAnsi="Times New Roman"/>
                <w:sz w:val="20"/>
                <w:szCs w:val="20"/>
                <w:b w:val="1"/>
                <w:bCs w:val="1"/>
                <w:color w:val="auto"/>
                <w:w w:val="99"/>
              </w:rPr>
              <w:t>INDEX</w:t>
            </w: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ind w:left="640"/>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21"/>
        </w:trPr>
        <w:tc>
          <w:tcPr>
            <w:tcW w:w="9340" w:type="dxa"/>
            <w:vAlign w:val="bottom"/>
            <w:gridSpan w:val="31"/>
            <w:vMerge w:val="restart"/>
          </w:tcPr>
          <w:p>
            <w:pPr>
              <w:ind w:left="40"/>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 Financial Information</w:t>
              </w:r>
            </w:hyperlink>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9340" w:type="dxa"/>
            <w:vAlign w:val="bottom"/>
            <w:gridSpan w:val="31"/>
            <w:vMerge w:val="continue"/>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750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0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FF"/>
              </w:rPr>
              <w:t>Unaudited Condensed Consolidated Balance Sheets as of July 1, 2017, December 31, 2016 and July 2,</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4"/>
              </w:rPr>
              <w:t>2016</w:t>
            </w: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40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4"/>
          </w:tcPr>
          <w:p>
            <w:pPr>
              <w:jc w:val="center"/>
              <w:ind w:left="689"/>
              <w:spacing w:after="0" w:line="196" w:lineRule="exact"/>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1</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18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shd w:val="clear" w:color="auto" w:fill="CCEEFF"/>
              </w:rPr>
              <w:t>Unaudited Condensed Consolidated Statements of Operations for the fiscal quarter and two fiscal</w:t>
            </w:r>
          </w:p>
        </w:tc>
        <w:tc>
          <w:tcPr>
            <w:tcW w:w="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220" w:type="dxa"/>
            <w:vAlign w:val="bottom"/>
            <w:tcBorders>
              <w:top w:val="single" w:sz="8" w:color="0000FF"/>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shd w:val="clear" w:color="auto" w:fill="CCEEFF"/>
              </w:rPr>
              <w:t>quarters ended July 1, 2017 and July 2, 2016</w:t>
            </w:r>
          </w:p>
        </w:tc>
        <w:tc>
          <w:tcPr>
            <w:tcW w:w="74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700" w:type="dxa"/>
            <w:vAlign w:val="bottom"/>
            <w:tcBorders>
              <w:top w:val="single" w:sz="8" w:color="0000FF"/>
            </w:tcBorders>
            <w:shd w:val="clear" w:color="auto" w:fill="CCEEFF"/>
          </w:tcPr>
          <w:p>
            <w:pPr>
              <w:spacing w:after="0"/>
              <w:rPr>
                <w:sz w:val="17"/>
                <w:szCs w:val="17"/>
                <w:color w:val="auto"/>
              </w:rPr>
            </w:pPr>
          </w:p>
        </w:tc>
        <w:tc>
          <w:tcPr>
            <w:tcW w:w="1400" w:type="dxa"/>
            <w:vAlign w:val="bottom"/>
            <w:tcBorders>
              <w:top w:val="single" w:sz="8" w:color="0000FF"/>
            </w:tcBorders>
            <w:shd w:val="clear" w:color="auto" w:fill="CCEEFF"/>
          </w:tcPr>
          <w:p>
            <w:pPr>
              <w:spacing w:after="0"/>
              <w:rPr>
                <w:sz w:val="17"/>
                <w:szCs w:val="17"/>
                <w:color w:val="auto"/>
              </w:rPr>
            </w:pPr>
          </w:p>
        </w:tc>
        <w:tc>
          <w:tcPr>
            <w:tcW w:w="56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gridSpan w:val="4"/>
            <w:shd w:val="clear" w:color="auto" w:fill="CCEEFF"/>
          </w:tcPr>
          <w:p>
            <w:pPr>
              <w:jc w:val="center"/>
              <w:ind w:left="689"/>
              <w:spacing w:after="0" w:line="196"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2</w:t>
              </w:r>
            </w:hyperlink>
          </w:p>
        </w:tc>
        <w:tc>
          <w:tcPr>
            <w:tcW w:w="7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94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0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FF"/>
              </w:rPr>
              <w:t>Unaudited Condensed Consolidated Statements of Comprehensive Income for the fiscal quarter and</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80" w:type="dxa"/>
            <w:vAlign w:val="bottom"/>
            <w:tcBorders>
              <w:top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two fiscal quarters ended July 1, 2017 and July 2, 2016</w:t>
            </w:r>
          </w:p>
        </w:tc>
        <w:tc>
          <w:tcPr>
            <w:tcW w:w="320" w:type="dxa"/>
            <w:vAlign w:val="bottom"/>
            <w:gridSpan w:val="4"/>
          </w:tcPr>
          <w:p>
            <w:pPr>
              <w:spacing w:after="0"/>
              <w:rPr>
                <w:sz w:val="17"/>
                <w:szCs w:val="17"/>
                <w:color w:val="auto"/>
              </w:rPr>
            </w:pPr>
          </w:p>
        </w:tc>
        <w:tc>
          <w:tcPr>
            <w:tcW w:w="980" w:type="dxa"/>
            <w:vAlign w:val="bottom"/>
            <w:gridSpan w:val="4"/>
          </w:tcPr>
          <w:p>
            <w:pPr>
              <w:jc w:val="center"/>
              <w:ind w:left="689"/>
              <w:spacing w:after="0" w:line="196"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3</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7200" w:type="dxa"/>
            <w:vAlign w:val="bottom"/>
            <w:tcBorders>
              <w:bottom w:val="single" w:sz="8" w:color="0000FF"/>
            </w:tcBorders>
            <w:gridSpan w:val="2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shd w:val="clear" w:color="auto" w:fill="CCEEFF"/>
              </w:rPr>
              <w:t>Unaudited Condensed Consolidated Statement of Changes in Stockholders' Equity for the two fiscal</w:t>
            </w:r>
          </w:p>
        </w:tc>
        <w:tc>
          <w:tcPr>
            <w:tcW w:w="20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980" w:type="dxa"/>
            <w:vAlign w:val="bottom"/>
            <w:gridSpan w:val="1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8"/>
                <w:shd w:val="clear" w:color="auto" w:fill="CCEEFF"/>
              </w:rPr>
              <w:t>quarters ended July 1, 2017</w:t>
            </w:r>
          </w:p>
        </w:tc>
        <w:tc>
          <w:tcPr>
            <w:tcW w:w="300" w:type="dxa"/>
            <w:vAlign w:val="bottom"/>
            <w:shd w:val="clear" w:color="auto" w:fill="CCEEFF"/>
          </w:tcPr>
          <w:p>
            <w:pPr>
              <w:spacing w:after="0"/>
              <w:rPr>
                <w:sz w:val="17"/>
                <w:szCs w:val="17"/>
                <w:color w:val="auto"/>
              </w:rPr>
            </w:pPr>
          </w:p>
        </w:tc>
        <w:tc>
          <w:tcPr>
            <w:tcW w:w="2020" w:type="dxa"/>
            <w:vAlign w:val="bottom"/>
            <w:gridSpan w:val="3"/>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center"/>
              <w:ind w:left="689"/>
              <w:spacing w:after="0" w:line="196" w:lineRule="exact"/>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4</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0" w:type="dxa"/>
            <w:vAlign w:val="bottom"/>
            <w:tcBorders>
              <w:bottom w:val="single" w:sz="8" w:color="0000FF"/>
            </w:tcBorders>
            <w:gridSpan w:val="23"/>
          </w:tcPr>
          <w:p>
            <w:pPr>
              <w:spacing w:after="0" w:line="202" w:lineRule="exact"/>
              <w:rPr>
                <w:sz w:val="20"/>
                <w:szCs w:val="20"/>
                <w:color w:val="auto"/>
              </w:rPr>
            </w:pPr>
            <w:r>
              <w:rPr>
                <w:rFonts w:ascii="Times New Roman" w:cs="Times New Roman" w:eastAsia="Times New Roman" w:hAnsi="Times New Roman"/>
                <w:sz w:val="18"/>
                <w:szCs w:val="18"/>
                <w:color w:val="0000FF"/>
                <w:w w:val="99"/>
              </w:rPr>
              <w:t>Unaudited Condensed Consolidated Statements of Cash Flows for the two fiscal quarters ended July 1,</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2017 and July 2, 2016</w:t>
            </w:r>
          </w:p>
        </w:tc>
        <w:tc>
          <w:tcPr>
            <w:tcW w:w="980" w:type="dxa"/>
            <w:vAlign w:val="bottom"/>
            <w:gridSpan w:val="4"/>
          </w:tcPr>
          <w:p>
            <w:pPr>
              <w:jc w:val="center"/>
              <w:ind w:left="689"/>
              <w:spacing w:after="0" w:line="196" w:lineRule="exact"/>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5</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50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the Unaudited Condensed Consolidated Financial Statements</w:t>
              </w:r>
            </w:hyperlink>
          </w:p>
        </w:tc>
        <w:tc>
          <w:tcPr>
            <w:tcW w:w="980" w:type="dxa"/>
            <w:vAlign w:val="bottom"/>
            <w:gridSpan w:val="4"/>
            <w:shd w:val="clear" w:color="auto" w:fill="CCEEFF"/>
          </w:tcPr>
          <w:p>
            <w:pPr>
              <w:jc w:val="center"/>
              <w:ind w:left="689"/>
              <w:spacing w:after="0" w:line="202" w:lineRule="exact"/>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6</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800" w:type="dxa"/>
            <w:vAlign w:val="bottom"/>
            <w:gridSpan w:val="6"/>
          </w:tcPr>
          <w:p>
            <w:pPr>
              <w:ind w:left="560"/>
              <w:spacing w:after="0" w:line="202"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2</w:t>
              </w:r>
            </w:hyperlink>
          </w:p>
        </w:tc>
        <w:tc>
          <w:tcPr>
            <w:tcW w:w="7500" w:type="dxa"/>
            <w:vAlign w:val="bottom"/>
            <w:gridSpan w:val="24"/>
          </w:tcPr>
          <w:p>
            <w:pPr>
              <w:spacing w:after="0" w:line="202"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Management's Discussion and Analysis of Financial Condition and Results of Operations</w:t>
              </w:r>
            </w:hyperlink>
          </w:p>
        </w:tc>
        <w:tc>
          <w:tcPr>
            <w:tcW w:w="980" w:type="dxa"/>
            <w:vAlign w:val="bottom"/>
            <w:gridSpan w:val="4"/>
          </w:tcPr>
          <w:p>
            <w:pPr>
              <w:jc w:val="center"/>
              <w:ind w:left="709"/>
              <w:spacing w:after="0" w:line="202" w:lineRule="exact"/>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32</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140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Item 3</w:t>
              </w:r>
            </w:hyperlink>
          </w:p>
        </w:tc>
        <w:tc>
          <w:tcPr>
            <w:tcW w:w="750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Quantitative and Qualitative Disclosures about Market Risk</w:t>
              </w:r>
            </w:hyperlink>
          </w:p>
        </w:tc>
        <w:tc>
          <w:tcPr>
            <w:tcW w:w="980" w:type="dxa"/>
            <w:vAlign w:val="bottom"/>
            <w:gridSpan w:val="4"/>
            <w:shd w:val="clear" w:color="auto" w:fill="CCEEFF"/>
          </w:tcPr>
          <w:p>
            <w:pPr>
              <w:jc w:val="center"/>
              <w:ind w:left="709"/>
              <w:spacing w:after="0" w:line="202" w:lineRule="exact"/>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45</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Item 4</w:t>
              </w:r>
            </w:hyperlink>
          </w:p>
        </w:tc>
        <w:tc>
          <w:tcPr>
            <w:tcW w:w="7500" w:type="dxa"/>
            <w:vAlign w:val="bottom"/>
            <w:gridSpan w:val="24"/>
          </w:tcPr>
          <w:p>
            <w:pPr>
              <w:spacing w:after="0" w:line="202"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Controls and Procedures</w:t>
              </w:r>
            </w:hyperlink>
          </w:p>
        </w:tc>
        <w:tc>
          <w:tcPr>
            <w:tcW w:w="980" w:type="dxa"/>
            <w:vAlign w:val="bottom"/>
            <w:gridSpan w:val="4"/>
          </w:tcPr>
          <w:p>
            <w:pPr>
              <w:jc w:val="center"/>
              <w:ind w:left="709"/>
              <w:spacing w:after="0" w:line="202" w:lineRule="exact"/>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45</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9340" w:type="dxa"/>
            <w:vAlign w:val="bottom"/>
            <w:gridSpan w:val="31"/>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750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Proceedings</w:t>
            </w:r>
          </w:p>
        </w:tc>
        <w:tc>
          <w:tcPr>
            <w:tcW w:w="980" w:type="dxa"/>
            <w:vAlign w:val="bottom"/>
            <w:gridSpan w:val="4"/>
            <w:shd w:val="clear" w:color="auto" w:fill="CCEEFF"/>
          </w:tcPr>
          <w:p>
            <w:pPr>
              <w:jc w:val="center"/>
              <w:ind w:left="709"/>
              <w:spacing w:after="0" w:line="202" w:lineRule="exact"/>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46</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Item 1A</w:t>
              </w:r>
            </w:hyperlink>
          </w:p>
        </w:tc>
        <w:tc>
          <w:tcPr>
            <w:tcW w:w="7500" w:type="dxa"/>
            <w:vAlign w:val="bottom"/>
            <w:gridSpan w:val="24"/>
          </w:tcPr>
          <w:p>
            <w:pPr>
              <w:spacing w:after="0" w:line="202"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Risk Factors</w:t>
              </w:r>
            </w:hyperlink>
          </w:p>
        </w:tc>
        <w:tc>
          <w:tcPr>
            <w:tcW w:w="980" w:type="dxa"/>
            <w:vAlign w:val="bottom"/>
            <w:gridSpan w:val="4"/>
          </w:tcPr>
          <w:p>
            <w:pPr>
              <w:jc w:val="center"/>
              <w:ind w:left="709"/>
              <w:spacing w:after="0" w:line="202" w:lineRule="exact"/>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46</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Item 2</w:t>
              </w:r>
            </w:hyperlink>
          </w:p>
        </w:tc>
        <w:tc>
          <w:tcPr>
            <w:tcW w:w="750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Unregistered Sales of Equity Securities and Use of Proceeds</w:t>
              </w:r>
            </w:hyperlink>
          </w:p>
        </w:tc>
        <w:tc>
          <w:tcPr>
            <w:tcW w:w="980" w:type="dxa"/>
            <w:vAlign w:val="bottom"/>
            <w:gridSpan w:val="4"/>
            <w:shd w:val="clear" w:color="auto" w:fill="CCEEFF"/>
          </w:tcPr>
          <w:p>
            <w:pPr>
              <w:jc w:val="center"/>
              <w:ind w:left="709"/>
              <w:spacing w:after="0" w:line="202" w:lineRule="exact"/>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47</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0000FF"/>
              </w:rPr>
              <w:t>Item 3</w:t>
            </w:r>
          </w:p>
        </w:tc>
        <w:tc>
          <w:tcPr>
            <w:tcW w:w="750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980" w:type="dxa"/>
            <w:vAlign w:val="bottom"/>
            <w:gridSpan w:val="4"/>
          </w:tcPr>
          <w:p>
            <w:pPr>
              <w:jc w:val="center"/>
              <w:ind w:left="709"/>
              <w:spacing w:after="0" w:line="202" w:lineRule="exact"/>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48</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Item 4</w:t>
              </w:r>
            </w:hyperlink>
          </w:p>
        </w:tc>
        <w:tc>
          <w:tcPr>
            <w:tcW w:w="750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Mine Safety Disclosures</w:t>
              </w:r>
            </w:hyperlink>
          </w:p>
        </w:tc>
        <w:tc>
          <w:tcPr>
            <w:tcW w:w="980" w:type="dxa"/>
            <w:vAlign w:val="bottom"/>
            <w:gridSpan w:val="4"/>
            <w:shd w:val="clear" w:color="auto" w:fill="CCEEFF"/>
          </w:tcPr>
          <w:p>
            <w:pPr>
              <w:jc w:val="center"/>
              <w:ind w:left="709"/>
              <w:spacing w:after="0" w:line="202" w:lineRule="exact"/>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48</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Item 5</w:t>
              </w:r>
            </w:hyperlink>
          </w:p>
        </w:tc>
        <w:tc>
          <w:tcPr>
            <w:tcW w:w="7500" w:type="dxa"/>
            <w:vAlign w:val="bottom"/>
            <w:gridSpan w:val="24"/>
          </w:tcPr>
          <w:p>
            <w:pPr>
              <w:spacing w:after="0" w:line="202"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Other Information</w:t>
              </w:r>
            </w:hyperlink>
          </w:p>
        </w:tc>
        <w:tc>
          <w:tcPr>
            <w:tcW w:w="980" w:type="dxa"/>
            <w:vAlign w:val="bottom"/>
            <w:gridSpan w:val="4"/>
          </w:tcPr>
          <w:p>
            <w:pPr>
              <w:jc w:val="center"/>
              <w:ind w:left="709"/>
              <w:spacing w:after="0" w:line="202" w:lineRule="exact"/>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48</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800" w:type="dxa"/>
            <w:vAlign w:val="bottom"/>
            <w:gridSpan w:val="6"/>
            <w:shd w:val="clear" w:color="auto" w:fill="CCEEFF"/>
          </w:tcPr>
          <w:p>
            <w:pPr>
              <w:ind w:left="560"/>
              <w:spacing w:after="0" w:line="202"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Item 6</w:t>
              </w:r>
            </w:hyperlink>
          </w:p>
        </w:tc>
        <w:tc>
          <w:tcPr>
            <w:tcW w:w="750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Exhibits</w:t>
              </w:r>
            </w:hyperlink>
          </w:p>
        </w:tc>
        <w:tc>
          <w:tcPr>
            <w:tcW w:w="980" w:type="dxa"/>
            <w:vAlign w:val="bottom"/>
            <w:gridSpan w:val="4"/>
            <w:shd w:val="clear" w:color="auto" w:fill="CCEEFF"/>
          </w:tcPr>
          <w:p>
            <w:pPr>
              <w:jc w:val="center"/>
              <w:ind w:left="709"/>
              <w:spacing w:after="0" w:line="202" w:lineRule="exact"/>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48</w:t>
              </w:r>
            </w:hyperlink>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94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140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840" w:type="dxa"/>
            <w:vAlign w:val="bottom"/>
            <w:gridSpan w:val="7"/>
            <w:shd w:val="clear" w:color="auto" w:fill="CCEEFF"/>
          </w:tcPr>
          <w:p>
            <w:pPr>
              <w:ind w:left="40"/>
              <w:spacing w:after="0" w:line="202" w:lineRule="exact"/>
              <w:rPr>
                <w:rFonts w:ascii="Times New Roman" w:cs="Times New Roman" w:eastAsia="Times New Roman" w:hAnsi="Times New Roman"/>
                <w:sz w:val="18"/>
                <w:szCs w:val="18"/>
                <w:b w:val="1"/>
                <w:bCs w:val="1"/>
                <w:color w:val="0000EE"/>
              </w:rPr>
            </w:pPr>
            <w:hyperlink w:anchor="page51">
              <w:r>
                <w:rPr>
                  <w:rFonts w:ascii="Times New Roman" w:cs="Times New Roman" w:eastAsia="Times New Roman" w:hAnsi="Times New Roman"/>
                  <w:sz w:val="18"/>
                  <w:szCs w:val="18"/>
                  <w:b w:val="1"/>
                  <w:bCs w:val="1"/>
                  <w:color w:val="0000EE"/>
                </w:rPr>
                <w:t>Signatures</w:t>
              </w:r>
            </w:hyperlink>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center"/>
              <w:ind w:left="709"/>
              <w:spacing w:after="0" w:line="202" w:lineRule="exact"/>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49</w:t>
              </w:r>
            </w:hyperlink>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0" w:type="dxa"/>
            <w:vAlign w:val="bottom"/>
            <w:tcBorders>
              <w:top w:val="single" w:sz="8" w:color="CCEEFF"/>
            </w:tcBorders>
          </w:tcPr>
          <w:p>
            <w:pPr>
              <w:spacing w:after="0"/>
              <w:rPr>
                <w:sz w:val="10"/>
                <w:szCs w:val="10"/>
                <w:color w:val="auto"/>
              </w:rPr>
            </w:pPr>
          </w:p>
        </w:tc>
        <w:tc>
          <w:tcPr>
            <w:tcW w:w="56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94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140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840" w:type="dxa"/>
            <w:vAlign w:val="bottom"/>
            <w:gridSpan w:val="7"/>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0000EE"/>
              </w:rPr>
              <w:t>Certifications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1044" w:right="55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(unaudited)</w:t>
      </w:r>
    </w:p>
    <w:p>
      <w:pPr>
        <w:spacing w:after="0" w:line="169" w:lineRule="exact"/>
        <w:rPr>
          <w:sz w:val="20"/>
          <w:szCs w:val="20"/>
          <w:color w:val="auto"/>
        </w:rPr>
      </w:pPr>
    </w:p>
    <w:tbl>
      <w:tblPr>
        <w:tblLayout w:type="fixed"/>
        <w:tblInd w:w="200" w:type="dxa"/>
        <w:tblCellMar>
          <w:top w:w="0" w:type="dxa"/>
          <w:left w:w="0" w:type="dxa"/>
          <w:bottom w:w="0" w:type="dxa"/>
          <w:right w:w="0" w:type="dxa"/>
        </w:tblCellMar>
      </w:tblPr>
      <w:tr>
        <w:trPr>
          <w:trHeight w:val="212"/>
        </w:trPr>
        <w:tc>
          <w:tcPr>
            <w:tcW w:w="5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1, 2017</w:t>
            </w:r>
          </w:p>
        </w:tc>
        <w:tc>
          <w:tcPr>
            <w:tcW w:w="20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220" w:type="dxa"/>
            <w:vAlign w:val="bottom"/>
          </w:tcPr>
          <w:p>
            <w:pPr>
              <w:spacing w:after="0"/>
              <w:rPr>
                <w:sz w:val="18"/>
                <w:szCs w:val="18"/>
                <w:color w:val="auto"/>
              </w:rPr>
            </w:pPr>
          </w:p>
        </w:tc>
        <w:tc>
          <w:tcPr>
            <w:tcW w:w="13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0" w:type="dxa"/>
            <w:vAlign w:val="bottom"/>
          </w:tcPr>
          <w:p>
            <w:pPr>
              <w:spacing w:after="0"/>
              <w:rPr>
                <w:sz w:val="1"/>
                <w:szCs w:val="1"/>
                <w:color w:val="auto"/>
              </w:rPr>
            </w:pPr>
          </w:p>
        </w:tc>
      </w:tr>
      <w:tr>
        <w:trPr>
          <w:trHeight w:val="33"/>
        </w:trPr>
        <w:tc>
          <w:tcPr>
            <w:tcW w:w="5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86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173,564</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299,358</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205,080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165,183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202,471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150,633</w:t>
            </w:r>
          </w:p>
        </w:tc>
        <w:tc>
          <w:tcPr>
            <w:tcW w:w="0" w:type="dxa"/>
            <w:vAlign w:val="bottom"/>
          </w:tcPr>
          <w:p>
            <w:pPr>
              <w:spacing w:after="0"/>
              <w:rPr>
                <w:sz w:val="1"/>
                <w:szCs w:val="1"/>
                <w:color w:val="auto"/>
              </w:rPr>
            </w:pPr>
          </w:p>
        </w:tc>
      </w:tr>
      <w:tr>
        <w:trPr>
          <w:trHeight w:val="237"/>
        </w:trPr>
        <w:tc>
          <w:tcPr>
            <w:tcW w:w="58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Finished goods inventories</w:t>
            </w:r>
          </w:p>
        </w:tc>
        <w:tc>
          <w:tcPr>
            <w:tcW w:w="2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610,423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487,591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587,434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44,527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32,180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46,189</w:t>
            </w:r>
          </w:p>
        </w:tc>
        <w:tc>
          <w:tcPr>
            <w:tcW w:w="0" w:type="dxa"/>
            <w:vAlign w:val="bottom"/>
          </w:tcPr>
          <w:p>
            <w:pPr>
              <w:spacing w:after="0"/>
              <w:rPr>
                <w:sz w:val="1"/>
                <w:szCs w:val="1"/>
                <w:color w:val="auto"/>
              </w:rPr>
            </w:pPr>
          </w:p>
        </w:tc>
      </w:tr>
      <w:tr>
        <w:trPr>
          <w:trHeight w:val="237"/>
        </w:trPr>
        <w:tc>
          <w:tcPr>
            <w:tcW w:w="58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35,486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32,816</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993,697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1,057,086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1,022,152</w:t>
            </w:r>
          </w:p>
        </w:tc>
        <w:tc>
          <w:tcPr>
            <w:tcW w:w="0" w:type="dxa"/>
            <w:vAlign w:val="bottom"/>
          </w:tcPr>
          <w:p>
            <w:pPr>
              <w:spacing w:after="0"/>
              <w:rPr>
                <w:sz w:val="1"/>
                <w:szCs w:val="1"/>
                <w:color w:val="auto"/>
              </w:rPr>
            </w:pPr>
          </w:p>
        </w:tc>
      </w:tr>
      <w:tr>
        <w:trPr>
          <w:trHeight w:val="216"/>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of accumulated depreciation of $384,881, $345,907,</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and $317,580, respectively</w:t>
            </w:r>
          </w:p>
        </w:tc>
        <w:tc>
          <w:tcPr>
            <w:tcW w:w="24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382,472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385,874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386,034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Tradenames and other 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400,735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308,928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309,017</w:t>
            </w:r>
          </w:p>
        </w:tc>
        <w:tc>
          <w:tcPr>
            <w:tcW w:w="0" w:type="dxa"/>
            <w:vAlign w:val="bottom"/>
          </w:tcPr>
          <w:p>
            <w:pPr>
              <w:spacing w:after="0"/>
              <w:rPr>
                <w:sz w:val="1"/>
                <w:szCs w:val="1"/>
                <w:color w:val="auto"/>
              </w:rPr>
            </w:pPr>
          </w:p>
        </w:tc>
      </w:tr>
      <w:tr>
        <w:trPr>
          <w:trHeight w:val="23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231,709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176,009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177,540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23,246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18,700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17,749</w:t>
            </w:r>
          </w:p>
        </w:tc>
        <w:tc>
          <w:tcPr>
            <w:tcW w:w="0" w:type="dxa"/>
            <w:vAlign w:val="bottom"/>
          </w:tcPr>
          <w:p>
            <w:pPr>
              <w:spacing w:after="0"/>
              <w:rPr>
                <w:sz w:val="1"/>
                <w:szCs w:val="1"/>
                <w:color w:val="auto"/>
              </w:rPr>
            </w:pPr>
          </w:p>
        </w:tc>
      </w:tr>
      <w:tr>
        <w:trPr>
          <w:trHeight w:val="284"/>
        </w:trPr>
        <w:tc>
          <w:tcPr>
            <w:tcW w:w="586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2,031,859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1,946,597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1,912,492</w:t>
            </w: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217,340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158,432</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190,366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94,644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119,177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80,595</w:t>
            </w:r>
          </w:p>
        </w:tc>
        <w:tc>
          <w:tcPr>
            <w:tcW w:w="0" w:type="dxa"/>
            <w:vAlign w:val="bottom"/>
          </w:tcPr>
          <w:p>
            <w:pPr>
              <w:spacing w:after="0"/>
              <w:rPr>
                <w:sz w:val="1"/>
                <w:szCs w:val="1"/>
                <w:color w:val="auto"/>
              </w:rPr>
            </w:pPr>
          </w:p>
        </w:tc>
      </w:tr>
      <w:tr>
        <w:trPr>
          <w:trHeight w:val="217"/>
        </w:trPr>
        <w:tc>
          <w:tcPr>
            <w:tcW w:w="58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311,984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277,609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270,961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661,846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580,376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580,678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133,251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130,656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128,682</w:t>
            </w:r>
          </w:p>
        </w:tc>
        <w:tc>
          <w:tcPr>
            <w:tcW w:w="0" w:type="dxa"/>
            <w:vAlign w:val="bottom"/>
          </w:tcPr>
          <w:p>
            <w:pPr>
              <w:spacing w:after="0"/>
              <w:rPr>
                <w:sz w:val="1"/>
                <w:szCs w:val="1"/>
                <w:color w:val="auto"/>
              </w:rPr>
            </w:pPr>
          </w:p>
        </w:tc>
      </w:tr>
      <w:tr>
        <w:trPr>
          <w:trHeight w:val="23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174,867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169,832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165,469</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1,281,948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1,158,473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1,145,790</w:t>
            </w:r>
          </w:p>
        </w:tc>
        <w:tc>
          <w:tcPr>
            <w:tcW w:w="0" w:type="dxa"/>
            <w:vAlign w:val="bottom"/>
          </w:tcPr>
          <w:p>
            <w:pPr>
              <w:spacing w:after="0"/>
              <w:rPr>
                <w:sz w:val="1"/>
                <w:szCs w:val="1"/>
                <w:color w:val="auto"/>
              </w:rPr>
            </w:pPr>
          </w:p>
        </w:tc>
      </w:tr>
      <w:tr>
        <w:trPr>
          <w:trHeight w:val="426"/>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 Note 13</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Preferred stock; par value $.01 per share; 100,000 shares authorized; none issued or</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outstanding at July 1, 2017, December 31, 2016, and July 2, 2016</w:t>
            </w: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shd w:val="clear" w:color="auto" w:fill="CCEEFF"/>
              </w:rPr>
              <w:t>Common stock, voting; par value $.01 per share; 150,000,000 shares authorized;</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shd w:val="clear" w:color="auto" w:fill="CCEEFF"/>
              </w:rPr>
              <w:t>47,971,577, 48,948,670 and 50,194,955 shares issued and outstanding at July 1,</w:t>
            </w:r>
          </w:p>
        </w:tc>
        <w:tc>
          <w:tcPr>
            <w:tcW w:w="6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88"/>
                <w:shd w:val="clear" w:color="auto" w:fill="CCEEFF"/>
              </w:rPr>
              <w:t>2017,</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shd w:val="clear" w:color="auto" w:fill="CCEEFF"/>
              </w:rPr>
              <w:t>December 31, 2016 and July 2, 2016, respectively</w:t>
            </w:r>
          </w:p>
        </w:tc>
        <w:tc>
          <w:tcPr>
            <w:tcW w:w="6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502</w:t>
            </w:r>
          </w:p>
        </w:tc>
        <w:tc>
          <w:tcPr>
            <w:tcW w:w="0" w:type="dxa"/>
            <w:vAlign w:val="bottom"/>
          </w:tcPr>
          <w:p>
            <w:pPr>
              <w:spacing w:after="0"/>
              <w:rPr>
                <w:sz w:val="1"/>
                <w:szCs w:val="1"/>
                <w:color w:val="auto"/>
              </w:rPr>
            </w:pPr>
          </w:p>
        </w:tc>
      </w:tr>
      <w:tr>
        <w:trPr>
          <w:trHeight w:val="23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(30,533)</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780,084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822,375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796,733</w:t>
            </w:r>
          </w:p>
        </w:tc>
        <w:tc>
          <w:tcPr>
            <w:tcW w:w="0" w:type="dxa"/>
            <w:vAlign w:val="bottom"/>
          </w:tcPr>
          <w:p>
            <w:pPr>
              <w:spacing w:after="0"/>
              <w:rPr>
                <w:sz w:val="1"/>
                <w:szCs w:val="1"/>
                <w:color w:val="auto"/>
              </w:rPr>
            </w:pPr>
          </w:p>
        </w:tc>
      </w:tr>
      <w:tr>
        <w:trPr>
          <w:trHeight w:val="217"/>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749,911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788,124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766,702</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2,031,859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1,946,597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1,912,492</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240" w:top="360" w:right="4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00" w:type="dxa"/>
            <w:vAlign w:val="bottom"/>
          </w:tcPr>
          <w:p>
            <w:pPr>
              <w:spacing w:after="0"/>
              <w:rPr>
                <w:sz w:val="18"/>
                <w:szCs w:val="18"/>
                <w:color w:val="auto"/>
              </w:rPr>
            </w:pPr>
          </w:p>
        </w:tc>
        <w:tc>
          <w:tcPr>
            <w:tcW w:w="294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r>
      <w:tr>
        <w:trPr>
          <w:trHeight w:val="33"/>
        </w:trPr>
        <w:tc>
          <w:tcPr>
            <w:tcW w:w="5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July 1, 2017</w:t>
            </w: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20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1, 2017</w:t>
            </w:r>
          </w:p>
        </w:tc>
        <w:tc>
          <w:tcPr>
            <w:tcW w:w="240" w:type="dxa"/>
            <w:vAlign w:val="bottom"/>
          </w:tcPr>
          <w:p>
            <w:pPr>
              <w:spacing w:after="0"/>
              <w:rPr>
                <w:sz w:val="20"/>
                <w:szCs w:val="20"/>
                <w:color w:val="auto"/>
              </w:rPr>
            </w:pPr>
          </w:p>
        </w:tc>
        <w:tc>
          <w:tcPr>
            <w:tcW w:w="13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July 2, 2016</w:t>
            </w:r>
          </w:p>
        </w:tc>
      </w:tr>
      <w:tr>
        <w:trPr>
          <w:trHeight w:val="33"/>
        </w:trPr>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692,117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639,471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1,424,872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1,363,556</w:t>
            </w: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goods sold</w:t>
            </w:r>
          </w:p>
        </w:tc>
        <w:tc>
          <w:tcPr>
            <w:tcW w:w="2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388,660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357,289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805,613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770,445</w:t>
            </w:r>
          </w:p>
        </w:tc>
      </w:tr>
      <w:tr>
        <w:trPr>
          <w:trHeight w:val="33"/>
        </w:trPr>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303,457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282,182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619,259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593,111</w:t>
            </w: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250,146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228,464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497,940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457,460</w:t>
            </w:r>
          </w:p>
        </w:tc>
      </w:tr>
      <w:tr>
        <w:trPr>
          <w:trHeight w:val="33"/>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Royalty income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(20,600)</w:t>
            </w:r>
          </w:p>
        </w:tc>
      </w:tr>
      <w:tr>
        <w:trPr>
          <w:trHeight w:val="217"/>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income</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64,521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63,243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143,087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156,251</w:t>
            </w:r>
          </w:p>
        </w:tc>
      </w:tr>
      <w:tr>
        <w:trPr>
          <w:trHeight w:val="33"/>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7,194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13,542</w:t>
            </w: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r>
      <w:tr>
        <w:trPr>
          <w:trHeight w:val="33"/>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3,709</w:t>
            </w:r>
          </w:p>
        </w:tc>
      </w:tr>
      <w:tr>
        <w:trPr>
          <w:trHeight w:val="217"/>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57,950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56,102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129,772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139,385</w:t>
            </w:r>
          </w:p>
        </w:tc>
      </w:tr>
      <w:tr>
        <w:trPr>
          <w:trHeight w:val="33"/>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20,025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19,904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45,183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49,207</w:t>
            </w:r>
          </w:p>
        </w:tc>
      </w:tr>
      <w:tr>
        <w:trPr>
          <w:trHeight w:val="284"/>
        </w:trPr>
        <w:tc>
          <w:tcPr>
            <w:tcW w:w="5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37,925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36,198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84,589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90,178</w:t>
            </w:r>
          </w:p>
        </w:tc>
      </w:tr>
      <w:tr>
        <w:trPr>
          <w:trHeight w:val="311"/>
        </w:trPr>
        <w:tc>
          <w:tcPr>
            <w:tcW w:w="5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0.79</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0.72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1.77</w:t>
            </w:r>
          </w:p>
        </w:tc>
      </w:tr>
      <w:tr>
        <w:trPr>
          <w:trHeight w:val="33"/>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1.75</w:t>
            </w: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 declared and paid per common share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0.37</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0.74</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0.66</w:t>
            </w: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792" w:right="2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4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60" w:type="dxa"/>
            <w:vAlign w:val="bottom"/>
          </w:tcPr>
          <w:p>
            <w:pPr>
              <w:spacing w:after="0"/>
              <w:rPr>
                <w:sz w:val="18"/>
                <w:szCs w:val="18"/>
                <w:color w:val="auto"/>
              </w:rPr>
            </w:pPr>
          </w:p>
        </w:tc>
        <w:tc>
          <w:tcPr>
            <w:tcW w:w="312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r>
      <w:tr>
        <w:trPr>
          <w:trHeight w:val="33"/>
        </w:trPr>
        <w:tc>
          <w:tcPr>
            <w:tcW w:w="3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3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July 1, 2017</w:t>
            </w:r>
          </w:p>
        </w:tc>
        <w:tc>
          <w:tcPr>
            <w:tcW w:w="26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26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July 1, 2017</w:t>
            </w:r>
          </w:p>
        </w:tc>
        <w:tc>
          <w:tcPr>
            <w:tcW w:w="260" w:type="dxa"/>
            <w:vAlign w:val="bottom"/>
          </w:tcPr>
          <w:p>
            <w:pPr>
              <w:spacing w:after="0"/>
              <w:rPr>
                <w:sz w:val="20"/>
                <w:szCs w:val="20"/>
                <w:color w:val="auto"/>
              </w:rPr>
            </w:pPr>
          </w:p>
        </w:tc>
        <w:tc>
          <w:tcPr>
            <w:tcW w:w="13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July 2, 2016</w:t>
            </w:r>
          </w:p>
        </w:tc>
      </w:tr>
      <w:tr>
        <w:trPr>
          <w:trHeight w:val="33"/>
        </w:trPr>
        <w:tc>
          <w:tcPr>
            <w:tcW w:w="3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37,925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36,198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84,589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90,178</w:t>
            </w:r>
          </w:p>
        </w:tc>
      </w:tr>
      <w:tr>
        <w:trPr>
          <w:trHeight w:val="237"/>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3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5,834</w:t>
            </w:r>
          </w:p>
        </w:tc>
      </w:tr>
      <w:tr>
        <w:trPr>
          <w:trHeight w:val="244"/>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41,065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36,746</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88,676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96,012</w:t>
            </w:r>
          </w:p>
        </w:tc>
      </w:tr>
      <w:tr>
        <w:trPr>
          <w:trHeight w:val="20"/>
        </w:trPr>
        <w:tc>
          <w:tcPr>
            <w:tcW w:w="3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280"/>
          </w:cols>
          <w:pgMar w:left="820" w:top="576" w:right="7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3"/>
        </w:trPr>
        <w:tc>
          <w:tcPr>
            <w:tcW w:w="264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 -</w:t>
            </w:r>
          </w:p>
        </w:tc>
        <w:tc>
          <w:tcPr>
            <w:tcW w:w="24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20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12"/>
        </w:trPr>
        <w:tc>
          <w:tcPr>
            <w:tcW w:w="264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24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stock - $</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20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33"/>
        </w:trPr>
        <w:tc>
          <w:tcPr>
            <w:tcW w:w="26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15"/>
        </w:trPr>
        <w:tc>
          <w:tcPr>
            <w:tcW w:w="26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December 31, 2016</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48,948,670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822,375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788,124</w:t>
            </w:r>
          </w:p>
        </w:tc>
      </w:tr>
      <w:tr>
        <w:trPr>
          <w:trHeight w:val="237"/>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60,660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3,122</w:t>
            </w:r>
          </w:p>
        </w:tc>
      </w:tr>
      <w:tr>
        <w:trPr>
          <w:trHeight w:val="33"/>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Withholdings from vesting of restricted</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3"/>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(65,804)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(5,590)</w:t>
            </w: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145,600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8,464</w:t>
            </w: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1,182</w:t>
            </w:r>
          </w:p>
        </w:tc>
      </w:tr>
      <w:tr>
        <w:trPr>
          <w:trHeight w:val="33"/>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(1,131,409)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(98,236)</w:t>
            </w: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dividends declared and paid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(35,831)</w:t>
            </w:r>
          </w:p>
        </w:tc>
      </w:tr>
      <w:tr>
        <w:trPr>
          <w:trHeight w:val="33"/>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84,589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88,676</w:t>
            </w:r>
          </w:p>
        </w:tc>
      </w:tr>
      <w:tr>
        <w:trPr>
          <w:trHeight w:val="244"/>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July 1, 2017</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47,971,577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480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(30,653)</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780,084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749,911</w:t>
            </w:r>
          </w:p>
        </w:tc>
      </w:tr>
      <w:tr>
        <w:trPr>
          <w:trHeight w:val="20"/>
        </w:trPr>
        <w:tc>
          <w:tcPr>
            <w:tcW w:w="2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49"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Two fiscal quarters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36830</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July 1, 2017</w:t>
            </w:r>
          </w:p>
        </w:tc>
        <w:tc>
          <w:tcPr>
            <w:tcW w:w="240" w:type="dxa"/>
            <w:vAlign w:val="bottom"/>
          </w:tcPr>
          <w:p>
            <w:pPr>
              <w:spacing w:after="0"/>
              <w:rPr>
                <w:sz w:val="18"/>
                <w:szCs w:val="18"/>
                <w:color w:val="auto"/>
              </w:rPr>
            </w:pPr>
          </w:p>
        </w:tc>
        <w:tc>
          <w:tcPr>
            <w:tcW w:w="13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0" w:type="dxa"/>
            <w:vAlign w:val="bottom"/>
          </w:tcPr>
          <w:p>
            <w:pPr>
              <w:spacing w:after="0"/>
              <w:rPr>
                <w:sz w:val="1"/>
                <w:szCs w:val="1"/>
                <w:color w:val="auto"/>
              </w:rPr>
            </w:pPr>
          </w:p>
        </w:tc>
      </w:tr>
      <w:tr>
        <w:trPr>
          <w:trHeight w:val="33"/>
        </w:trPr>
        <w:tc>
          <w:tcPr>
            <w:tcW w:w="80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0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84,589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90,178</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39,705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34,916</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 of tradenames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1,831</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Amortization of fair value step up of inventory</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725</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9,646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9,250</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Foreign currency (gain) loss, net</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3,130</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tax benefit from 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Loss on disposal of property, plant, and equipment</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3,227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1,258</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Effect of changes in operating assets and liabilities, net of acquisition:</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57,215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57,229</w:t>
            </w:r>
          </w:p>
        </w:tc>
        <w:tc>
          <w:tcPr>
            <w:tcW w:w="0" w:type="dxa"/>
            <w:vAlign w:val="bottom"/>
          </w:tcPr>
          <w:p>
            <w:pPr>
              <w:spacing w:after="0"/>
              <w:rPr>
                <w:sz w:val="1"/>
                <w:szCs w:val="1"/>
                <w:color w:val="auto"/>
              </w:rPr>
            </w:pPr>
          </w:p>
        </w:tc>
      </w:tr>
      <w:tr>
        <w:trPr>
          <w:trHeight w:val="237"/>
        </w:trPr>
        <w:tc>
          <w:tcPr>
            <w:tcW w:w="8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Finished goods inventories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(91,846)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(114,817)</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(12,643)</w:t>
            </w:r>
          </w:p>
        </w:tc>
        <w:tc>
          <w:tcPr>
            <w:tcW w:w="0" w:type="dxa"/>
            <w:vAlign w:val="bottom"/>
          </w:tcPr>
          <w:p>
            <w:pPr>
              <w:spacing w:after="0"/>
              <w:rPr>
                <w:sz w:val="1"/>
                <w:szCs w:val="1"/>
                <w:color w:val="auto"/>
              </w:rPr>
            </w:pPr>
          </w:p>
        </w:tc>
      </w:tr>
      <w:tr>
        <w:trPr>
          <w:trHeight w:val="237"/>
        </w:trPr>
        <w:tc>
          <w:tcPr>
            <w:tcW w:w="80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16,961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18,093</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107,333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85,599</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(34,276)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(49,698)</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Acquisition of Skip Hop Holdings, Inc.,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(143,704)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260" w:type="dxa"/>
            <w:vAlign w:val="bottom"/>
          </w:tcPr>
          <w:p>
            <w:pPr>
              <w:spacing w:after="0"/>
              <w:rPr>
                <w:sz w:val="20"/>
                <w:szCs w:val="20"/>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(177,980)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(49,505)</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Borrowings under secured revolving credit facility</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Payments on secured revolving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(98,236)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(180,209)</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(35,831)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(33,679)</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Income tax benefit from stock-based compensation</w:t>
            </w:r>
          </w:p>
        </w:tc>
        <w:tc>
          <w:tcPr>
            <w:tcW w:w="260" w:type="dxa"/>
            <w:vAlign w:val="bottom"/>
          </w:tcPr>
          <w:p>
            <w:pPr>
              <w:spacing w:after="0"/>
              <w:rPr>
                <w:sz w:val="20"/>
                <w:szCs w:val="20"/>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3,684</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Withholdings from vestings of restricted stock</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(8,508)</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5,101</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(55,500)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(213,611)</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353</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1,388</w:t>
            </w:r>
          </w:p>
        </w:tc>
        <w:tc>
          <w:tcPr>
            <w:tcW w:w="0" w:type="dxa"/>
            <w:vAlign w:val="bottom"/>
          </w:tcPr>
          <w:p>
            <w:pPr>
              <w:spacing w:after="0"/>
              <w:rPr>
                <w:sz w:val="1"/>
                <w:szCs w:val="1"/>
                <w:color w:val="auto"/>
              </w:rPr>
            </w:pPr>
          </w:p>
        </w:tc>
      </w:tr>
      <w:tr>
        <w:trPr>
          <w:trHeight w:val="217"/>
        </w:trPr>
        <w:tc>
          <w:tcPr>
            <w:tcW w:w="8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(125,794)</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(176,129)</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299,358</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381,209</w:t>
            </w:r>
          </w:p>
        </w:tc>
        <w:tc>
          <w:tcPr>
            <w:tcW w:w="0" w:type="dxa"/>
            <w:vAlign w:val="bottom"/>
          </w:tcPr>
          <w:p>
            <w:pPr>
              <w:spacing w:after="0"/>
              <w:rPr>
                <w:sz w:val="1"/>
                <w:szCs w:val="1"/>
                <w:color w:val="auto"/>
              </w:rPr>
            </w:pPr>
          </w:p>
        </w:tc>
      </w:tr>
      <w:tr>
        <w:trPr>
          <w:trHeight w:val="244"/>
        </w:trPr>
        <w:tc>
          <w:tcPr>
            <w:tcW w:w="8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173,564</w:t>
            </w:r>
          </w:p>
        </w:tc>
        <w:tc>
          <w:tcPr>
            <w:tcW w:w="2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205,080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ectPr>
          <w:pgSz w:w="11900" w:h="16838" w:orient="portrait"/>
          <w:cols w:equalWidth="0" w:num="1">
            <w:col w:w="11420"/>
          </w:cols>
          <w:pgMar w:left="240" w:top="57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6" w:right="239" w:bottom="1440" w:gutter="0" w:footer="0" w:header="0"/>
          <w:type w:val="continuous"/>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THE COMPANY</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Carter's, Inc. and its wholly owned subsidiaries (collectively, the "Company," "its," "us" and "our") design, source, and market branded childrenswear and related products under the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Child of Mine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Just One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Precious Firsts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Simple Joys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OshKosh B'gosh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and other brands. The Company's products are sourced through contractual arrangements with manufacturers worldwide for: 1) wholesale distribution to leading department stores, national chains, and specialty retailers domestically and internationally and 2) distribution to the Company's own retail stores and websites that market its brand name merchandise and other licensed products manufactured by other companies. As of July 1, 2017, the Company operated 978 retail stores.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PREPARATION AND BUSINESS ACQUISITION</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Carter's, Inc. and its wholly owned subsidiaries and have been prepared in accordance with accounting principles generally accepted in the United States ("U.S. GAAP") for interim financial information and the rules and regulations of the Securities and Exchange Commission (the "SEC"). All intercompany transactions and balances have been eliminated in consolidation.</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normal and recurring adjustments necessary to state fairly the consolidated financial condition, results of operations, comprehensive income, statement of stockholders' equity, and cash flows of the Company for the interim periods presented. Except as otherwise disclosed, all such adjustments consist only of those of a normal recurring nature. Operating results for the fiscal quarter and two fiscal quarters ended July 1, 2017 are not necessarily indicative of the results that may be expected for the 2017 fiscal year ending December 30, 2017.</w:t>
      </w:r>
    </w:p>
    <w:p>
      <w:pPr>
        <w:spacing w:after="0" w:line="18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preparation of these unaudited condensed consolidated financial statements in conformity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December 31, 2016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Skip Hop Acquisition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Carter's, Inc.'s wholly-owned subsidiary, The William Carter Company ("TWCC"), acquired 100% of the voting equity interests of Skip Hop after the close of business on February 22, 2017. The accompanying unaudited condensed consolidated financial statements and footnotes include Skip Hop Holdings, Inc. and subsidiaries ("Skip Hop") from February 23, 2017. The acquisition of Skip Hop expanded the Company’s product offerings to include complementary essential core products for families with young children. Skip Hop's product lines include diaper bags, kid’s backpacks, travel accessories, home gear, and hardline goods for playtime, mealtime, and bath time. Skip Hop's products are sold through wholesale and eCommerce channels.</w:t>
      </w:r>
    </w:p>
    <w:p>
      <w:pPr>
        <w:spacing w:after="0" w:line="18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xml:space="preserve">The Skip Hop purchase was deemed to be the acquisition of a business under the provisions of Accounting Standards Codification ("ASC") No.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Based on the purchase price, Skip Hop's assets, and Skip Hop's pre-tax operating income prior to the acquisition, the acquired Skip Hop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does not meet the materiality requirements for preparation and presentation of pro forma financial information.</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majority of Skip Hop's wholesale operations became a part of the Company's U.S. Wholesale operating segment, with the remainder becoming part of the Company's International operating segment. Skip Hop's eCommerce retail operations became part of the Company's U.S. Retail operating segment.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360" w:right="2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6"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During the second quarter of fiscal 2017, Skip Hop contributed approximately $25.0 million to the Company's consolidated net sales and produced an operating loss of approximately $(0.8) million. Between the acquisition date and the end of the Company's second quarter of fiscal 2017, Skip Hop contributed approximately $35.4 million of net sales to the Company's consolidated net sales and produced an operating loss of approximately $(0.4) million.</w:t>
      </w:r>
    </w:p>
    <w:p>
      <w:pPr>
        <w:spacing w:after="0" w:line="15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measurement period, as defined under the provisions of ASC 805, is open for certain Skip Hop assets and liabilities. The purchase price is subject to a working capital adjustment, plus a potential future payment of up to $10 million contingent upon the achievement of certain financial performance targets in fiscal 2017. Provisional amounts recognized at acquisition in the first quarter of fiscal 2017 and the measurement period adjustments made during the second quarter of fiscal 2017 were as follows:</w:t>
      </w:r>
    </w:p>
    <w:p>
      <w:pPr>
        <w:spacing w:after="0" w:line="333" w:lineRule="exact"/>
        <w:rPr>
          <w:sz w:val="20"/>
          <w:szCs w:val="20"/>
          <w:color w:val="auto"/>
        </w:rPr>
      </w:pPr>
    </w:p>
    <w:tbl>
      <w:tblPr>
        <w:tblLayout w:type="fixed"/>
        <w:tblInd w:w="1080" w:type="dxa"/>
        <w:tblCellMar>
          <w:top w:w="0" w:type="dxa"/>
          <w:left w:w="0" w:type="dxa"/>
          <w:bottom w:w="0" w:type="dxa"/>
          <w:right w:w="0" w:type="dxa"/>
        </w:tblCellMar>
      </w:tblPr>
      <w:tr>
        <w:trPr>
          <w:trHeight w:val="250"/>
        </w:trPr>
        <w:tc>
          <w:tcPr>
            <w:tcW w:w="362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Revised</w:t>
            </w:r>
          </w:p>
        </w:tc>
      </w:tr>
      <w:tr>
        <w:trPr>
          <w:trHeight w:val="237"/>
        </w:trPr>
        <w:tc>
          <w:tcPr>
            <w:tcW w:w="3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Provisional</w:t>
            </w:r>
          </w:p>
        </w:tc>
        <w:tc>
          <w:tcPr>
            <w:tcW w:w="200" w:type="dxa"/>
            <w:vAlign w:val="bottom"/>
          </w:tcPr>
          <w:p>
            <w:pPr>
              <w:spacing w:after="0"/>
              <w:rPr>
                <w:sz w:val="20"/>
                <w:szCs w:val="20"/>
                <w:color w:val="auto"/>
              </w:rPr>
            </w:pPr>
          </w:p>
        </w:tc>
        <w:tc>
          <w:tcPr>
            <w:tcW w:w="20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Measurement Period</w:t>
            </w:r>
          </w:p>
        </w:tc>
        <w:tc>
          <w:tcPr>
            <w:tcW w:w="260" w:type="dxa"/>
            <w:vAlign w:val="bottom"/>
          </w:tcPr>
          <w:p>
            <w:pPr>
              <w:spacing w:after="0"/>
              <w:rPr>
                <w:sz w:val="20"/>
                <w:szCs w:val="20"/>
                <w:color w:val="auto"/>
              </w:rPr>
            </w:pPr>
          </w:p>
        </w:tc>
        <w:tc>
          <w:tcPr>
            <w:tcW w:w="14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Provisional</w:t>
            </w:r>
          </w:p>
        </w:tc>
      </w:tr>
      <w:tr>
        <w:trPr>
          <w:trHeight w:val="33"/>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20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237"/>
        </w:trPr>
        <w:tc>
          <w:tcPr>
            <w:tcW w:w="36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36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Assets acquired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8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8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r>
      <w:tr>
        <w:trPr>
          <w:trHeight w:val="33"/>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Liabilities assumed</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1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33"/>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6"/>
        </w:trPr>
        <w:tc>
          <w:tcPr>
            <w:tcW w:w="3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r>
      <w:tr>
        <w:trPr>
          <w:trHeight w:val="33"/>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Tradename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r>
      <w:tr>
        <w:trPr>
          <w:trHeight w:val="23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33"/>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r>
      <w:tr>
        <w:trPr>
          <w:trHeight w:val="21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Preliminary purchase price</w:t>
            </w: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148.1</w:t>
            </w:r>
          </w:p>
        </w:tc>
      </w:tr>
      <w:tr>
        <w:trPr>
          <w:trHeight w:val="33"/>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3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estimated contingent consideration</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33"/>
        </w:trPr>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paid</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111760</wp:posOffset>
            </wp:positionV>
            <wp:extent cx="59004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0420" cy="171450"/>
                    </a:xfrm>
                    <a:prstGeom prst="rect">
                      <a:avLst/>
                    </a:prstGeom>
                    <a:noFill/>
                  </pic:spPr>
                </pic:pic>
              </a:graphicData>
            </a:graphic>
          </wp:anchor>
        </w:drawing>
      </w:r>
    </w:p>
    <w:p>
      <w:pPr>
        <w:spacing w:after="0" w:line="2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color w:val="auto"/>
        </w:rPr>
        <w:t>* Not deductible for income taxes</w:t>
      </w:r>
    </w:p>
    <w:p>
      <w:pPr>
        <w:spacing w:after="0" w:line="233"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Under the provisions of ASU No. 2015-16, "</w:t>
      </w:r>
      <w:r>
        <w:rPr>
          <w:rFonts w:ascii="Times New Roman" w:cs="Times New Roman" w:eastAsia="Times New Roman" w:hAnsi="Times New Roman"/>
          <w:sz w:val="18"/>
          <w:szCs w:val="18"/>
          <w:i w:val="1"/>
          <w:iCs w:val="1"/>
          <w:color w:val="auto"/>
        </w:rPr>
        <w:t>Simplifying the Accounting for Measurement Period Adjustments</w:t>
      </w:r>
      <w:r>
        <w:rPr>
          <w:rFonts w:ascii="Times New Roman" w:cs="Times New Roman" w:eastAsia="Times New Roman" w:hAnsi="Times New Roman"/>
          <w:sz w:val="18"/>
          <w:szCs w:val="18"/>
          <w:color w:val="auto"/>
        </w:rPr>
        <w:t>," the cumulative impact of any measurement period adjustments on current periods and prior periods is recognized in the period that the adjustment is determined.</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accounting policies the Company follows are set forth in its most recently filed Annual Report on Form 10-K. There have been no material subsequent changes to these accounting policies, except as noted below for new accounting pronouncements adopted at the beginning of fiscal 2017.</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Accounting Pronouncements At the Beginning of Fiscal 2017</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Share-Based Payments to Employees (ASU 2016-09)</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At the beginning of its first quarter of fiscal 2017, the Company adopted the provisions of Financial Accounting Standards Board ("FASB") ASU No.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xml:space="preserve"> ("ASU 2016-09"), which amended ASC Topic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The adoption of this ASU affected the Company's consolidated financial statements as follows.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33"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Consolidated Statement of Operations - ASU 2016-09 imposes a new requirement to record all of the excess income tax benefits and deficiencies (that result from an increase or decrease in the value of an award from grant date to settlement date) related to share-based payments at settlement through the statement of operations instead of the former requirement to record income tax benefits in excess of compensation cost ("windfalls") in equity, and income tax deficiencies ("shortfalls") in equity to the extent of previous windfalls, and then to operations. This change is required to be applied prospectively upon adoption of ASU 2016-09 to all excess income tax benefits and deficiencies resulting from settlements of share-based payments after the date of adoption. For the second quarter and first two quarters of fiscal 2017, the Company’s provision for income taxes on its consolidated statement of operations includes a benefit of approximately $0.2 million and $1.2 million, respectively, related to net excess income tax benefits for settlements of share-based payments during the those fiscal periods. For the second quarter and first two quarters of fiscal 2016, the Company recognized net excess income tax benefits of approximately $0.6 million and $3.7 million, respectively, for share-based payments settled during those periods. These net tax benefits were recorded directly to the Company’s consolidated statement of stockholders’ equity and have not been reclassified to the Company’s consolidated statement of operations, in accordance with adoption and transition provisions of ASU 2016-09.</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Statement of Cash Flows - ASU 2016-09 requires that all income tax-related cash flows resulting from share-based payments, such as excess income tax benefits, are to be reported as operating activities on the statement of cash flows, a change from the prior requirement to present windfall income tax benefits as an inflow from financing activities and an offsetting outflow from operating activities. As permitted, the Company elected to apply these provisions prospectively to its consolidated statement of cash flows, and accordingly, periods prior to fiscal 2017 have not been adjusted.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ASU 2016-09 clarifies that all cash payments made to taxing authorities on the employees' behalf for withheld shares at settlement are presented as financing activities on the statement of cash flows. This change must be applied retrospectively. The presentation requirements did not result in reclassification for any prior periods since such cash flows have historically been presented as a financing activity by the Company on its consolidated statement of cash flows.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elected to continue to estimate forfeitures expected to occur to determine the amount of share-based compensation cost to recognize in each period, as permitted by ASU 2016-09. Accordingly, no cumulative effect was recorded in retained earnings on the Company’s consolidated statement of stockholders’ equity at the beginning of fiscal 2017 upon the adoption of ASU 2016-09.</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Simplified Subsequent Measurement of Inventory (ASU 2015-11)</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At the beginning of its first quarter of fiscal 2017, the Company adopted the provisions of ASU No. 2015-11, </w:t>
      </w:r>
      <w:r>
        <w:rPr>
          <w:rFonts w:ascii="Times New Roman" w:cs="Times New Roman" w:eastAsia="Times New Roman" w:hAnsi="Times New Roman"/>
          <w:sz w:val="18"/>
          <w:szCs w:val="18"/>
          <w:i w:val="1"/>
          <w:iCs w:val="1"/>
          <w:color w:val="auto"/>
        </w:rPr>
        <w:t>Inventory (Topic 330): Simplifying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of Inventory </w:t>
      </w:r>
      <w:r>
        <w:rPr>
          <w:rFonts w:ascii="Times New Roman" w:cs="Times New Roman" w:eastAsia="Times New Roman" w:hAnsi="Times New Roman"/>
          <w:sz w:val="18"/>
          <w:szCs w:val="18"/>
          <w:color w:val="auto"/>
        </w:rPr>
        <w:t>("ASU 2015-11"). ASU 2015-11 simplifies subsequent measurements of inventory by replacing the lower of cost or market test,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under prior guidance, with a lower of cost and net realizable value test. ASU 2015-11 applies only to inventories for which cost is determined by methods other than last-in-first-out (LIFO) and the retail inventory method. For inventory within the scope of ASU 2015-11, entities are required to compare the cost of inventory to only one measure, its net realizable value, and not the three measures required by prior guidance ("market," "subject to a floor," and a "ceiling"). When evidence exists that the net realizable value of inventory is less than its cost (due to damage, physical deterioration, obsolescence, changes in price levels or other causes), entities recognize the difference as a loss in earnings in the period in which it occurs. The adoption of ASU 2015-11 was not material to the Company's consolidated financial condition, results of operations, or cash flows.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 Classification of Deferred Taxes (ASU 2015-17)</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At the beginning of the first quarter of fiscal 2017, the Company prospectively adopted the provisions of ASU No. 2015-17, </w:t>
      </w:r>
      <w:r>
        <w:rPr>
          <w:rFonts w:ascii="Times New Roman" w:cs="Times New Roman" w:eastAsia="Times New Roman" w:hAnsi="Times New Roman"/>
          <w:sz w:val="18"/>
          <w:szCs w:val="18"/>
          <w:i w:val="1"/>
          <w:iCs w:val="1"/>
          <w:color w:val="auto"/>
        </w:rPr>
        <w:t>Balance Sheet Classification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Deferred Taxes </w:t>
      </w:r>
      <w:r>
        <w:rPr>
          <w:rFonts w:ascii="Times New Roman" w:cs="Times New Roman" w:eastAsia="Times New Roman" w:hAnsi="Times New Roman"/>
          <w:sz w:val="18"/>
          <w:szCs w:val="18"/>
          <w:color w:val="auto"/>
        </w:rPr>
        <w:t>("ASU 2015-17"). ASU 2015-17 simplifies the balance sheet presentation of deferred income taxes by reporting the net amount of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assets and liabilities for each tax-paying jurisdiction as non-current on the balance sheet. Prior guidance required the deferred taxes for each tax-paying jurisdiction to be presented as a net current asset or liability and net non-current asset or liability. The Company's prospective adoption of ASU 2015-17 impacts the classification of deferred tax assets and liabilities on any balance sheet that reports the Company's financial position for any date after December 31, 2016. Balance sheets for prior periods have not been adjusted. The adoption of ASU 2015-17 has no impact on the Company's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33" w:right="239" w:bottom="1440" w:gutter="0" w:footer="0" w:header="0"/>
        </w:sectPr>
      </w:pPr>
    </w:p>
    <w:bookmarkStart w:id="10" w:name="page11"/>
    <w:bookmarkEnd w:id="10"/>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ACCUMULATED OTHER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consisted of the following:</w:t>
      </w:r>
    </w:p>
    <w:p>
      <w:pPr>
        <w:spacing w:after="0" w:line="187" w:lineRule="exact"/>
        <w:rPr>
          <w:sz w:val="20"/>
          <w:szCs w:val="20"/>
          <w:color w:val="auto"/>
        </w:rPr>
      </w:pPr>
    </w:p>
    <w:tbl>
      <w:tblPr>
        <w:tblLayout w:type="fixed"/>
        <w:tblInd w:w="1200" w:type="dxa"/>
        <w:tblCellMar>
          <w:top w:w="0" w:type="dxa"/>
          <w:left w:w="0" w:type="dxa"/>
          <w:bottom w:w="0" w:type="dxa"/>
          <w:right w:w="0" w:type="dxa"/>
        </w:tblCellMar>
      </w:tblPr>
      <w:tr>
        <w:trPr>
          <w:trHeight w:val="212"/>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July 1, 2017</w:t>
            </w:r>
          </w:p>
        </w:tc>
        <w:tc>
          <w:tcPr>
            <w:tcW w:w="18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280" w:type="dxa"/>
            <w:vAlign w:val="bottom"/>
          </w:tcPr>
          <w:p>
            <w:pPr>
              <w:spacing w:after="0"/>
              <w:rPr>
                <w:sz w:val="18"/>
                <w:szCs w:val="18"/>
                <w:color w:val="auto"/>
              </w:rPr>
            </w:pPr>
          </w:p>
        </w:tc>
        <w:tc>
          <w:tcPr>
            <w:tcW w:w="14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July 2, 2016</w:t>
            </w:r>
          </w:p>
        </w:tc>
      </w:tr>
      <w:tr>
        <w:trPr>
          <w:trHeight w:val="33"/>
        </w:trPr>
        <w:tc>
          <w:tcPr>
            <w:tcW w:w="3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Cumulative foreign currency translation adjustments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(23,752)</w:t>
            </w: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and post-retirement obligations (1)</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(6,781)</w:t>
            </w:r>
          </w:p>
        </w:tc>
      </w:tr>
      <w:tr>
        <w:trPr>
          <w:trHeight w:val="33"/>
        </w:trPr>
        <w:tc>
          <w:tcPr>
            <w:tcW w:w="3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accumulated other comprehensive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(30,533)</w:t>
            </w:r>
          </w:p>
        </w:tc>
      </w:tr>
      <w:tr>
        <w:trPr>
          <w:trHeight w:val="20"/>
        </w:trPr>
        <w:tc>
          <w:tcPr>
            <w:tcW w:w="3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Net of income taxes of $4.2 million, $4.2 million, and $4.0 million, respectively.</w:t>
      </w:r>
    </w:p>
    <w:p>
      <w:pPr>
        <w:spacing w:after="0" w:line="200" w:lineRule="exact"/>
        <w:rPr>
          <w:sz w:val="20"/>
          <w:szCs w:val="20"/>
          <w:color w:val="auto"/>
        </w:rPr>
      </w:pPr>
    </w:p>
    <w:p>
      <w:pPr>
        <w:spacing w:after="0" w:line="23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Changes in accumulated other comprehensive loss for the second quarter and first two quarters of fiscal 2017 consisted of net gains of $3.1 million and $4.1 million for foreign currency translation adjustments, respectively. Changes in accumulated other comprehensive loss for the second quarter and first two quarters of fiscal 2016 consisted of gains of $0.5 million and $5.8 million, respectively, for foreign currency translation adjustments. During the first and second quarters of both fiscal 2017 and fiscal 2016, no amounts were reclassified from accumulated other comprehensive loss to the statement of operations.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GOODWILL AND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goodwill and intangible assets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July 1, 2017</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3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average useful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Gross fair</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Gross fair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(dollars in thousands)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Carter's goodwill</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Indefinite</w:t>
            </w:r>
          </w:p>
        </w:tc>
        <w:tc>
          <w:tcPr>
            <w:tcW w:w="1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136,570</w:t>
            </w:r>
          </w:p>
        </w:tc>
        <w:tc>
          <w:tcPr>
            <w:tcW w:w="3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136,570</w:t>
            </w:r>
          </w:p>
        </w:tc>
        <w:tc>
          <w:tcPr>
            <w:tcW w:w="2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136,570</w:t>
            </w:r>
          </w:p>
        </w:tc>
        <w:tc>
          <w:tcPr>
            <w:tcW w:w="2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136,570</w:t>
            </w:r>
          </w:p>
        </w:tc>
        <w:tc>
          <w:tcPr>
            <w:tcW w:w="0" w:type="dxa"/>
            <w:vAlign w:val="bottom"/>
          </w:tcPr>
          <w:p>
            <w:pPr>
              <w:spacing w:after="0"/>
              <w:rPr>
                <w:sz w:val="1"/>
                <w:szCs w:val="1"/>
                <w:color w:val="auto"/>
              </w:rPr>
            </w:pPr>
          </w:p>
        </w:tc>
      </w:tr>
      <w:tr>
        <w:trPr>
          <w:trHeight w:val="237"/>
        </w:trPr>
        <w:tc>
          <w:tcPr>
            <w:tcW w:w="2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Canada acquisition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Indefinite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40,897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40,897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39,439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39,439</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xml:space="preserve">Skip Hop acquisition </w:t>
            </w:r>
            <w:r>
              <w:rPr>
                <w:rFonts w:ascii="Times New Roman" w:cs="Times New Roman" w:eastAsia="Times New Roman" w:hAnsi="Times New Roman"/>
                <w:sz w:val="14"/>
                <w:szCs w:val="14"/>
                <w:color w:val="auto"/>
              </w:rPr>
              <w:t>(1)</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Indefinite</w:t>
            </w:r>
          </w:p>
        </w:tc>
        <w:tc>
          <w:tcPr>
            <w:tcW w:w="1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54,242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54,242</w:t>
            </w:r>
          </w:p>
        </w:tc>
        <w:tc>
          <w:tcPr>
            <w:tcW w:w="2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goodwill</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231,709</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231,709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176,009</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176,009</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 xml:space="preserve">Carter's </w:t>
            </w:r>
            <w:r>
              <w:rPr>
                <w:rFonts w:ascii="Times New Roman" w:cs="Times New Roman" w:eastAsia="Times New Roman" w:hAnsi="Times New Roman"/>
                <w:sz w:val="16"/>
                <w:szCs w:val="16"/>
                <w:color w:val="auto"/>
              </w:rPr>
              <w:t>tradename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Indefinite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220,233</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220,233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220,233</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220,233</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i w:val="1"/>
                <w:iCs w:val="1"/>
                <w:color w:val="auto"/>
              </w:rPr>
              <w:t xml:space="preserve">OshKosh </w:t>
            </w:r>
            <w:r>
              <w:rPr>
                <w:rFonts w:ascii="Times New Roman" w:cs="Times New Roman" w:eastAsia="Times New Roman" w:hAnsi="Times New Roman"/>
                <w:sz w:val="16"/>
                <w:szCs w:val="16"/>
                <w:color w:val="auto"/>
              </w:rPr>
              <w:t>tradename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Indefinite</w:t>
            </w:r>
          </w:p>
        </w:tc>
        <w:tc>
          <w:tcPr>
            <w:tcW w:w="1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85,500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85,500</w:t>
            </w:r>
          </w:p>
        </w:tc>
        <w:tc>
          <w:tcPr>
            <w:tcW w:w="0" w:type="dxa"/>
            <w:vAlign w:val="bottom"/>
          </w:tcPr>
          <w:p>
            <w:pPr>
              <w:spacing w:after="0"/>
              <w:rPr>
                <w:sz w:val="1"/>
                <w:szCs w:val="1"/>
                <w:color w:val="auto"/>
              </w:rPr>
            </w:pPr>
          </w:p>
        </w:tc>
      </w:tr>
      <w:tr>
        <w:trPr>
          <w:trHeight w:val="237"/>
        </w:trPr>
        <w:tc>
          <w:tcPr>
            <w:tcW w:w="2300" w:type="dxa"/>
            <w:vAlign w:val="bottom"/>
          </w:tcPr>
          <w:p>
            <w:pPr>
              <w:ind w:left="80"/>
              <w:spacing w:after="0"/>
              <w:rPr>
                <w:sz w:val="20"/>
                <w:szCs w:val="20"/>
                <w:color w:val="auto"/>
              </w:rPr>
            </w:pPr>
            <w:r>
              <w:rPr>
                <w:rFonts w:ascii="Times New Roman" w:cs="Times New Roman" w:eastAsia="Times New Roman" w:hAnsi="Times New Roman"/>
                <w:sz w:val="16"/>
                <w:szCs w:val="16"/>
                <w:i w:val="1"/>
                <w:iCs w:val="1"/>
                <w:color w:val="auto"/>
              </w:rPr>
              <w:t xml:space="preserve">Skip Hop </w:t>
            </w:r>
            <w:r>
              <w:rPr>
                <w:rFonts w:ascii="Times New Roman" w:cs="Times New Roman" w:eastAsia="Times New Roman" w:hAnsi="Times New Roman"/>
                <w:sz w:val="16"/>
                <w:szCs w:val="16"/>
                <w:color w:val="auto"/>
              </w:rPr>
              <w:t>tradename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4"/>
                <w:szCs w:val="14"/>
                <w:color w:val="auto"/>
              </w:rPr>
              <w:t>(1)</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Indefinite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56,800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56,800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Finite-life tradenames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2-20 years</w:t>
            </w:r>
          </w:p>
        </w:tc>
        <w:tc>
          <w:tcPr>
            <w:tcW w:w="120" w:type="dxa"/>
            <w:vAlign w:val="bottom"/>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42,021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38,915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3,106</w:t>
            </w:r>
          </w:p>
        </w:tc>
        <w:tc>
          <w:tcPr>
            <w:tcW w:w="220" w:type="dxa"/>
            <w:vAlign w:val="bottom"/>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42,005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38,810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3,195</w:t>
            </w:r>
          </w:p>
        </w:tc>
        <w:tc>
          <w:tcPr>
            <w:tcW w:w="0" w:type="dxa"/>
            <w:vAlign w:val="bottom"/>
          </w:tcPr>
          <w:p>
            <w:pPr>
              <w:spacing w:after="0"/>
              <w:rPr>
                <w:sz w:val="1"/>
                <w:szCs w:val="1"/>
                <w:color w:val="auto"/>
              </w:rPr>
            </w:pPr>
          </w:p>
        </w:tc>
      </w:tr>
      <w:tr>
        <w:trPr>
          <w:trHeight w:val="217"/>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tradenames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404,554</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38,915</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365,639</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347,738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38,810</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308,928</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Skip Hop customer relationships</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15 years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35,900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804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35,096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3"/>
        </w:trPr>
        <w:tc>
          <w:tcPr>
            <w:tcW w:w="2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w:t>
            </w: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tradenames and other</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intangibles, net</w:t>
            </w:r>
          </w:p>
        </w:tc>
        <w:tc>
          <w:tcPr>
            <w:tcW w:w="12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440,454</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39,719</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400,735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347,738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38,810</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308,928</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right="120" w:firstLine="8"/>
        <w:spacing w:after="0" w:line="282" w:lineRule="auto"/>
        <w:tabs>
          <w:tab w:leader="none" w:pos="20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revision. The measurement period, as defined in ASC 805, Business Combinations, is open for certain assets and liabilities related to the Skip Hop business acquisition that closed on February 22, 2017.</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333" w:right="239" w:bottom="1440" w:gutter="0" w:footer="0" w:header="0"/>
        </w:sectPr>
      </w:pPr>
    </w:p>
    <w:bookmarkStart w:id="11" w:name="page12"/>
    <w:bookmarkEnd w:id="1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4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 useful</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(dollars in thousands)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life</w:t>
            </w:r>
          </w:p>
        </w:tc>
        <w:tc>
          <w:tcPr>
            <w:tcW w:w="100" w:type="dxa"/>
            <w:vAlign w:val="bottom"/>
          </w:tcPr>
          <w:p>
            <w:pPr>
              <w:spacing w:after="0"/>
              <w:rPr>
                <w:sz w:val="18"/>
                <w:szCs w:val="18"/>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Gross amount</w:t>
            </w: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Net amount</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4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Carter's goodwill</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100" w:type="dxa"/>
            <w:vAlign w:val="bottom"/>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136,570</w:t>
            </w:r>
          </w:p>
        </w:tc>
        <w:tc>
          <w:tcPr>
            <w:tcW w:w="0" w:type="dxa"/>
            <w:vAlign w:val="bottom"/>
          </w:tcPr>
          <w:p>
            <w:pPr>
              <w:spacing w:after="0"/>
              <w:rPr>
                <w:sz w:val="1"/>
                <w:szCs w:val="1"/>
                <w:color w:val="auto"/>
              </w:rPr>
            </w:pPr>
          </w:p>
        </w:tc>
      </w:tr>
      <w:tr>
        <w:trPr>
          <w:trHeight w:val="237"/>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Canadian acquisition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40,970</w:t>
            </w:r>
          </w:p>
        </w:tc>
        <w:tc>
          <w:tcPr>
            <w:tcW w:w="0" w:type="dxa"/>
            <w:vAlign w:val="bottom"/>
          </w:tcPr>
          <w:p>
            <w:pPr>
              <w:spacing w:after="0"/>
              <w:rPr>
                <w:sz w:val="1"/>
                <w:szCs w:val="1"/>
                <w:color w:val="auto"/>
              </w:rPr>
            </w:pPr>
          </w:p>
        </w:tc>
      </w:tr>
      <w:tr>
        <w:trPr>
          <w:trHeight w:val="33"/>
        </w:trPr>
        <w:tc>
          <w:tcPr>
            <w:tcW w:w="24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goodwill</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177,540</w:t>
            </w:r>
          </w:p>
        </w:tc>
        <w:tc>
          <w:tcPr>
            <w:tcW w:w="0" w:type="dxa"/>
            <w:vAlign w:val="bottom"/>
          </w:tcPr>
          <w:p>
            <w:pPr>
              <w:spacing w:after="0"/>
              <w:rPr>
                <w:sz w:val="1"/>
                <w:szCs w:val="1"/>
                <w:color w:val="auto"/>
              </w:rPr>
            </w:pPr>
          </w:p>
        </w:tc>
      </w:tr>
      <w:tr>
        <w:trPr>
          <w:trHeight w:val="129"/>
        </w:trPr>
        <w:tc>
          <w:tcPr>
            <w:tcW w:w="2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i w:val="1"/>
                <w:iCs w:val="1"/>
                <w:color w:val="auto"/>
              </w:rPr>
              <w:t xml:space="preserve">Carter's </w:t>
            </w:r>
            <w:r>
              <w:rPr>
                <w:rFonts w:ascii="Times New Roman" w:cs="Times New Roman" w:eastAsia="Times New Roman" w:hAnsi="Times New Roman"/>
                <w:sz w:val="16"/>
                <w:szCs w:val="16"/>
                <w:color w:val="auto"/>
              </w:rPr>
              <w:t>tradename</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100" w:type="dxa"/>
            <w:vAlign w:val="bottom"/>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220,233</w:t>
            </w:r>
          </w:p>
        </w:tc>
        <w:tc>
          <w:tcPr>
            <w:tcW w:w="0" w:type="dxa"/>
            <w:vAlign w:val="bottom"/>
          </w:tcPr>
          <w:p>
            <w:pPr>
              <w:spacing w:after="0"/>
              <w:rPr>
                <w:sz w:val="1"/>
                <w:szCs w:val="1"/>
                <w:color w:val="auto"/>
              </w:rPr>
            </w:pPr>
          </w:p>
        </w:tc>
      </w:tr>
      <w:tr>
        <w:trPr>
          <w:trHeight w:val="237"/>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 xml:space="preserve">OshKosh </w:t>
            </w:r>
            <w:r>
              <w:rPr>
                <w:rFonts w:ascii="Times New Roman" w:cs="Times New Roman" w:eastAsia="Times New Roman" w:hAnsi="Times New Roman"/>
                <w:sz w:val="16"/>
                <w:szCs w:val="16"/>
                <w:color w:val="auto"/>
              </w:rPr>
              <w:t>tradename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85,500</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Finite-life tradenames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2-20 years</w:t>
            </w:r>
          </w:p>
        </w:tc>
        <w:tc>
          <w:tcPr>
            <w:tcW w:w="100" w:type="dxa"/>
            <w:vAlign w:val="bottom"/>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38,738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3,284</w:t>
            </w:r>
          </w:p>
        </w:tc>
        <w:tc>
          <w:tcPr>
            <w:tcW w:w="0" w:type="dxa"/>
            <w:vAlign w:val="bottom"/>
          </w:tcPr>
          <w:p>
            <w:pPr>
              <w:spacing w:after="0"/>
              <w:rPr>
                <w:sz w:val="1"/>
                <w:szCs w:val="1"/>
                <w:color w:val="auto"/>
              </w:rPr>
            </w:pPr>
          </w:p>
        </w:tc>
      </w:tr>
      <w:tr>
        <w:trPr>
          <w:trHeight w:val="217"/>
        </w:trPr>
        <w:tc>
          <w:tcPr>
            <w:tcW w:w="2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tradenames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347,755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38,738</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309,017</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substantial majority of Skip Hop's wholesale operations became part of the Company's U.S. Wholesale reportable segment, with the remainder becoming part of the Company's International reportable segment. Skip Hop's eCommerce operations became part of the U.S. Retail reportable segment.</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Changes in the carrying values between comparative periods for goodwill related to the Company's 2011 acquisition of its Canadian business (Bonnie Togs) were due to fluctuations in the foreign currency exchange rates between the Canadian and U.S. dollar that were used in the remeasurement process for preparing the Company's consolidated financial statements. The portion of the changes in the carrying values for other trademarks, including the related accumulated amortization, that was not attributable to amortization expense was also impacted by these same foreign currency exchange rate fluctuations.</w:t>
      </w:r>
    </w:p>
    <w:p>
      <w:pPr>
        <w:spacing w:after="0" w:line="17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Included in finite-life tradenames is the Company's exclusive rights to the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brands in Chile, including trademark registrations. The Company acquired the Chile rights in 2014 for approximately $3.6 million in cash. This intangible tradename is being amortized over 20 years using a straight-line method, resulting in approximately $0.2 million of amortization expense for each fiscal year during the life of intangible asset. During the first quarter and first two quarters of fiscal 2016, the Company also recorded amortization expense of approximately $0.8 million and $1.7 million, respectively, for the H.W. Carter and Sons tradenames, which have been fully amortized.</w:t>
      </w:r>
    </w:p>
    <w:p>
      <w:pPr>
        <w:spacing w:after="0" w:line="18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For the Skip Hop customer relationships intangible asset acquired in February 2017, the Company recorded approximately $0.6 million and $0.8 million, respectively, of amortization expense for the fiscal quarter and two fiscal quarters ended July 1, 2017. Future amortization expense is estimated to be approximately $2.4 million each year for the next 15 years.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2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total aggregate remaining capacity under outstanding repurchase authorizations as of July 1, 2017 was approximately $176.2 million, based on settled repurchase transactions. The authorizations have no expiration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 Market Repurchases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and retired shares in open market transactions in the following amounts for the fiscal periods indicated:</w:t>
      </w:r>
    </w:p>
    <w:p>
      <w:pPr>
        <w:spacing w:after="0" w:line="174" w:lineRule="exact"/>
        <w:rPr>
          <w:sz w:val="20"/>
          <w:szCs w:val="20"/>
          <w:color w:val="auto"/>
        </w:rPr>
      </w:pPr>
    </w:p>
    <w:tbl>
      <w:tblPr>
        <w:tblLayout w:type="fixed"/>
        <w:tblInd w:w="660" w:type="dxa"/>
        <w:tblCellMar>
          <w:top w:w="0" w:type="dxa"/>
          <w:left w:w="0" w:type="dxa"/>
          <w:bottom w:w="0" w:type="dxa"/>
          <w:right w:w="0" w:type="dxa"/>
        </w:tblCellMar>
      </w:tblPr>
      <w:tr>
        <w:trPr>
          <w:trHeight w:val="212"/>
        </w:trPr>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20" w:type="dxa"/>
            <w:vAlign w:val="bottom"/>
          </w:tcPr>
          <w:p>
            <w:pPr>
              <w:spacing w:after="0"/>
              <w:rPr>
                <w:sz w:val="18"/>
                <w:szCs w:val="18"/>
                <w:color w:val="auto"/>
              </w:rPr>
            </w:pPr>
          </w:p>
        </w:tc>
        <w:tc>
          <w:tcPr>
            <w:tcW w:w="3220" w:type="dxa"/>
            <w:vAlign w:val="bottom"/>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r>
      <w:tr>
        <w:trPr>
          <w:trHeight w:val="47"/>
        </w:trPr>
        <w:tc>
          <w:tcPr>
            <w:tcW w:w="31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2"/>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2"/>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31"/>
        </w:trPr>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1, 2017</w:t>
            </w:r>
          </w:p>
        </w:tc>
        <w:tc>
          <w:tcPr>
            <w:tcW w:w="300" w:type="dxa"/>
            <w:vAlign w:val="bottom"/>
          </w:tcPr>
          <w:p>
            <w:pPr>
              <w:spacing w:after="0"/>
              <w:rPr>
                <w:sz w:val="20"/>
                <w:szCs w:val="20"/>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1, 2017</w:t>
            </w:r>
          </w:p>
        </w:tc>
        <w:tc>
          <w:tcPr>
            <w:tcW w:w="300" w:type="dxa"/>
            <w:vAlign w:val="bottom"/>
          </w:tcPr>
          <w:p>
            <w:pPr>
              <w:spacing w:after="0"/>
              <w:rPr>
                <w:sz w:val="20"/>
                <w:szCs w:val="20"/>
                <w:color w:val="auto"/>
              </w:rPr>
            </w:pPr>
          </w:p>
        </w:tc>
        <w:tc>
          <w:tcPr>
            <w:tcW w:w="15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July 2, 2016</w:t>
            </w:r>
          </w:p>
        </w:tc>
      </w:tr>
      <w:tr>
        <w:trPr>
          <w:trHeight w:val="33"/>
        </w:trPr>
        <w:tc>
          <w:tcPr>
            <w:tcW w:w="3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shares repurchased</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587,465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1,049,483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1,131,409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1,771,847</w:t>
            </w: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Aggregate cost of shares repurchased (dollars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0"/>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51,605</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108,648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98,236</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180,209</w:t>
            </w:r>
          </w:p>
        </w:tc>
      </w:tr>
      <w:tr>
        <w:trPr>
          <w:trHeight w:val="33"/>
        </w:trPr>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price per share</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87.84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103.52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86.82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101.71</w:t>
            </w:r>
          </w:p>
        </w:tc>
      </w:tr>
      <w:tr>
        <w:trPr>
          <w:trHeight w:val="33"/>
        </w:trPr>
        <w:tc>
          <w:tcPr>
            <w:tcW w:w="3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60"/>
          </w:cols>
          <w:pgMar w:left="240" w:top="333" w:right="29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Future repurchases may occur from time to time in the open market, in privately negotiated transactions, or otherwise. The timing and amount of any repurchases will be determined by the Company's management, based on its evaluation of market conditions, share price, other investment priorities, and other factors.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second fiscal quarter and two fiscal quarters ended July 1, 2017, the Company paid cash dividends per share of $0.37 and $0.74, respectively. In the second fiscal quarter and two fiscal quarters ended July 2, 2016, the Company declared and paid cash dividends per share of $0.33 and $0.66, respectively. Future declarations of dividends and the establishment of future record and payment dates are at the discretion of the Company's Board of Directors and based on a number of factors, including the Company's future financial performance and other investment priorities.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Provisions in the indenture governing the senior notes of TWCC and in TWCC's secured revolving credit facility could have the effect of restricting the Company's ability to pay future cash dividends on, or make future repurchases of, its common stock. Provisions related to the indenture governing the senior notes are described in the Company's Annual Report on Form 10-K for the 2016 fiscal year ended December 31, 2016.</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LONG-TERM DEBT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187" w:lineRule="exact"/>
        <w:rPr>
          <w:sz w:val="20"/>
          <w:szCs w:val="20"/>
          <w:color w:val="auto"/>
        </w:rPr>
      </w:pPr>
    </w:p>
    <w:tbl>
      <w:tblPr>
        <w:tblLayout w:type="fixed"/>
        <w:tblInd w:w="1440" w:type="dxa"/>
        <w:tblCellMar>
          <w:top w:w="0" w:type="dxa"/>
          <w:left w:w="0" w:type="dxa"/>
          <w:bottom w:w="0" w:type="dxa"/>
          <w:right w:w="0" w:type="dxa"/>
        </w:tblCellMar>
      </w:tblPr>
      <w:tr>
        <w:trPr>
          <w:trHeight w:val="212"/>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0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1, 2017</w:t>
            </w: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220" w:type="dxa"/>
            <w:vAlign w:val="bottom"/>
          </w:tcPr>
          <w:p>
            <w:pPr>
              <w:spacing w:after="0"/>
              <w:rPr>
                <w:sz w:val="18"/>
                <w:szCs w:val="18"/>
                <w:color w:val="auto"/>
              </w:rPr>
            </w:pPr>
          </w:p>
        </w:tc>
        <w:tc>
          <w:tcPr>
            <w:tcW w:w="13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July 2, 2016</w:t>
            </w:r>
          </w:p>
        </w:tc>
      </w:tr>
      <w:tr>
        <w:trPr>
          <w:trHeight w:val="33"/>
        </w:trPr>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at amounts repayable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r>
      <w:tr>
        <w:trPr>
          <w:trHeight w:val="23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unamortized issuance-related costs for senior notes</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(5,036)</w:t>
            </w:r>
          </w:p>
        </w:tc>
      </w:tr>
      <w:tr>
        <w:trPr>
          <w:trHeight w:val="33"/>
        </w:trPr>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Senior notes, net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395,846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395,399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394,964</w:t>
            </w:r>
          </w:p>
        </w:tc>
      </w:tr>
      <w:tr>
        <w:trPr>
          <w:trHeight w:val="23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revolving credit facility</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266,000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184,977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185,714</w:t>
            </w:r>
          </w:p>
        </w:tc>
      </w:tr>
      <w:tr>
        <w:trPr>
          <w:trHeight w:val="33"/>
        </w:trPr>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5"/>
        </w:trPr>
        <w:tc>
          <w:tcPr>
            <w:tcW w:w="47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long-term debt, net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661,846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580,376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580,678</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July 19, 2017, the Company borrowed an additional $100 million under its secured revolving credit facility primarily for seasonal working capital needs, bringing total outstanding borrowings under this facility to $366 million, excluding accrued interest.</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Revolving Credit Facility</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aggregate principal amount of the Company's amended and restated secured revolving credit facility is $500 million consisting of (i) a $400 million U.S. dollar revolving credit facility (including a $175 million sub-limit for letters of credit and a swing line sub-limit of $50 million) available for borrowings by TWCC and (ii) a $100 million multicurrency revolving credit facility (including a $40 million sub-limit for letters of credit and a swing line sub-limit of $15 million) available for borrowings by TWCC and certain other subsidiaries of TWCC in U.S. dollars, Canadian dollars, Euros, Pounds Sterling, or other currencies agreed to by the applicable lenders. The secured revolving credit facility also provides for incremental facilities in an aggregate amount not to exceed $250 million, either in the form of a commitment increase under the existing revolving credit facility or the incurrence of one or more tranches of term loans (with the aggregate U.S. dollar amount available to the Company not to exceed $200 million and the aggregate multicurrency amount available not to exceed $50 million). The Company's secured revolving credit facility matures on September 16, 2020.</w:t>
      </w:r>
    </w:p>
    <w:p>
      <w:pPr>
        <w:spacing w:after="0" w:line="1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July 1, 2017, the Company had $266.0 million in outstanding borrowings under its secured revolving credit facility, exclusive of $4.5 million of outstanding letters of credit. As of July 1, 2017, approximately $229.5 million remained available for future borrowing. All outstanding borrowings under the Company's secured revolving credit facility are classified as non-current liabilities on the Company's consolidated balance sheet because of the contractual repayment terms under the credit facility.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333"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July 1, 2017, the interest rate margins applicable to the secured revolving credit facility were 1.375% for LIBOR (London Interbank Offered Rate) rate loans (which may be adjusted based on a leverage-based pricing grid ranging from 1.125% to 1.875%) and 0.375% for base rate loans (which may be adjusted based on a leverage-based pricing grid ranging from 0.125% to 0.875%).</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July 1, 2017, U.S. dollar borrowings outstanding under the secured revolving credit facility accrued interest at a LIBOR rate plus the applicable base rate, which resulted in a weighted average borrowing rate of 2.55%. All outstanding Canadian dollar borrowings were repaid during the first quarter of fiscal 2017. There were no Canadian dollar borrowings during the second quarter of fiscal 2017.</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disclosed in the Company's most recent Annual Report on Form 10-K for the 2016 fiscal year ended December 31, 2016, the Company's secured revolving credit facility contains covenants, including affirmative and financial covenants. As of July 1, 2017, the Company was in compliance with the financial and other covenants under the secured revolving credit facility.</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July 1, 2017, TWCC had outstanding $400 million principal amount of senior notes bearing interest at a fixed rate of 5.25% per annum and maturing on August 15, 2021. The senior notes are unsecured and are fully and unconditionally guaranteed by Carter's, Inc. and certain subsidiaries of TWCC. On the Company's consolidated balance sheet, the senior notes are reported net of certain unamortized issuance-related costs, as described in the table above.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expense as follows:</w:t>
      </w:r>
    </w:p>
    <w:p>
      <w:pPr>
        <w:spacing w:after="0" w:line="187" w:lineRule="exact"/>
        <w:rPr>
          <w:sz w:val="20"/>
          <w:szCs w:val="20"/>
          <w:color w:val="auto"/>
        </w:rPr>
      </w:pPr>
    </w:p>
    <w:tbl>
      <w:tblPr>
        <w:tblLayout w:type="fixed"/>
        <w:tblInd w:w="1200" w:type="dxa"/>
        <w:tblCellMar>
          <w:top w:w="0" w:type="dxa"/>
          <w:left w:w="0" w:type="dxa"/>
          <w:bottom w:w="0" w:type="dxa"/>
          <w:right w:w="0" w:type="dxa"/>
        </w:tblCellMar>
      </w:tblPr>
      <w:tr>
        <w:trPr>
          <w:trHeight w:val="212"/>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60" w:type="dxa"/>
            <w:vAlign w:val="bottom"/>
          </w:tcPr>
          <w:p>
            <w:pPr>
              <w:spacing w:after="0"/>
              <w:rPr>
                <w:sz w:val="18"/>
                <w:szCs w:val="18"/>
                <w:color w:val="auto"/>
              </w:rPr>
            </w:pPr>
          </w:p>
        </w:tc>
        <w:tc>
          <w:tcPr>
            <w:tcW w:w="2700" w:type="dxa"/>
            <w:vAlign w:val="bottom"/>
            <w:gridSpan w:val="4"/>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r>
      <w:tr>
        <w:trPr>
          <w:trHeight w:val="33"/>
        </w:trPr>
        <w:tc>
          <w:tcPr>
            <w:tcW w:w="3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8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July 1, 2017</w:t>
            </w:r>
          </w:p>
        </w:tc>
        <w:tc>
          <w:tcPr>
            <w:tcW w:w="22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July 1, 2017</w:t>
            </w:r>
          </w:p>
        </w:tc>
        <w:tc>
          <w:tcPr>
            <w:tcW w:w="220" w:type="dxa"/>
            <w:vAlign w:val="bottom"/>
          </w:tcPr>
          <w:p>
            <w:pPr>
              <w:spacing w:after="0"/>
              <w:rPr>
                <w:sz w:val="20"/>
                <w:szCs w:val="20"/>
                <w:color w:val="auto"/>
              </w:rPr>
            </w:pPr>
          </w:p>
        </w:tc>
        <w:tc>
          <w:tcPr>
            <w:tcW w:w="12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July 2, 2016</w:t>
            </w:r>
          </w:p>
        </w:tc>
      </w:tr>
      <w:tr>
        <w:trPr>
          <w:trHeight w:val="33"/>
        </w:trPr>
        <w:tc>
          <w:tcPr>
            <w:tcW w:w="3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w:t>
            </w:r>
          </w:p>
        </w:tc>
      </w:tr>
      <w:tr>
        <w:trPr>
          <w:trHeight w:val="237"/>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3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Time-based awards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3,862</w:t>
            </w:r>
          </w:p>
        </w:tc>
      </w:tr>
      <w:tr>
        <w:trPr>
          <w:trHeight w:val="237"/>
        </w:trPr>
        <w:tc>
          <w:tcPr>
            <w:tcW w:w="3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Performance-based awards</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w:t>
            </w:r>
          </w:p>
        </w:tc>
      </w:tr>
      <w:tr>
        <w:trPr>
          <w:trHeight w:val="33"/>
        </w:trPr>
        <w:tc>
          <w:tcPr>
            <w:tcW w:w="3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3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awards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w:t>
            </w:r>
          </w:p>
        </w:tc>
      </w:tr>
      <w:tr>
        <w:trPr>
          <w:trHeight w:val="244"/>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9,646</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9,250</w:t>
            </w:r>
          </w:p>
        </w:tc>
      </w:tr>
      <w:tr>
        <w:trPr>
          <w:trHeight w:val="20"/>
        </w:trPr>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EMPLOYEE BENEFIT PLANS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maintains a defined contribution plan and two frozen defined benefit plans. The two frozen defined benefit plans include the OshKosh B'Gosh pension plan and a post-retirement life and medical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OSHKOSH B'GOSH PENSION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pension cost included in the statement of operations were comprised of:</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322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40" w:type="dxa"/>
            <w:vAlign w:val="bottom"/>
            <w:gridSpan w:val="4"/>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r>
      <w:tr>
        <w:trPr>
          <w:trHeight w:val="33"/>
        </w:trPr>
        <w:tc>
          <w:tcPr>
            <w:tcW w:w="4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(dollars in thousands)</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July 1, 2017</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1, 2017</w:t>
            </w:r>
          </w:p>
        </w:tc>
        <w:tc>
          <w:tcPr>
            <w:tcW w:w="300" w:type="dxa"/>
            <w:vAlign w:val="bottom"/>
          </w:tcPr>
          <w:p>
            <w:pPr>
              <w:spacing w:after="0"/>
              <w:rPr>
                <w:sz w:val="20"/>
                <w:szCs w:val="20"/>
                <w:color w:val="auto"/>
              </w:rPr>
            </w:pPr>
          </w:p>
        </w:tc>
        <w:tc>
          <w:tcPr>
            <w:tcW w:w="15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July 2, 2016</w:t>
            </w:r>
          </w:p>
        </w:tc>
      </w:tr>
      <w:tr>
        <w:trPr>
          <w:trHeight w:val="33"/>
        </w:trPr>
        <w:tc>
          <w:tcPr>
            <w:tcW w:w="4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cost</w:t>
            </w:r>
          </w:p>
        </w:tc>
        <w:tc>
          <w:tcPr>
            <w:tcW w:w="1280" w:type="dxa"/>
            <w:vAlign w:val="bottom"/>
            <w:tcBorders>
              <w:bottom w:val="single" w:sz="8" w:color="CCEEFF"/>
            </w:tcBorders>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611</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1,258</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2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w:t>
            </w:r>
          </w:p>
        </w:tc>
      </w:tr>
      <w:tr>
        <w:trPr>
          <w:trHeight w:val="33"/>
        </w:trPr>
        <w:tc>
          <w:tcPr>
            <w:tcW w:w="4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Recognized actuarial loss</w:t>
            </w:r>
          </w:p>
        </w:tc>
        <w:tc>
          <w:tcPr>
            <w:tcW w:w="12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290</w:t>
            </w:r>
          </w:p>
        </w:tc>
      </w:tr>
      <w:tr>
        <w:trPr>
          <w:trHeight w:val="244"/>
        </w:trPr>
        <w:tc>
          <w:tcPr>
            <w:tcW w:w="4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periodic pension cost</w:t>
            </w:r>
          </w:p>
        </w:tc>
        <w:tc>
          <w:tcPr>
            <w:tcW w:w="1280" w:type="dxa"/>
            <w:vAlign w:val="bottom"/>
            <w:tcBorders>
              <w:top w:val="single" w:sz="8" w:color="auto"/>
              <w:bottom w:val="single" w:sz="8" w:color="auto"/>
            </w:tcBorders>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Pr>
          <w:p>
            <w:pPr>
              <w:spacing w:after="0"/>
              <w:rPr>
                <w:sz w:val="21"/>
                <w:szCs w:val="21"/>
                <w:color w:val="auto"/>
              </w:rPr>
            </w:pPr>
          </w:p>
        </w:tc>
        <w:tc>
          <w:tcPr>
            <w:tcW w:w="1380" w:type="dxa"/>
            <w:vAlign w:val="bottom"/>
            <w:tcBorders>
              <w:top w:val="single" w:sz="8" w:color="auto"/>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196</w:t>
            </w:r>
          </w:p>
        </w:tc>
      </w:tr>
      <w:tr>
        <w:trPr>
          <w:trHeight w:val="20"/>
        </w:trPr>
        <w:tc>
          <w:tcPr>
            <w:tcW w:w="4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333" w:right="239" w:bottom="1440" w:gutter="0" w:footer="0" w:header="0"/>
        </w:sectPr>
      </w:pPr>
    </w:p>
    <w:bookmarkStart w:id="14" w:name="page15"/>
    <w:bookmarkEnd w:id="14"/>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POST-RETIREMENT LIFE AND MEDICAL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post-retirement (benefit) cost included in the statement of operations were comprised of:</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3"/>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(dollars in thousands)</w:t>
            </w: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1, 2017</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July 1, 2017</w:t>
            </w:r>
          </w:p>
        </w:tc>
        <w:tc>
          <w:tcPr>
            <w:tcW w:w="300" w:type="dxa"/>
            <w:vAlign w:val="bottom"/>
          </w:tcPr>
          <w:p>
            <w:pPr>
              <w:spacing w:after="0"/>
              <w:rPr>
                <w:sz w:val="20"/>
                <w:szCs w:val="20"/>
                <w:color w:val="auto"/>
              </w:rPr>
            </w:pPr>
          </w:p>
        </w:tc>
        <w:tc>
          <w:tcPr>
            <w:tcW w:w="15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0" w:type="dxa"/>
            <w:vAlign w:val="bottom"/>
          </w:tcPr>
          <w:p>
            <w:pPr>
              <w:spacing w:after="0"/>
              <w:rPr>
                <w:sz w:val="1"/>
                <w:szCs w:val="1"/>
                <w:color w:val="auto"/>
              </w:rPr>
            </w:pPr>
          </w:p>
        </w:tc>
      </w:tr>
      <w:tr>
        <w:trPr>
          <w:trHeight w:val="33"/>
        </w:trPr>
        <w:tc>
          <w:tcPr>
            <w:tcW w:w="4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Service cost – benefits attributed to service during the period</w:t>
            </w: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60" w:type="dxa"/>
            <w:vAlign w:val="bottom"/>
            <w:vMerge w:val="continue"/>
          </w:tcPr>
          <w:p>
            <w:pPr>
              <w:spacing w:after="0"/>
              <w:rPr>
                <w:sz w:val="18"/>
                <w:szCs w:val="18"/>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420" w:type="dxa"/>
            <w:vAlign w:val="bottom"/>
          </w:tcPr>
          <w:p>
            <w:pPr>
              <w:jc w:val="right"/>
              <w:ind w:right="121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Interest cost on accumulated post-retirement benefit obligation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37"/>
        </w:trPr>
        <w:tc>
          <w:tcPr>
            <w:tcW w:w="4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Amortization net actuarial gain</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net periodic post-retirement (benefit) cost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21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July 1, 2017, the Company had gross unrecognized income tax benefits of approximately $11.5 million, of which $8.2 million, if ultimately recognized, may affect the Company's effective tax rate in the periods settled. The Company has recorded tax positions for which the ultimate deductibility is more likely than not, but for which there is uncertainty about the timing of such deductions.</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Included in the reserves for unrecognized tax benefits at July 1, 2017 were approximately $1.5 million of reserves for which the statute of limitations is expected to expire within the next fiscal year. If these tax benefits are ultimately recognized, such recognition, net of federal income taxes, may affect the annual effective tax rate for fiscal 2017 or fiscal 2018 along with the effective tax rate in the quarter in which the benefits are recognized.</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recognizes interest related to unrecognized tax benefits as a component of interest expense and recognizes penalties related to unrecognized tax benefits as a component of income tax expense. During the fiscal quarter and two fiscal quarters ended July 1, 2017 and the fiscal quarter and two fiscal quarters ended July 2, 2016, interest expense recorded on uncertain tax positions was not significant. The Company had approximately $1.1 million, $0.8 million, and $0.8 million of interest accrued on uncertain tax positions as of July 1, 2017, December 31, 2016, and July 2, 2016, respectively.</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disclosed in note 2, the Company's adoption of ASU 2016-09 benefited consolidated income tax expense by approximately $1.2 million for the first two quarters of fiscal 2017. The adoption of ASU 2016-09 had no impact on income tax expense for prior periods.</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disclosed in note 2, the Company prospectively adopted the provisions for classification of deferred income tax assets and liabilities on the Company's consolidated balance sheet at the beginning of fiscal 2017. Classifications for deferred income tax assets and liabilities for prior periods have not been adjusted on the Company's consolidated balance sheets.</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Deferred income tax liabilities on the Company's consolidated balance sheet at July 1, 2017 increased by $33.5 million due to the acquisition of Skip Hop during the first quarter of fiscal 2017.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full fiscal year 2017, the Company estimates that its consolidated effective income tax rate will be approximately 35.0%.</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 MEASUREMENTS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assets and liabilities that are remeasured at fair value each reporting period: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333" w:right="259" w:bottom="1440" w:gutter="0" w:footer="0" w:header="0"/>
        </w:sectPr>
      </w:pPr>
    </w:p>
    <w:bookmarkStart w:id="15" w:name="page16"/>
    <w:bookmarkEnd w:id="15"/>
    <w:tbl>
      <w:tblPr>
        <w:tblLayout w:type="fixed"/>
        <w:tblInd w:w="380" w:type="dxa"/>
        <w:tblCellMar>
          <w:top w:w="0" w:type="dxa"/>
          <w:left w:w="0" w:type="dxa"/>
          <w:bottom w:w="0" w:type="dxa"/>
          <w:right w:w="0" w:type="dxa"/>
        </w:tblCellMar>
      </w:tblPr>
      <w:tr>
        <w:trPr>
          <w:trHeight w:val="238"/>
        </w:trPr>
        <w:tc>
          <w:tcPr>
            <w:tcW w:w="8980" w:type="dxa"/>
            <w:vAlign w:val="bottom"/>
            <w:gridSpan w:val="16"/>
          </w:tcPr>
          <w:p>
            <w:pPr>
              <w:jc w:val="center"/>
              <w:ind w:left="1593"/>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 (continued)</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July 1, 2017</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7"/>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July 2, 2016</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gridSpan w:val="3"/>
            <w:vMerge w:val="continue"/>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20" w:type="dxa"/>
            <w:vAlign w:val="bottom"/>
            <w:tcBorders>
              <w:right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gridSpan w:val="3"/>
            <w:vMerge w:val="continue"/>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Level 2</w:t>
            </w:r>
          </w:p>
        </w:tc>
        <w:tc>
          <w:tcPr>
            <w:tcW w:w="880" w:type="dxa"/>
            <w:vAlign w:val="bottom"/>
            <w:tcBorders>
              <w:right w:val="single" w:sz="8" w:color="auto"/>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Level 3</w:t>
            </w: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2</w:t>
            </w:r>
          </w:p>
        </w:tc>
        <w:tc>
          <w:tcPr>
            <w:tcW w:w="74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Level 2</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37"/>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Investments (1)</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15.3</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$ 12.3</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10.9</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Contingent consideration (2)</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3.6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right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exchange forward contracts (3)</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1.3</w:t>
            </w:r>
          </w:p>
        </w:tc>
        <w:tc>
          <w:tcPr>
            <w:tcW w:w="1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hanging="232"/>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Assets on the Company's consolidated balance sheet.</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Current Liabilities on the Company's consolidated balance sheet.</w:t>
      </w:r>
    </w:p>
    <w:p>
      <w:pPr>
        <w:spacing w:after="0" w:line="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Current Liabilities on the Company's consolidated balance sheet.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27"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Company invests in marketable securities, principally equity-based mutual funds, to mitigate the risk associated with the investment return on employee deferrals of compensation. Gains on the investments in marketable securities were $0.5 million and $1.2 million for the fiscal quarter and two fiscal quarters ended July 1, 2017, respectively, and were $0.7 million and $0.3 million for the fiscal quarter and two fiscal quarters ended July 2, 2016, respectively. These amounts are included in Other (income) expense, net.</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connection with the Company's acquisition of Skip Hop on February 22, 2017, the Company may be obligated to pay an amount up to $10 million of additional cash consideration to the sellers of Skip Hop if the acquired business achieves certain financial performance targets in fiscal 2017 for net sales and adjusted operating margin, as defined in the stock purchase agreement. The Company has preliminarily estimated the discounted fair value of this contingency to be approximately $3.6 million (undiscounted approximately $3.8 million) based on weighted probabilities of 25%, 25% and 50% for each possible payment amount under the earnout. The Company remeasures the fair value of this contingency at the end of each reporting period in fiscal 2017.</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FORWARD CONTRACTS</w:t>
      </w:r>
    </w:p>
    <w:p>
      <w:pPr>
        <w:spacing w:after="0" w:line="22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Fair values for unsettled foreign exchange forward contracts are calculated by using readily observable market inputs (market-quoted currency exchange rates in effect between U.S. and Canadian dollars) and are classified as Level 2 within the fair value hierarchy. At July 1, 2017 and December 31, 2016, there were no open foreign currency contracts. At July 2, 2016, the notional value of the open foreign currency forward contracts was approximately $20.0 million.</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OBLIGATIONS</w:t>
      </w:r>
    </w:p>
    <w:p>
      <w:pPr>
        <w:spacing w:after="0" w:line="22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outstanding debt obligations are reflected in the consolidated balance sheet at carrying value. These debt obligations are not remeasured at fair value each reporting period, however the following fair value disclosures are provided:</w:t>
      </w:r>
    </w:p>
    <w:p>
      <w:pPr>
        <w:spacing w:after="0" w:line="162" w:lineRule="exact"/>
        <w:rPr>
          <w:sz w:val="20"/>
          <w:szCs w:val="20"/>
          <w:color w:val="auto"/>
        </w:rPr>
      </w:pPr>
    </w:p>
    <w:p>
      <w:pPr>
        <w:ind w:left="980" w:hanging="648"/>
        <w:spacing w:after="0" w:line="261" w:lineRule="auto"/>
        <w:tabs>
          <w:tab w:leader="none" w:pos="6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July 1, 2017, the fair value of the Company's $266.0 million in outstanding borrowings under its secured revolving credit facility approximated carrying value. On July 19, 2017, the Company borrowed an additional $100 million under its secured revolving credit facility primarily for seasonal working capital needs, bringing total outstanding borrowings under this facility to $366 million. Fair value approximates carrying value of $366 million.</w:t>
      </w:r>
    </w:p>
    <w:p>
      <w:pPr>
        <w:spacing w:after="0" w:line="180" w:lineRule="exact"/>
        <w:rPr>
          <w:rFonts w:ascii="Times New Roman" w:cs="Times New Roman" w:eastAsia="Times New Roman" w:hAnsi="Times New Roman"/>
          <w:sz w:val="18"/>
          <w:szCs w:val="18"/>
          <w:color w:val="auto"/>
        </w:rPr>
      </w:pPr>
    </w:p>
    <w:p>
      <w:pPr>
        <w:ind w:left="980" w:right="300" w:hanging="648"/>
        <w:spacing w:after="0" w:line="266" w:lineRule="auto"/>
        <w:tabs>
          <w:tab w:leader="none" w:pos="6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Company's senior notes at July 1, 2017 was approximately $412 million. The fair value of these senior notes with a notional value and carrying value of $400 million was estimated using a quoted price as provided in the secondary market, which considers the Company's credit risk and market related conditions, and is therefore within Level 2 of the fair value hierarchy.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333" w:right="239" w:bottom="1440" w:gutter="0" w:footer="0" w:header="0"/>
        </w:sectPr>
      </w:pPr>
    </w:p>
    <w:bookmarkStart w:id="16" w:name="page17"/>
    <w:bookmarkEnd w:id="16"/>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basic common shares outstanding to diluted common and common equivalent shares outstanding:</w:t>
      </w:r>
    </w:p>
    <w:p>
      <w:pPr>
        <w:sectPr>
          <w:pgSz w:w="11900" w:h="16838" w:orient="portrait"/>
          <w:cols w:equalWidth="0" w:num="1">
            <w:col w:w="10480"/>
          </w:cols>
          <w:pgMar w:left="240" w:top="333" w:right="1179" w:bottom="1440" w:gutter="0" w:footer="0" w:header="0"/>
        </w:sectPr>
      </w:pPr>
    </w:p>
    <w:p>
      <w:pPr>
        <w:spacing w:after="0" w:line="17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b w:val="1"/>
          <w:bCs w:val="1"/>
          <w:color w:val="auto"/>
        </w:rPr>
        <w:t>Fiscal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47625</wp:posOffset>
            </wp:positionV>
            <wp:extent cx="1946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93" w:lineRule="exact"/>
        <w:rPr>
          <w:sz w:val="20"/>
          <w:szCs w:val="20"/>
          <w:color w:val="auto"/>
        </w:rPr>
      </w:pPr>
    </w:p>
    <w:p>
      <w:pPr>
        <w:ind w:left="4480"/>
        <w:spacing w:after="0"/>
        <w:tabs>
          <w:tab w:leader="none" w:pos="6060" w:val="left"/>
        </w:tabs>
        <w:rPr>
          <w:sz w:val="20"/>
          <w:szCs w:val="20"/>
          <w:color w:val="auto"/>
        </w:rPr>
      </w:pPr>
      <w:r>
        <w:rPr>
          <w:rFonts w:ascii="Times New Roman" w:cs="Times New Roman" w:eastAsia="Times New Roman" w:hAnsi="Times New Roman"/>
          <w:sz w:val="16"/>
          <w:szCs w:val="16"/>
          <w:b w:val="1"/>
          <w:bCs w:val="1"/>
          <w:color w:val="auto"/>
        </w:rPr>
        <w:t>July 1, 2017</w:t>
      </w:r>
      <w:r>
        <w:rPr>
          <w:sz w:val="20"/>
          <w:szCs w:val="20"/>
          <w:color w:val="auto"/>
        </w:rPr>
        <w:tab/>
      </w:r>
      <w:r>
        <w:rPr>
          <w:rFonts w:ascii="Times New Roman" w:cs="Times New Roman" w:eastAsia="Times New Roman" w:hAnsi="Times New Roman"/>
          <w:sz w:val="16"/>
          <w:szCs w:val="16"/>
          <w:b w:val="1"/>
          <w:bCs w:val="1"/>
          <w:color w:val="auto"/>
        </w:rPr>
        <w:t>July 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38735</wp:posOffset>
            </wp:positionV>
            <wp:extent cx="1946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Two fiscal quarters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38735</wp:posOffset>
            </wp:positionV>
            <wp:extent cx="1946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0"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6"/>
          <w:szCs w:val="16"/>
          <w:b w:val="1"/>
          <w:bCs w:val="1"/>
          <w:color w:val="auto"/>
        </w:rPr>
        <w:t>July 1, 2017</w:t>
      </w:r>
      <w:r>
        <w:rPr>
          <w:sz w:val="20"/>
          <w:szCs w:val="20"/>
          <w:color w:val="auto"/>
        </w:rPr>
        <w:tab/>
      </w:r>
      <w:r>
        <w:rPr>
          <w:rFonts w:ascii="Times New Roman" w:cs="Times New Roman" w:eastAsia="Times New Roman" w:hAnsi="Times New Roman"/>
          <w:sz w:val="16"/>
          <w:szCs w:val="16"/>
          <w:b w:val="1"/>
          <w:bCs w:val="1"/>
          <w:color w:val="auto"/>
        </w:rPr>
        <w:t>July 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38735</wp:posOffset>
            </wp:positionV>
            <wp:extent cx="1946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2820"/>
          </w:cols>
          <w:pgMar w:left="240" w:top="333" w:right="1179" w:bottom="1440" w:gutter="0" w:footer="0" w:header="0"/>
          <w:type w:val="continuous"/>
        </w:sectPr>
      </w:pP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Weighted-average number of common and</w:t>
      </w:r>
    </w:p>
    <w:p>
      <w:pPr>
        <w:spacing w:after="0" w:line="26" w:lineRule="exact"/>
        <w:rPr>
          <w:sz w:val="20"/>
          <w:szCs w:val="20"/>
          <w:color w:val="auto"/>
        </w:rPr>
      </w:pPr>
    </w:p>
    <w:tbl>
      <w:tblPr>
        <w:tblLayout w:type="fixed"/>
        <w:tblInd w:w="960" w:type="dxa"/>
        <w:tblCellMar>
          <w:top w:w="0" w:type="dxa"/>
          <w:left w:w="0" w:type="dxa"/>
          <w:bottom w:w="0" w:type="dxa"/>
          <w:right w:w="0" w:type="dxa"/>
        </w:tblCellMar>
      </w:tblPr>
      <w:tr>
        <w:trPr>
          <w:trHeight w:val="210"/>
        </w:trPr>
        <w:tc>
          <w:tcPr>
            <w:tcW w:w="3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equivalent shares outstanding:</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 number of common shares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outstanding</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47,863,618</w:t>
            </w:r>
          </w:p>
        </w:tc>
        <w:tc>
          <w:tcPr>
            <w:tcW w:w="1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50,143,568</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48,093,155</w:t>
            </w:r>
          </w:p>
        </w:tc>
        <w:tc>
          <w:tcPr>
            <w:tcW w:w="1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50,660,278</w:t>
            </w:r>
          </w:p>
        </w:tc>
        <w:tc>
          <w:tcPr>
            <w:tcW w:w="0" w:type="dxa"/>
            <w:vAlign w:val="bottom"/>
          </w:tcPr>
          <w:p>
            <w:pPr>
              <w:spacing w:after="0"/>
              <w:rPr>
                <w:sz w:val="1"/>
                <w:szCs w:val="1"/>
                <w:color w:val="auto"/>
              </w:rPr>
            </w:pPr>
          </w:p>
        </w:tc>
      </w:tr>
      <w:tr>
        <w:trPr>
          <w:trHeight w:val="237"/>
        </w:trPr>
        <w:tc>
          <w:tcPr>
            <w:tcW w:w="3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Dilutive effect of equity awards</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550,726</w:t>
            </w:r>
          </w:p>
        </w:tc>
        <w:tc>
          <w:tcPr>
            <w:tcW w:w="1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469,114</w:t>
            </w:r>
          </w:p>
        </w:tc>
        <w:tc>
          <w:tcPr>
            <w:tcW w:w="10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552,866</w:t>
            </w:r>
          </w:p>
        </w:tc>
        <w:tc>
          <w:tcPr>
            <w:tcW w:w="12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468,632</w:t>
            </w:r>
          </w:p>
        </w:tc>
        <w:tc>
          <w:tcPr>
            <w:tcW w:w="0" w:type="dxa"/>
            <w:vAlign w:val="bottom"/>
          </w:tcPr>
          <w:p>
            <w:pPr>
              <w:spacing w:after="0"/>
              <w:rPr>
                <w:sz w:val="1"/>
                <w:szCs w:val="1"/>
                <w:color w:val="auto"/>
              </w:rPr>
            </w:pPr>
          </w:p>
        </w:tc>
      </w:tr>
      <w:tr>
        <w:trPr>
          <w:trHeight w:val="33"/>
        </w:trPr>
        <w:tc>
          <w:tcPr>
            <w:tcW w:w="32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 number of common and common</w:t>
            </w:r>
          </w:p>
        </w:tc>
        <w:tc>
          <w:tcPr>
            <w:tcW w:w="13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48,414,344</w:t>
            </w:r>
          </w:p>
        </w:tc>
        <w:tc>
          <w:tcPr>
            <w:tcW w:w="100" w:type="dxa"/>
            <w:vAlign w:val="bottom"/>
            <w:shd w:val="clear" w:color="auto" w:fill="CCEEFF"/>
          </w:tcPr>
          <w:p>
            <w:pPr>
              <w:spacing w:after="0"/>
              <w:rPr>
                <w:sz w:val="17"/>
                <w:szCs w:val="17"/>
                <w:color w:val="auto"/>
              </w:rPr>
            </w:pPr>
          </w:p>
        </w:tc>
        <w:tc>
          <w:tcPr>
            <w:tcW w:w="16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50,612,682</w:t>
            </w:r>
          </w:p>
        </w:tc>
        <w:tc>
          <w:tcPr>
            <w:tcW w:w="1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48,646,021</w:t>
            </w:r>
          </w:p>
        </w:tc>
        <w:tc>
          <w:tcPr>
            <w:tcW w:w="120" w:type="dxa"/>
            <w:vAlign w:val="bottom"/>
            <w:shd w:val="clear" w:color="auto" w:fill="CCEEFF"/>
          </w:tcPr>
          <w:p>
            <w:pPr>
              <w:spacing w:after="0"/>
              <w:rPr>
                <w:sz w:val="17"/>
                <w:szCs w:val="17"/>
                <w:color w:val="auto"/>
              </w:rPr>
            </w:pPr>
          </w:p>
        </w:tc>
        <w:tc>
          <w:tcPr>
            <w:tcW w:w="16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51,128,910</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equivalent shares outstanding</w:t>
            </w: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428625</wp:posOffset>
            </wp:positionV>
            <wp:extent cx="603758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758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Basic net income per common share (in</w:t>
      </w:r>
    </w:p>
    <w:p>
      <w:pPr>
        <w:spacing w:after="0" w:line="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thousands, except per share data):</w:t>
      </w:r>
    </w:p>
    <w:p>
      <w:pPr>
        <w:spacing w:after="0" w:line="78" w:lineRule="exact"/>
        <w:rPr>
          <w:sz w:val="20"/>
          <w:szCs w:val="20"/>
          <w:color w:val="auto"/>
        </w:rPr>
      </w:pPr>
    </w:p>
    <w:tbl>
      <w:tblPr>
        <w:tblLayout w:type="fixed"/>
        <w:tblInd w:w="960" w:type="dxa"/>
        <w:tblCellMar>
          <w:top w:w="0" w:type="dxa"/>
          <w:left w:w="0" w:type="dxa"/>
          <w:bottom w:w="0" w:type="dxa"/>
          <w:right w:w="0" w:type="dxa"/>
        </w:tblCellMar>
      </w:tblPr>
      <w:tr>
        <w:trPr>
          <w:trHeight w:val="210"/>
        </w:trPr>
        <w:tc>
          <w:tcPr>
            <w:tcW w:w="3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37,925</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36,198</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84,589</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90,178</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0" w:type="dxa"/>
            <w:vAlign w:val="bottom"/>
          </w:tcPr>
          <w:p>
            <w:pPr>
              <w:spacing w:after="0"/>
              <w:rPr>
                <w:sz w:val="1"/>
                <w:szCs w:val="1"/>
                <w:color w:val="auto"/>
              </w:rPr>
            </w:pPr>
          </w:p>
        </w:tc>
      </w:tr>
      <w:tr>
        <w:trPr>
          <w:trHeight w:val="196"/>
        </w:trPr>
        <w:tc>
          <w:tcPr>
            <w:tcW w:w="3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available to common</w:t>
            </w:r>
          </w:p>
        </w:tc>
        <w:tc>
          <w:tcPr>
            <w:tcW w:w="400" w:type="dxa"/>
            <w:vAlign w:val="bottom"/>
            <w:tcBorders>
              <w:top w:val="single" w:sz="8" w:color="auto"/>
            </w:tcBorders>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37,634</w:t>
            </w:r>
          </w:p>
        </w:tc>
        <w:tc>
          <w:tcPr>
            <w:tcW w:w="100" w:type="dxa"/>
            <w:vAlign w:val="bottom"/>
          </w:tcPr>
          <w:p>
            <w:pPr>
              <w:spacing w:after="0"/>
              <w:rPr>
                <w:sz w:val="17"/>
                <w:szCs w:val="17"/>
                <w:color w:val="auto"/>
              </w:rPr>
            </w:pPr>
          </w:p>
        </w:tc>
        <w:tc>
          <w:tcPr>
            <w:tcW w:w="540" w:type="dxa"/>
            <w:vAlign w:val="bottom"/>
            <w:tcBorders>
              <w:top w:val="single" w:sz="8" w:color="auto"/>
            </w:tcBorders>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35,919</w:t>
            </w:r>
          </w:p>
        </w:tc>
        <w:tc>
          <w:tcPr>
            <w:tcW w:w="100" w:type="dxa"/>
            <w:vAlign w:val="bottom"/>
          </w:tcPr>
          <w:p>
            <w:pPr>
              <w:spacing w:after="0"/>
              <w:rPr>
                <w:sz w:val="17"/>
                <w:szCs w:val="17"/>
                <w:color w:val="auto"/>
              </w:rPr>
            </w:pPr>
          </w:p>
        </w:tc>
        <w:tc>
          <w:tcPr>
            <w:tcW w:w="420" w:type="dxa"/>
            <w:vAlign w:val="bottom"/>
            <w:tcBorders>
              <w:top w:val="single" w:sz="8" w:color="auto"/>
            </w:tcBorders>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83,929</w:t>
            </w:r>
          </w:p>
        </w:tc>
        <w:tc>
          <w:tcPr>
            <w:tcW w:w="120" w:type="dxa"/>
            <w:vAlign w:val="bottom"/>
          </w:tcPr>
          <w:p>
            <w:pPr>
              <w:spacing w:after="0"/>
              <w:rPr>
                <w:sz w:val="17"/>
                <w:szCs w:val="17"/>
                <w:color w:val="auto"/>
              </w:rPr>
            </w:pPr>
          </w:p>
        </w:tc>
        <w:tc>
          <w:tcPr>
            <w:tcW w:w="540" w:type="dxa"/>
            <w:vAlign w:val="bottom"/>
            <w:tcBorders>
              <w:top w:val="single" w:sz="8" w:color="auto"/>
            </w:tcBorders>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89,458</w:t>
            </w:r>
          </w:p>
        </w:tc>
        <w:tc>
          <w:tcPr>
            <w:tcW w:w="0" w:type="dxa"/>
            <w:vAlign w:val="bottom"/>
          </w:tcPr>
          <w:p>
            <w:pPr>
              <w:spacing w:after="0"/>
              <w:rPr>
                <w:sz w:val="1"/>
                <w:szCs w:val="1"/>
                <w:color w:val="auto"/>
              </w:rPr>
            </w:pPr>
          </w:p>
        </w:tc>
      </w:tr>
      <w:tr>
        <w:trPr>
          <w:trHeight w:val="263"/>
        </w:trPr>
        <w:tc>
          <w:tcPr>
            <w:tcW w:w="3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shareholders</w:t>
            </w:r>
          </w:p>
        </w:tc>
        <w:tc>
          <w:tcPr>
            <w:tcW w:w="400" w:type="dxa"/>
            <w:vAlign w:val="bottom"/>
            <w:tcBorders>
              <w:bottom w:val="single" w:sz="8" w:color="auto"/>
            </w:tcBorders>
            <w:vMerge w:val="continue"/>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vMerge w:val="continue"/>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0.79</w:t>
            </w:r>
          </w:p>
        </w:tc>
        <w:tc>
          <w:tcPr>
            <w:tcW w:w="10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0.72</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Diluted net income per common share (in</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thousands, except per share data):</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37,925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36,198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84,589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90,178</w:t>
            </w:r>
          </w:p>
        </w:tc>
        <w:tc>
          <w:tcPr>
            <w:tcW w:w="0" w:type="dxa"/>
            <w:vAlign w:val="bottom"/>
          </w:tcPr>
          <w:p>
            <w:pPr>
              <w:spacing w:after="0"/>
              <w:rPr>
                <w:sz w:val="1"/>
                <w:szCs w:val="1"/>
                <w:color w:val="auto"/>
              </w:rPr>
            </w:pPr>
          </w:p>
        </w:tc>
      </w:tr>
      <w:tr>
        <w:trPr>
          <w:trHeight w:val="237"/>
        </w:trPr>
        <w:tc>
          <w:tcPr>
            <w:tcW w:w="3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0" w:type="dxa"/>
            <w:vAlign w:val="bottom"/>
          </w:tcPr>
          <w:p>
            <w:pPr>
              <w:spacing w:after="0"/>
              <w:rPr>
                <w:sz w:val="1"/>
                <w:szCs w:val="1"/>
                <w:color w:val="auto"/>
              </w:rPr>
            </w:pPr>
          </w:p>
        </w:tc>
      </w:tr>
      <w:tr>
        <w:trPr>
          <w:trHeight w:val="33"/>
        </w:trPr>
        <w:tc>
          <w:tcPr>
            <w:tcW w:w="3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 available to common</w:t>
            </w:r>
          </w:p>
        </w:tc>
        <w:tc>
          <w:tcPr>
            <w:tcW w:w="400" w:type="dxa"/>
            <w:vAlign w:val="bottom"/>
            <w:vMerge w:val="restart"/>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37,636</w:t>
            </w:r>
          </w:p>
        </w:tc>
        <w:tc>
          <w:tcPr>
            <w:tcW w:w="10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35,920</w:t>
            </w:r>
          </w:p>
        </w:tc>
        <w:tc>
          <w:tcPr>
            <w:tcW w:w="10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83,933</w:t>
            </w:r>
          </w:p>
        </w:tc>
        <w:tc>
          <w:tcPr>
            <w:tcW w:w="12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89,463</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shareholders</w:t>
            </w: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162"/>
        </w:trPr>
        <w:tc>
          <w:tcPr>
            <w:tcW w:w="3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Anti-dilutive shares excluded from diluted</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earnings per share computation</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663,531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233,570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596,297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233,570</w:t>
            </w:r>
          </w:p>
        </w:tc>
        <w:tc>
          <w:tcPr>
            <w:tcW w:w="0" w:type="dxa"/>
            <w:vAlign w:val="bottom"/>
          </w:tcPr>
          <w:p>
            <w:pPr>
              <w:spacing w:after="0"/>
              <w:rPr>
                <w:sz w:val="1"/>
                <w:szCs w:val="1"/>
                <w:color w:val="auto"/>
              </w:rPr>
            </w:pPr>
          </w:p>
        </w:tc>
      </w:tr>
      <w:tr>
        <w:trPr>
          <w:trHeight w:val="33"/>
        </w:trPr>
        <w:tc>
          <w:tcPr>
            <w:tcW w:w="3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480"/>
          </w:cols>
          <w:pgMar w:left="240" w:top="333" w:right="1179" w:bottom="1440" w:gutter="0" w:footer="0" w:header="0"/>
          <w:type w:val="continuous"/>
        </w:sectPr>
      </w:pPr>
    </w:p>
    <w:bookmarkStart w:id="17" w:name="page18"/>
    <w:bookmarkEnd w:id="17"/>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OTHER CURRENT AND LONG-TERM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that exceeded five percent of total current liabilities, at the end of any comparable period, were as follows:</w:t>
      </w:r>
    </w:p>
    <w:p>
      <w:pPr>
        <w:spacing w:after="0" w:line="187"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60" w:type="dxa"/>
            <w:vAlign w:val="bottom"/>
          </w:tcPr>
          <w:p>
            <w:pPr>
              <w:spacing w:after="0"/>
              <w:rPr>
                <w:sz w:val="18"/>
                <w:szCs w:val="18"/>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July 1, 2017</w:t>
            </w:r>
          </w:p>
        </w:tc>
        <w:tc>
          <w:tcPr>
            <w:tcW w:w="16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300" w:type="dxa"/>
            <w:vAlign w:val="bottom"/>
          </w:tcPr>
          <w:p>
            <w:pPr>
              <w:spacing w:after="0"/>
              <w:rPr>
                <w:sz w:val="18"/>
                <w:szCs w:val="18"/>
                <w:color w:val="auto"/>
              </w:rPr>
            </w:pPr>
          </w:p>
        </w:tc>
        <w:tc>
          <w:tcPr>
            <w:tcW w:w="15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July 2, 2016</w:t>
            </w:r>
          </w:p>
        </w:tc>
      </w:tr>
      <w:tr>
        <w:trPr>
          <w:trHeight w:val="33"/>
        </w:trPr>
        <w:tc>
          <w:tcPr>
            <w:tcW w:w="5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bonuses and incentive compensation</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16,834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6,694</w:t>
            </w:r>
          </w:p>
        </w:tc>
      </w:tr>
      <w:tr>
        <w:trPr>
          <w:trHeight w:val="23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employee benefits</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10,227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17,165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8,718</w:t>
            </w:r>
          </w:p>
        </w:tc>
      </w:tr>
      <w:tr>
        <w:trPr>
          <w:trHeight w:val="33"/>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and deferred rent</w:t>
            </w: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17,767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15,632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13,930</w:t>
            </w:r>
          </w:p>
        </w:tc>
      </w:tr>
      <w:tr>
        <w:trPr>
          <w:trHeight w:val="33"/>
        </w:trPr>
        <w:tc>
          <w:tcPr>
            <w:tcW w:w="5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 that exceeded five percent of total liabilities, at the end of any comparable period, were as follows:</w:t>
      </w:r>
    </w:p>
    <w:p>
      <w:pPr>
        <w:spacing w:after="0" w:line="187" w:lineRule="exact"/>
        <w:rPr>
          <w:sz w:val="20"/>
          <w:szCs w:val="20"/>
          <w:color w:val="auto"/>
        </w:rPr>
      </w:pPr>
    </w:p>
    <w:tbl>
      <w:tblPr>
        <w:tblLayout w:type="fixed"/>
        <w:tblInd w:w="220" w:type="dxa"/>
        <w:tblCellMar>
          <w:top w:w="0" w:type="dxa"/>
          <w:left w:w="0" w:type="dxa"/>
          <w:bottom w:w="0" w:type="dxa"/>
          <w:right w:w="0" w:type="dxa"/>
        </w:tblCellMar>
      </w:tblPr>
      <w:tr>
        <w:trPr>
          <w:trHeight w:val="212"/>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80" w:type="dxa"/>
            <w:vAlign w:val="bottom"/>
          </w:tcPr>
          <w:p>
            <w:pPr>
              <w:spacing w:after="0"/>
              <w:rPr>
                <w:sz w:val="18"/>
                <w:szCs w:val="18"/>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July 1, 2017</w:t>
            </w:r>
          </w:p>
        </w:tc>
        <w:tc>
          <w:tcPr>
            <w:tcW w:w="120" w:type="dxa"/>
            <w:vAlign w:val="bottom"/>
          </w:tcPr>
          <w:p>
            <w:pPr>
              <w:spacing w:after="0"/>
              <w:rPr>
                <w:sz w:val="18"/>
                <w:szCs w:val="18"/>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300" w:type="dxa"/>
            <w:vAlign w:val="bottom"/>
          </w:tcPr>
          <w:p>
            <w:pPr>
              <w:spacing w:after="0"/>
              <w:rPr>
                <w:sz w:val="18"/>
                <w:szCs w:val="18"/>
                <w:color w:val="auto"/>
              </w:rPr>
            </w:pPr>
          </w:p>
        </w:tc>
        <w:tc>
          <w:tcPr>
            <w:tcW w:w="15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July 2, 2016</w:t>
            </w:r>
          </w:p>
        </w:tc>
      </w:tr>
      <w:tr>
        <w:trPr>
          <w:trHeight w:val="33"/>
        </w:trPr>
        <w:tc>
          <w:tcPr>
            <w:tcW w:w="5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lease incentives</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74,344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74,015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71,884</w:t>
            </w:r>
          </w:p>
        </w:tc>
      </w:tr>
      <w:tr>
        <w:trPr>
          <w:trHeight w:val="33"/>
        </w:trPr>
        <w:tc>
          <w:tcPr>
            <w:tcW w:w="56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claims and pending or threatened lawsuits in the normal course of business. The Company is not currently a party to any legal proceedings that it believes would have a material adverse impact on its financial position, results of operations, or cash flows.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INFORMATION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the beginning of fiscal 2017, the Company combined its Carter's Retail and OshKosh Retail into a single U.S. Retail operating segment, and its Carter's Wholesale and OshKosh Wholesale into a single U.S. Wholesale operating segment, in order to reflect the sales-channel approach the Company's executive management now uses to evaluate its business performance and manage operations in the U.S. The Company's International segment was not affected by these changes. The Company's reportable segments are now U.S. Retail, U.S. Wholesale, and International.</w:t>
      </w:r>
    </w:p>
    <w:p>
      <w:pPr>
        <w:spacing w:after="0" w:line="180"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7"/>
          <w:szCs w:val="17"/>
          <w:color w:val="auto"/>
        </w:rPr>
        <w:t>Prior periods have been conformed to reflect the Company's current segment structure by adding together Carter's Retail and OshKosh Retail as U.S. Retail and Carter's Wholesale and OshKosh Wholesale as U.S. Wholesale. Prior results for the International segment and Corporate expenses were not impacted.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certain information for our reportable segments and unallocated corporate expenses for the periods indicated:</w:t>
      </w:r>
    </w:p>
    <w:p>
      <w:pPr>
        <w:spacing w:after="0" w:line="2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240" w:top="333" w:right="4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 of</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 of</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July 1,</w:t>
            </w:r>
          </w:p>
        </w:tc>
        <w:tc>
          <w:tcPr>
            <w:tcW w:w="10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Total Net</w:t>
            </w:r>
          </w:p>
        </w:tc>
        <w:tc>
          <w:tcPr>
            <w:tcW w:w="180" w:type="dxa"/>
            <w:vAlign w:val="bottom"/>
          </w:tcPr>
          <w:p>
            <w:pPr>
              <w:spacing w:after="0"/>
              <w:rPr>
                <w:sz w:val="17"/>
                <w:szCs w:val="17"/>
                <w:color w:val="auto"/>
              </w:rPr>
            </w:pP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July 2,</w:t>
            </w:r>
          </w:p>
        </w:tc>
        <w:tc>
          <w:tcPr>
            <w:tcW w:w="10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Total Net</w:t>
            </w:r>
          </w:p>
        </w:tc>
        <w:tc>
          <w:tcPr>
            <w:tcW w:w="180" w:type="dxa"/>
            <w:vAlign w:val="bottom"/>
          </w:tcPr>
          <w:p>
            <w:pPr>
              <w:spacing w:after="0"/>
              <w:rPr>
                <w:sz w:val="17"/>
                <w:szCs w:val="17"/>
                <w:color w:val="auto"/>
              </w:rPr>
            </w:pPr>
          </w:p>
        </w:tc>
        <w:tc>
          <w:tcPr>
            <w:tcW w:w="8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July 1,</w:t>
            </w:r>
          </w:p>
        </w:tc>
        <w:tc>
          <w:tcPr>
            <w:tcW w:w="120" w:type="dxa"/>
            <w:vAlign w:val="bottom"/>
          </w:tcPr>
          <w:p>
            <w:pPr>
              <w:spacing w:after="0"/>
              <w:rPr>
                <w:sz w:val="17"/>
                <w:szCs w:val="17"/>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Total Net</w:t>
            </w:r>
          </w:p>
        </w:tc>
        <w:tc>
          <w:tcPr>
            <w:tcW w:w="180" w:type="dxa"/>
            <w:vAlign w:val="bottom"/>
          </w:tcPr>
          <w:p>
            <w:pPr>
              <w:spacing w:after="0"/>
              <w:rPr>
                <w:sz w:val="17"/>
                <w:szCs w:val="17"/>
                <w:color w:val="auto"/>
              </w:rPr>
            </w:pP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July 2,</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Net</w:t>
            </w:r>
          </w:p>
        </w:tc>
        <w:tc>
          <w:tcPr>
            <w:tcW w:w="0" w:type="dxa"/>
            <w:vAlign w:val="bottom"/>
          </w:tcPr>
          <w:p>
            <w:pPr>
              <w:spacing w:after="0"/>
              <w:rPr>
                <w:sz w:val="1"/>
                <w:szCs w:val="1"/>
                <w:color w:val="auto"/>
              </w:rPr>
            </w:pPr>
          </w:p>
        </w:tc>
      </w:tr>
      <w:tr>
        <w:trPr>
          <w:trHeight w:val="212"/>
        </w:trPr>
        <w:tc>
          <w:tcPr>
            <w:tcW w:w="26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(dollars in thousands)</w:t>
            </w:r>
          </w:p>
        </w:tc>
        <w:tc>
          <w:tcPr>
            <w:tcW w:w="20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8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8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180" w:type="dxa"/>
            <w:vAlign w:val="bottom"/>
          </w:tcPr>
          <w:p>
            <w:pPr>
              <w:spacing w:after="0"/>
              <w:rPr>
                <w:sz w:val="18"/>
                <w:szCs w:val="18"/>
                <w:color w:val="auto"/>
              </w:rPr>
            </w:pPr>
          </w:p>
        </w:tc>
        <w:tc>
          <w:tcPr>
            <w:tcW w:w="8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Sales</w:t>
            </w:r>
          </w:p>
        </w:tc>
        <w:tc>
          <w:tcPr>
            <w:tcW w:w="0" w:type="dxa"/>
            <w:vAlign w:val="bottom"/>
          </w:tcPr>
          <w:p>
            <w:pPr>
              <w:spacing w:after="0"/>
              <w:rPr>
                <w:sz w:val="1"/>
                <w:szCs w:val="1"/>
                <w:color w:val="auto"/>
              </w:rPr>
            </w:pPr>
          </w:p>
        </w:tc>
      </w:tr>
      <w:tr>
        <w:trPr>
          <w:trHeight w:val="33"/>
        </w:trPr>
        <w:tc>
          <w:tcPr>
            <w:tcW w:w="266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60" w:type="dxa"/>
            <w:vAlign w:val="bottom"/>
            <w:gridSpan w:val="4"/>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6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Wholesale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217,710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215,122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510,265</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507,176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0" w:type="dxa"/>
            <w:vAlign w:val="bottom"/>
          </w:tcPr>
          <w:p>
            <w:pPr>
              <w:spacing w:after="0"/>
              <w:rPr>
                <w:sz w:val="1"/>
                <w:szCs w:val="1"/>
                <w:color w:val="auto"/>
              </w:rPr>
            </w:pPr>
          </w:p>
        </w:tc>
      </w:tr>
      <w:tr>
        <w:trPr>
          <w:trHeight w:val="237"/>
        </w:trPr>
        <w:tc>
          <w:tcPr>
            <w:tcW w:w="26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U.S. Retail (a)</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391,822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352,782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755,593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706,871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International (b)</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82,585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71,567</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159,014</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149,509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62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Total net sales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692,117</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639,471</w:t>
            </w:r>
          </w:p>
        </w:tc>
        <w:tc>
          <w:tcPr>
            <w:tcW w:w="1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1,424,872</w:t>
            </w:r>
          </w:p>
        </w:tc>
        <w:tc>
          <w:tcPr>
            <w:tcW w:w="12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1,363,556</w:t>
            </w:r>
          </w:p>
        </w:tc>
        <w:tc>
          <w:tcPr>
            <w:tcW w:w="1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 of</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 of</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Segment</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178"/>
        </w:trPr>
        <w:tc>
          <w:tcPr>
            <w:tcW w:w="2660" w:type="dxa"/>
            <w:vAlign w:val="bottom"/>
            <w:gridSpan w:val="4"/>
          </w:tcPr>
          <w:p>
            <w:pPr>
              <w:ind w:left="40"/>
              <w:spacing w:after="0" w:line="178" w:lineRule="exact"/>
              <w:rPr>
                <w:sz w:val="20"/>
                <w:szCs w:val="20"/>
                <w:color w:val="auto"/>
              </w:rPr>
            </w:pPr>
            <w:r>
              <w:rPr>
                <w:rFonts w:ascii="Times New Roman" w:cs="Times New Roman" w:eastAsia="Times New Roman" w:hAnsi="Times New Roman"/>
                <w:sz w:val="16"/>
                <w:szCs w:val="16"/>
                <w:b w:val="1"/>
                <w:bCs w:val="1"/>
                <w:color w:val="auto"/>
              </w:rPr>
              <w:t>Operating income (loss):</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20"/>
              <w:spacing w:after="0" w:line="178"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600" w:type="dxa"/>
            <w:vAlign w:val="bottom"/>
            <w:tcBorders>
              <w:top w:val="single" w:sz="8" w:color="auto"/>
              <w:bottom w:val="single" w:sz="8" w:color="CCEEFF"/>
            </w:tcBorders>
          </w:tcPr>
          <w:p>
            <w:pPr>
              <w:spacing w:after="0"/>
              <w:rPr>
                <w:sz w:val="4"/>
                <w:szCs w:val="4"/>
                <w:color w:val="auto"/>
              </w:rPr>
            </w:pPr>
          </w:p>
        </w:tc>
        <w:tc>
          <w:tcPr>
            <w:tcW w:w="1040" w:type="dxa"/>
            <w:vAlign w:val="bottom"/>
            <w:tcBorders>
              <w:top w:val="single" w:sz="8" w:color="auto"/>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6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Wholesale (g)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35,806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41,509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105,501</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109,920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37"/>
        </w:trPr>
        <w:tc>
          <w:tcPr>
            <w:tcW w:w="26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U.S. Retail (a) (g)</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42,342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36,952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72,242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76,421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International (b) (g)</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7,597</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9,105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11,282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17,546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37"/>
        </w:trPr>
        <w:tc>
          <w:tcPr>
            <w:tcW w:w="26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Corporate expenses (c) (d) (e) (f)</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(21,224)</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(24,323)</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(45,938)</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(47,636)</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64,521</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63,243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143,087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156,251</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retail store and eCommerce results.</w:t>
      </w:r>
    </w:p>
    <w:p>
      <w:pPr>
        <w:spacing w:after="0" w:line="23"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sales include international retail, eCommerce, and wholesale sales.</w:t>
      </w:r>
    </w:p>
    <w:p>
      <w:pPr>
        <w:spacing w:after="0" w:line="5" w:lineRule="exact"/>
        <w:rPr>
          <w:rFonts w:ascii="Times New Roman" w:cs="Times New Roman" w:eastAsia="Times New Roman" w:hAnsi="Times New Roman"/>
          <w:sz w:val="16"/>
          <w:szCs w:val="16"/>
          <w:color w:val="auto"/>
        </w:rPr>
      </w:pPr>
    </w:p>
    <w:p>
      <w:pPr>
        <w:ind w:left="340" w:right="400" w:hanging="332"/>
        <w:spacing w:after="0" w:line="246"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expenses include expenses related to incentive compensation, stock-based compensation, executive management, severance and relocation, finance, office occupancy, information technology, certain legal fees, consulting, and audit fees.</w:t>
      </w:r>
    </w:p>
    <w:p>
      <w:pPr>
        <w:ind w:left="340" w:right="120" w:hanging="332"/>
        <w:spacing w:after="0" w:line="246"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expenses related to the amortization of the H.W. Carter and Sons tradenames of approximately $0.8 million and $1.7 million for the fiscal quarter and two fiscal quarters ended July 2, 2016, respectively.</w:t>
      </w: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acquisition-related expenses of approximately $0.6 million and $1.8 million for fiscal quarter the two fiscal quarters ended July 1, 2017, respectively.</w:t>
      </w:r>
    </w:p>
    <w:p>
      <w:pPr>
        <w:spacing w:after="0" w:line="5" w:lineRule="exact"/>
        <w:rPr>
          <w:rFonts w:ascii="Times New Roman" w:cs="Times New Roman" w:eastAsia="Times New Roman" w:hAnsi="Times New Roman"/>
          <w:sz w:val="16"/>
          <w:szCs w:val="16"/>
          <w:color w:val="auto"/>
        </w:rPr>
      </w:pPr>
    </w:p>
    <w:p>
      <w:pPr>
        <w:ind w:left="340" w:right="380" w:hanging="332"/>
        <w:spacing w:after="0" w:line="246"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charges related to the Company's direct sourcing initiative of approximately $0.1 and $0.3 million for the fiscal quarter and two fiscal quarters ended July 1, 2017, respectively.</w:t>
      </w:r>
    </w:p>
    <w:p>
      <w:pPr>
        <w:ind w:left="340" w:right="860" w:hanging="332"/>
        <w:spacing w:after="0" w:line="257"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total of $0.4 million of certain costs related to inventory acquired from Skip Hop is included in operating income between U.S. Wholesale, U.S. Retail, and International for the fiscal quarter and two fiscal quarters ended July 1, 2017.</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PENDING ADOPTION OF 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(ASC 606)</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which since has been codified in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This guidance clarifies the principles for recognizing revenue and will be applicable to all contracts with customers regardless of industry-specific or transaction-specific fact patterns. Further, the guidance will require improved disclosures as well as additional disclosures to help users of financial statements better understand the nature, amount, timing, and uncertainty of revenue that is recognized. Since its original issuance, the FASB has issued several updates to this guidance, and additional updates are possible. The standard will be effective for the Company at the beginning of fiscal 2018, including interim periods within that fiscal year. Upon adoption, the Company will apply the provisions of ASC 606 either retrospectively to each prior reporting period presented or retrospectively with the cumulative effect of initially applying the guidance recognized at the date of initial application. Based on an assessment of the Company's significant sources of revenue, at this time the Company does not believe that the adoption of ASC 606, including any of the policy elections required or permitted by ASC 606, will have a material impact on its consolidated financial position, results of operations or cash flows. Based on this assessment, at this time the Company does not believe the adoption of ASC 606 will have a significant impact on processes, systems, or controls.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 (ASU 2016-02)</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FASB issued new lease accounting guidance in ASU No. 2016-02, </w:t>
      </w:r>
      <w:r>
        <w:rPr>
          <w:rFonts w:ascii="Times New Roman" w:cs="Times New Roman" w:eastAsia="Times New Roman" w:hAnsi="Times New Roman"/>
          <w:sz w:val="18"/>
          <w:szCs w:val="18"/>
          <w:i w:val="1"/>
          <w:iCs w:val="1"/>
          <w:color w:val="auto"/>
        </w:rPr>
        <w:t>Leases-Topic 842</w:t>
      </w:r>
      <w:r>
        <w:rPr>
          <w:rFonts w:ascii="Times New Roman" w:cs="Times New Roman" w:eastAsia="Times New Roman" w:hAnsi="Times New Roman"/>
          <w:sz w:val="18"/>
          <w:szCs w:val="18"/>
          <w:color w:val="auto"/>
        </w:rPr>
        <w:t xml:space="preserve"> ("ASU 2016-02"). Under this new guidance, lessees will be required to recognize for all leases (with the exception of short-term leases): 1) a lease liability equal to the lessee's obligation to make lease payments arising from a lease, measured on a discounted basis and 2) a right-of-use asset which will represent the lessee's right to use, or control the use of, a specified asset for the lease term. ASU</w:t>
      </w:r>
    </w:p>
    <w:p>
      <w:pPr>
        <w:sectPr>
          <w:pgSz w:w="11900" w:h="16838" w:orient="portrait"/>
          <w:cols w:equalWidth="0" w:num="1">
            <w:col w:w="11420"/>
          </w:cols>
          <w:pgMar w:left="240" w:top="333"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333" w:right="239" w:bottom="1440" w:gutter="0" w:footer="0" w:header="0"/>
          <w:type w:val="continuous"/>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2016-02 will have little or no impact on an entity's results of operations or cash flows. The new standard will be effective for the Company at the beginning of fiscal 2019, including interim periods within the year of adoption. The new standard requires a modified retrospective basis, and early adoption is permitted. The Company is still evaluating the potential impacts of ASU 2016-02 on its consolidated balance sheet. However, the Company expects that the adoption of ASU 2016-02 will require the Company to recognize right-of-use assets and lease liabilities that will be material to the Company's consolidated balance sheet.</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Losses (ASU 2016-13)</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 Instruments</w:t>
      </w:r>
      <w:r>
        <w:rPr>
          <w:rFonts w:ascii="Times New Roman" w:cs="Times New Roman" w:eastAsia="Times New Roman" w:hAnsi="Times New Roman"/>
          <w:sz w:val="18"/>
          <w:szCs w:val="18"/>
          <w:color w:val="auto"/>
        </w:rPr>
        <w:t xml:space="preserve"> ("ASU 2016-13")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new guidance will change how entities account for credit impairment for trade and other receivables, as well as for certain financial 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an entity will recognize a loss (or allowance) upon initial recognition of the asset that reflects all future events that will lead to a loss being realized, regardless of whether it is probable that the future event will occur. The "incurred loss" model considers past events and current conditions, while the "expected loss" model includes expectations for the future which have yet to occur. ASU 2016-13 is effective for public companies for fiscal years beginning after December 15, 2019 with early adoption permitted for fiscal years beginning after December 15, 2018, including interim periods therein. The standard will require entities to record a cumulative-effect adjustment to the balance sheet as of the beginning of the first reporting period in which the guidance is effective. The Company is currently evaluating the potential impact that ASU 2016-13 may have on the timing of recognizing future provisions for expected losses on the Company's accounts receivable.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Classification of Costs Related to Defined Benefit Pension and Other Post-retirement Benefit Plans </w:t>
      </w:r>
      <w:r>
        <w:rPr>
          <w:rFonts w:ascii="Times New Roman" w:cs="Times New Roman" w:eastAsia="Times New Roman" w:hAnsi="Times New Roman"/>
          <w:sz w:val="18"/>
          <w:szCs w:val="18"/>
          <w:color w:val="auto"/>
        </w:rPr>
        <w:t>(ASU 2017-07)</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March 2017, the FASB issued ASU No. 2017-07, </w:t>
      </w:r>
      <w:r>
        <w:rPr>
          <w:rFonts w:ascii="Times New Roman" w:cs="Times New Roman" w:eastAsia="Times New Roman" w:hAnsi="Times New Roman"/>
          <w:sz w:val="18"/>
          <w:szCs w:val="18"/>
          <w:i w:val="1"/>
          <w:iCs w:val="1"/>
          <w:color w:val="auto"/>
        </w:rPr>
        <w:t>Compensation - Retirement Benefits (Topic 715: Improving the Presentation of Net Periodic Pension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Cost and Net Periodic Post-retirement Benefit Cost </w:t>
      </w:r>
      <w:r>
        <w:rPr>
          <w:rFonts w:ascii="Times New Roman" w:cs="Times New Roman" w:eastAsia="Times New Roman" w:hAnsi="Times New Roman"/>
          <w:sz w:val="18"/>
          <w:szCs w:val="18"/>
          <w:color w:val="auto"/>
        </w:rPr>
        <w:t>("ASU 2017-07")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2017-07 will change how employers that sponsor defined benefit pension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post-retirement benefit plans present the net periodic benefit costs in the statement of operations. Under this new guidance, an employer's statement of operations will present service cost arising in the current period in the same income statement line item as other employee compensation. However, all other components of current period costs related to defined benefit plans, such as prior service costs and actuarial gains and losses, will be presented on the income statement on a line item outside (or below) operating income. For public companies, the guidance is effective for fiscal years beginning after December 15, 2017, and interim periods within those years. Early adoption is permitted. Presentation of the components of net periodic benefit cost on the income statement will be applied retrospectively. The impact that ASU 2017-07 will have on the Company's operating income will depend on future periodic pension costs related to the Company's current frozen defined benefit pension plan and post-retirement medical benefit plan. However, based on these costs in recent annual and interim reporting periods, the adoption of ASU 2017-07 is not expected to be material to the Company's operating income.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Goodwill Impairment Testing </w:t>
      </w:r>
      <w:r>
        <w:rPr>
          <w:rFonts w:ascii="Times New Roman" w:cs="Times New Roman" w:eastAsia="Times New Roman" w:hAnsi="Times New Roman"/>
          <w:sz w:val="18"/>
          <w:szCs w:val="18"/>
          <w:color w:val="auto"/>
        </w:rPr>
        <w:t>(ASU 2017-04)</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xml:space="preserve"> ("ASU 2017-04")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ASU 2017-04 will eliminate the requirement to calculate the implied fair value of goodwill (step 2 of the current goodwill 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impacted reporting unit. ASU 2017-04 will not change the current guidance for completing Step 1 of the goodwill impairment test, and an entity will still be able to perform the current optional qualitative goodwill impairment assessment before determining whether to proceed to Step 1. Upon adoption, ASU 2017-04 will be applied prospectively. Adoption for public companies is effective for annual and interim impairment test performed in periods after December 15, 2019. Early adoption is permitted for annual and interim goodwill impairment testing dates after January 1, 2017. The impact that ASU 2017-04 may have on the Company's financial condition or results of operations will depend on the circumstances of any goodwill impairment event that may occur after adoption.</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333" w:right="2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Statement of Cash Flows </w:t>
      </w:r>
      <w:r>
        <w:rPr>
          <w:rFonts w:ascii="Times New Roman" w:cs="Times New Roman" w:eastAsia="Times New Roman" w:hAnsi="Times New Roman"/>
          <w:sz w:val="18"/>
          <w:szCs w:val="18"/>
          <w:color w:val="auto"/>
        </w:rPr>
        <w:t>(ASU 2016-15)</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Statement of Cash Flows (Topic 230)</w:t>
      </w:r>
      <w:r>
        <w:rPr>
          <w:rFonts w:ascii="Times New Roman" w:cs="Times New Roman" w:eastAsia="Times New Roman" w:hAnsi="Times New Roman"/>
          <w:sz w:val="18"/>
          <w:szCs w:val="18"/>
          <w:color w:val="auto"/>
        </w:rPr>
        <w:t xml:space="preserve"> ("ASU 2016-15"). This ASU represents a consensus of the FASB’s Emerging Issues Task Force on eight separate issues that each impact classifications on the statement of cash flows. In particular, issue number three addresses the classification of contingent consideration payments made after a business combination. Under ASU 2016-15, cash payments made soon after an acquisition’s consummation date (i.e., approximately three months or less) will be classified as cash outflows from investing activities. Payments made thereafter will be classified as cash outflows from financing activities up to the amount of the original contingent consideration liability. Payments made in excess of the amount of the original contingent consideration liability will be classified as cash outflows from operating activities. For public business entities, ASU 2016-15 is effective for financial statements issued for fiscal years beginning after December 15, 2017, and interim periods within those fiscal years. The guidance requires application using a retrospective transition method. Early adoption is permitted, provided that all of the amendments are adopted in the same period. At the current time, none of the other items contained in ASU 2016-15 are expected to impact the Company's classifications on its consolidated statement of cash flows.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Modifications to Share-based Compensation Awards (ASU 2017-09)</w:t>
      </w:r>
    </w:p>
    <w:p>
      <w:pPr>
        <w:spacing w:after="0" w:line="22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May 2017, the FASB issued ASU No. 2017-09, </w:t>
      </w:r>
      <w:r>
        <w:rPr>
          <w:rFonts w:ascii="Times New Roman" w:cs="Times New Roman" w:eastAsia="Times New Roman" w:hAnsi="Times New Roman"/>
          <w:sz w:val="18"/>
          <w:szCs w:val="18"/>
          <w:i w:val="1"/>
          <w:iCs w:val="1"/>
          <w:color w:val="auto"/>
        </w:rPr>
        <w:t>Compensation-Stock Compensation Topic 718-Scope of Modification Accounting</w:t>
      </w:r>
      <w:r>
        <w:rPr>
          <w:rFonts w:ascii="Times New Roman" w:cs="Times New Roman" w:eastAsia="Times New Roman" w:hAnsi="Times New Roman"/>
          <w:sz w:val="18"/>
          <w:szCs w:val="18"/>
          <w:color w:val="auto"/>
        </w:rPr>
        <w:t xml:space="preserve"> ("ASU 2017-09"). This guidance will clarify when changes to the terms and conditions of share-based payment awards must be accounted for as modifications. Entities will apply the modification accounting guidance if the value, vesting conditions, or classification of an award changes. ASU 2017-07 is effective for the Company at the beginning of fiscal 2018, including interim periods within fiscal 2018. Early adoption is permitted. The guidance will be applied prospectively to awards modified on or after adoption. The impact that ASU 2017-09 may have on the Company's results of operations, financial condition, or cash flows subsequent to adoption will be dependent on the terms and conditions of any modifications made to share-based awards after fiscal 2017.</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333" w:right="239" w:bottom="1440" w:gutter="0" w:footer="0" w:header="0"/>
        </w:sectPr>
      </w:pPr>
    </w:p>
    <w:bookmarkStart w:id="21" w:name="page22"/>
    <w:bookmarkEnd w:id="21"/>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GUARANTOR UNAUDITED CONDENSED CONSOLIDATING FINANCIAL STATEMENTS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senior notes constitute debt obligations of its wholly-owned subsidiary, The William Carter Company ("TWCC" or the "Subsidiary Issuer"), are unsecured and are fully and unconditionally guaranteed by Carter’s, Inc. (the "Parent"), by certain of the Parent's current domestic subsidiaries (other than TWCC), and, subject to certain exceptions, future restricted subsidiaries that guarantee the Company’s secured revolving credit facility or certain other debt of the Company or the subsidiary guarantors. Under specific customary conditions, the guarantees are not full and unconditional because subsidiary guarantors can be released and relieved of their obligations under customary circumstances contained in the indenture governing the senior notes. These circumstances include, among others, the following, so long as other applicable provisions of the indentures are adhered to: any sale or other disposition of all or substantially all of the assets of any subsidiary guarantor, any sale or other disposition of capital stock of any subsidiary guarantor, or designation of any restricted subsidiary that is a subsidiary guarantor as an unrestricted subsidiary.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refer to the Company's Annual Report on Form 10-K for the 2016 fiscal year ended December 31, 2016.</w:t>
      </w:r>
    </w:p>
    <w:p>
      <w:pPr>
        <w:spacing w:after="0" w:line="9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The condensed consolidating financial information for the Parent, the Subsidiary Issuer, and the guarantor and non-guarantor subsidiaries has been prepared from the books and records maintained by the Company. The accompanying condensed consolidating financial information has been prepared and presented pursuant to SEC Regulation S-X Rule 3-10. The financial information may not necessarily be indicative of the financial position, results of operations, comprehensive income (loss), and cash flows, had the Parent, Subsidiary Issuer, guarantor or non-guarantor subsidiaries operated as independent entities.</w:t>
      </w:r>
    </w:p>
    <w:p>
      <w:pPr>
        <w:spacing w:after="0" w:line="1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Intercompany revenues and expenses included in the subsidiary records are eliminated in consolidation. As a result of this activity, an amount due to/due from affiliates will exist at any time. The principal elimination entries relate to investments in subsidiaries and intercompany balances and transactions. The Company has accounted for investments in subsidiaries under the equity method. The guarantor subsidiaries are 100% owned directly or indirectly by the Parent and all guarantees are joint, several, and unconditional.</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333" w:right="25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1,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6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127,907</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11,435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34,222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173,564</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124,885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35,765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165,183</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Intercompany receivable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56,526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61,911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25,588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Finished goods 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346,963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207,368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68,262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610,423</w:t>
            </w:r>
          </w:p>
        </w:tc>
        <w:tc>
          <w:tcPr>
            <w:tcW w:w="0" w:type="dxa"/>
            <w:vAlign w:val="bottom"/>
          </w:tcPr>
          <w:p>
            <w:pPr>
              <w:spacing w:after="0"/>
              <w:rPr>
                <w:sz w:val="1"/>
                <w:szCs w:val="1"/>
                <w:color w:val="auto"/>
              </w:rPr>
            </w:pPr>
          </w:p>
        </w:tc>
      </w:tr>
      <w:tr>
        <w:trPr>
          <w:trHeight w:val="216"/>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assets</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18,002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44,527</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672,965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334,481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142,446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(156,195)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993,697</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150,796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195,209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36,467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382,472</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136,570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53,635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41,504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231,709</w:t>
            </w:r>
          </w:p>
        </w:tc>
        <w:tc>
          <w:tcPr>
            <w:tcW w:w="0" w:type="dxa"/>
            <w:vAlign w:val="bottom"/>
          </w:tcPr>
          <w:p>
            <w:pPr>
              <w:spacing w:after="0"/>
              <w:rPr>
                <w:sz w:val="1"/>
                <w:szCs w:val="1"/>
                <w:color w:val="auto"/>
              </w:rPr>
            </w:pPr>
          </w:p>
        </w:tc>
      </w:tr>
      <w:tr>
        <w:trPr>
          <w:trHeight w:val="216"/>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Tradenames and other intangible</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assets, net</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223,339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177,396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400,735</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20,901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23,246</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Intercompany long-term receivable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411,475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(411,475)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Intercompany long-term note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receivable</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in subsidiaries</w:t>
            </w: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749,911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936,310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167,809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(1,854,030)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749,911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2,240,881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1,340,452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222,315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2,031,859</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151,770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47,695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17,875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217,340</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Intercompany payables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82,539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57,034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32,973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53,114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8,557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94,644</w:t>
            </w:r>
          </w:p>
        </w:tc>
        <w:tc>
          <w:tcPr>
            <w:tcW w:w="0" w:type="dxa"/>
            <w:vAlign w:val="bottom"/>
          </w:tcPr>
          <w:p>
            <w:pPr>
              <w:spacing w:after="0"/>
              <w:rPr>
                <w:sz w:val="1"/>
                <w:szCs w:val="1"/>
                <w:color w:val="auto"/>
              </w:rPr>
            </w:pPr>
          </w:p>
        </w:tc>
      </w:tr>
      <w:tr>
        <w:trPr>
          <w:trHeight w:val="217"/>
        </w:trPr>
        <w:tc>
          <w:tcPr>
            <w:tcW w:w="2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267,282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157,843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30,884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(144,025)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311,984</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661,846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661,846</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69,750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63,400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133,251</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Intercompany long-term liability</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411,475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(411,475)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Intercompany long-term note payable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68,447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92,236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174,867</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749,911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762,081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926,973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177,146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(1,866,200)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749,911</w:t>
            </w:r>
          </w:p>
        </w:tc>
        <w:tc>
          <w:tcPr>
            <w:tcW w:w="0" w:type="dxa"/>
            <w:vAlign w:val="bottom"/>
          </w:tcPr>
          <w:p>
            <w:pPr>
              <w:spacing w:after="0"/>
              <w:rPr>
                <w:sz w:val="1"/>
                <w:szCs w:val="1"/>
                <w:color w:val="auto"/>
              </w:rPr>
            </w:pPr>
          </w:p>
        </w:tc>
      </w:tr>
      <w:tr>
        <w:trPr>
          <w:trHeight w:val="196"/>
        </w:trPr>
        <w:tc>
          <w:tcPr>
            <w:tcW w:w="2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w:t>
            </w:r>
          </w:p>
        </w:tc>
        <w:tc>
          <w:tcPr>
            <w:tcW w:w="280" w:type="dxa"/>
            <w:vAlign w:val="bottom"/>
            <w:tcBorders>
              <w:top w:val="single" w:sz="8" w:color="auto"/>
            </w:tcBorders>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749,911</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2,240,881</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1,340,452</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222,315</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(2,521,700)</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2,031,859</w:t>
            </w:r>
          </w:p>
        </w:tc>
        <w:tc>
          <w:tcPr>
            <w:tcW w:w="0" w:type="dxa"/>
            <w:vAlign w:val="bottom"/>
          </w:tcPr>
          <w:p>
            <w:pPr>
              <w:spacing w:after="0"/>
              <w:rPr>
                <w:sz w:val="1"/>
                <w:szCs w:val="1"/>
                <w:color w:val="auto"/>
              </w:rPr>
            </w:pPr>
          </w:p>
        </w:tc>
      </w:tr>
      <w:tr>
        <w:trPr>
          <w:trHeight w:val="228"/>
        </w:trPr>
        <w:tc>
          <w:tcPr>
            <w:tcW w:w="2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equity</w:t>
            </w:r>
          </w:p>
        </w:tc>
        <w:tc>
          <w:tcPr>
            <w:tcW w:w="28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333" w:right="2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8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7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229,056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11,817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58,485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299,358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176,825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18,315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202,471</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Intercompany receivable</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55,902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74,681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14,601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Finished goods 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278,696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174,542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60,153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487,591</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16,028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32,180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18,476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15,440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1,570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35,486</w:t>
            </w:r>
          </w:p>
        </w:tc>
        <w:tc>
          <w:tcPr>
            <w:tcW w:w="0" w:type="dxa"/>
            <w:vAlign w:val="bottom"/>
          </w:tcPr>
          <w:p>
            <w:pPr>
              <w:spacing w:after="0"/>
              <w:rPr>
                <w:sz w:val="1"/>
                <w:szCs w:val="1"/>
                <w:color w:val="auto"/>
              </w:rPr>
            </w:pPr>
          </w:p>
        </w:tc>
      </w:tr>
      <w:tr>
        <w:trPr>
          <w:trHeight w:val="217"/>
        </w:trPr>
        <w:tc>
          <w:tcPr>
            <w:tcW w:w="2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770,357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310,823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146,890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(170,984)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1,057,086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155,187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194,691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35,996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385,874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136,570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39,439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176,009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Tradenames and other intangible assets,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w:t>
            </w: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223,428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85,500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308,928</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17,771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18,700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Intercompany long-term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428,436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(428,436)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Intercompany long-term note receivable</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in subsidiaries</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788,124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753,753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145,076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(1,686,953)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27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788,124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2,157,066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1,165,131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222,649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(2,386,373)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1,946,597</w:t>
            </w: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97,103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41,947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19,382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158,432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payables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85,894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55,257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16,473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90,718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119,177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199,470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187,922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35,401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277,609</w:t>
            </w: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561,399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18,977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580,376</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87,116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43,540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130,656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Intercompany long-term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428,436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(428,436)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Intercompany long-term note payable</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66,721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89,252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169,832</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788,124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813,924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744,417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154,412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(1,712,753)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788,124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w:t>
            </w:r>
          </w:p>
        </w:tc>
        <w:tc>
          <w:tcPr>
            <w:tcW w:w="2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788,124</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2,157,066</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1,165,131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222,649</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(2,386,373)</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1,946,597</w:t>
            </w: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equity</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333" w:right="2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2,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6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159,191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11,233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34,656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205,080</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126,501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19,844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150,633</w:t>
            </w: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Intercompany receivable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62,988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115,545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Finished goods 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344,479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212,739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67,367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587,434</w:t>
            </w:r>
          </w:p>
        </w:tc>
        <w:tc>
          <w:tcPr>
            <w:tcW w:w="0" w:type="dxa"/>
            <w:vAlign w:val="bottom"/>
          </w:tcPr>
          <w:p>
            <w:pPr>
              <w:spacing w:after="0"/>
              <w:rPr>
                <w:sz w:val="1"/>
                <w:szCs w:val="1"/>
                <w:color w:val="auto"/>
              </w:rPr>
            </w:pPr>
          </w:p>
        </w:tc>
      </w:tr>
      <w:tr>
        <w:trPr>
          <w:trHeight w:val="216"/>
        </w:trPr>
        <w:tc>
          <w:tcPr>
            <w:tcW w:w="2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assets</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25,362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46,189</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17,452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13,545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32,816</w:t>
            </w:r>
          </w:p>
        </w:tc>
        <w:tc>
          <w:tcPr>
            <w:tcW w:w="0" w:type="dxa"/>
            <w:vAlign w:val="bottom"/>
          </w:tcPr>
          <w:p>
            <w:pPr>
              <w:spacing w:after="0"/>
              <w:rPr>
                <w:sz w:val="1"/>
                <w:szCs w:val="1"/>
                <w:color w:val="auto"/>
              </w:rPr>
            </w:pPr>
          </w:p>
        </w:tc>
      </w:tr>
      <w:tr>
        <w:trPr>
          <w:trHeight w:val="217"/>
        </w:trPr>
        <w:tc>
          <w:tcPr>
            <w:tcW w:w="2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735,973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388,048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120,635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(222,504)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1,022,152</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162,536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191,895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31,603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386,034</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136,570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40,970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177,540</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Tradenames and other intangible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net</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223,517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85,500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309,017</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16,705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17,749</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long-term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297,756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Intercompany long-term note</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subsidiaries</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766,702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692,654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119,250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(1,578,606)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26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766,702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2,067,955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1,083,157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193,544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(2,198,866)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1,912,492</w:t>
            </w: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125,742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44,406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20,218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190,366</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Intercompany payables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120,695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61,774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63,500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80,595</w:t>
            </w:r>
          </w:p>
        </w:tc>
        <w:tc>
          <w:tcPr>
            <w:tcW w:w="0" w:type="dxa"/>
            <w:vAlign w:val="bottom"/>
          </w:tcPr>
          <w:p>
            <w:pPr>
              <w:spacing w:after="0"/>
              <w:rPr>
                <w:sz w:val="1"/>
                <w:szCs w:val="1"/>
                <w:color w:val="auto"/>
              </w:rPr>
            </w:pPr>
          </w:p>
        </w:tc>
      </w:tr>
      <w:tr>
        <w:trPr>
          <w:trHeight w:val="33"/>
        </w:trPr>
        <w:tc>
          <w:tcPr>
            <w:tcW w:w="2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253,730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169,680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32,904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270,961</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560,964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19,714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580,678</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83,601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45,081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128,682</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Intercompany long-term liability</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297,756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long-term note payable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68,051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85,078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12,340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165,469</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766,702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803,853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683,318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128,586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(1,615,757)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766,702</w:t>
            </w:r>
          </w:p>
        </w:tc>
        <w:tc>
          <w:tcPr>
            <w:tcW w:w="0" w:type="dxa"/>
            <w:vAlign w:val="bottom"/>
          </w:tcPr>
          <w:p>
            <w:pPr>
              <w:spacing w:after="0"/>
              <w:rPr>
                <w:sz w:val="1"/>
                <w:szCs w:val="1"/>
                <w:color w:val="auto"/>
              </w:rPr>
            </w:pPr>
          </w:p>
        </w:tc>
      </w:tr>
      <w:tr>
        <w:trPr>
          <w:trHeight w:val="196"/>
        </w:trPr>
        <w:tc>
          <w:tcPr>
            <w:tcW w:w="2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w:t>
            </w:r>
          </w:p>
        </w:tc>
        <w:tc>
          <w:tcPr>
            <w:tcW w:w="280" w:type="dxa"/>
            <w:vAlign w:val="bottom"/>
            <w:tcBorders>
              <w:top w:val="single" w:sz="8" w:color="auto"/>
            </w:tcBorders>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766,702</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2,067,955</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1,083,157</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193,544</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(2,198,866)</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1,912,492</w:t>
            </w:r>
          </w:p>
        </w:tc>
        <w:tc>
          <w:tcPr>
            <w:tcW w:w="0" w:type="dxa"/>
            <w:vAlign w:val="bottom"/>
          </w:tcPr>
          <w:p>
            <w:pPr>
              <w:spacing w:after="0"/>
              <w:rPr>
                <w:sz w:val="1"/>
                <w:szCs w:val="1"/>
                <w:color w:val="auto"/>
              </w:rPr>
            </w:pPr>
          </w:p>
        </w:tc>
      </w:tr>
      <w:tr>
        <w:trPr>
          <w:trHeight w:val="228"/>
        </w:trPr>
        <w:tc>
          <w:tcPr>
            <w:tcW w:w="2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equity</w:t>
            </w:r>
          </w:p>
        </w:tc>
        <w:tc>
          <w:tcPr>
            <w:tcW w:w="28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333" w:right="25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Operations (unaudited)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quarter ended July 1,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0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2"/>
        </w:trPr>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0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352,814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435,321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71,886</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692,117</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260,902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257,323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37,019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388,660</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91,912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177,998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34,867</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303,457</w:t>
            </w: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38,295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193,865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26,292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250,146</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(11,210)</w:t>
            </w:r>
          </w:p>
        </w:tc>
      </w:tr>
      <w:tr>
        <w:trPr>
          <w:trHeight w:val="21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62,522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(10,985)</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8,575</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4,409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64,521</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7,194</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(37,925)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7,022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37,710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37,925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50,019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9,142</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57,950</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16,503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2,336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20,025</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37,925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33,516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6,806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37,925</w:t>
            </w:r>
          </w:p>
        </w:tc>
      </w:tr>
      <w:tr>
        <w:trPr>
          <w:trHeight w:val="20"/>
        </w:trPr>
        <w:tc>
          <w:tcPr>
            <w:tcW w:w="2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333" w:right="259" w:bottom="1440" w:gutter="0" w:footer="0" w:header="0"/>
        </w:sectPr>
      </w:pPr>
    </w:p>
    <w:bookmarkStart w:id="26" w:name="page27"/>
    <w:bookmarkEnd w:id="2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quarter ended July 2,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0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0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361,366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374,806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66,218</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639,471</w:t>
            </w:r>
          </w:p>
        </w:tc>
      </w:tr>
      <w:tr>
        <w:trPr>
          <w:trHeight w:val="23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264,791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220,976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30,976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357,289</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96,575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153,830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35,242</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282,182</w:t>
            </w:r>
          </w:p>
        </w:tc>
      </w:tr>
      <w:tr>
        <w:trPr>
          <w:trHeight w:val="216"/>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40,434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173,924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22,514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228,464</w:t>
            </w:r>
          </w:p>
        </w:tc>
      </w:tr>
      <w:tr>
        <w:trPr>
          <w:trHeight w:val="33"/>
        </w:trPr>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(9,525)</w:t>
            </w:r>
          </w:p>
        </w:tc>
      </w:tr>
      <w:tr>
        <w:trPr>
          <w:trHeight w:val="21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63,198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(15,580)</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12,728</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2,897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63,243</w:t>
            </w:r>
          </w:p>
        </w:tc>
      </w:tr>
      <w:tr>
        <w:trPr>
          <w:trHeight w:val="33"/>
        </w:trPr>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6,803</w:t>
            </w:r>
          </w:p>
        </w:tc>
      </w:tr>
      <w:tr>
        <w:trPr>
          <w:trHeight w:val="23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33"/>
        </w:trPr>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35,260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516</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36,198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48,558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12,140</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56,102</w:t>
            </w:r>
          </w:p>
        </w:tc>
      </w:tr>
      <w:tr>
        <w:trPr>
          <w:trHeight w:val="23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2,743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19,904</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36,198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9,397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36,198</w:t>
            </w:r>
          </w:p>
        </w:tc>
      </w:tr>
      <w:tr>
        <w:trPr>
          <w:trHeight w:val="20"/>
        </w:trPr>
        <w:tc>
          <w:tcPr>
            <w:tcW w:w="2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20"/>
          </w:cols>
          <w:pgMar w:left="240" w:top="333"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26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Operations (unaudited)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two fiscal quarters ended July 1,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0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2"/>
        </w:trPr>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0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806,329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831,100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132,917</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(345,474)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1,424,872</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591,535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486,089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74,448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(346,459)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805,613</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214,794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345,011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58,469</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619,259</w:t>
            </w: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79,227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383,369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52,563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497,940</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(21,768)</w:t>
            </w:r>
          </w:p>
        </w:tc>
      </w:tr>
      <w:tr>
        <w:trPr>
          <w:trHeight w:val="21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152,902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(29,351)</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5,906</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13,630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143,087</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14,298</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(84,589)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28,053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60,894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84,589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114,202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6,632</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129,772</w:t>
            </w: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(benefit from) income</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43,243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45,183</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84,589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70,959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4,358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84,589</w:t>
            </w:r>
          </w:p>
        </w:tc>
      </w:tr>
      <w:tr>
        <w:trPr>
          <w:trHeight w:val="20"/>
        </w:trPr>
        <w:tc>
          <w:tcPr>
            <w:tcW w:w="2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333" w:right="259" w:bottom="1440" w:gutter="0" w:footer="0" w:header="0"/>
        </w:sectPr>
      </w:pPr>
    </w:p>
    <w:bookmarkStart w:id="28" w:name="page29"/>
    <w:bookmarkEnd w:id="28"/>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two fiscal quarters ended July 2,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0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0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812,562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756,086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122,048</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1,363,556</w:t>
            </w:r>
          </w:p>
        </w:tc>
      </w:tr>
      <w:tr>
        <w:trPr>
          <w:trHeight w:val="23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585,891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432,004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64,067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(311,517)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770,445</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226,671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324,082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57,981</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593,111</w:t>
            </w:r>
          </w:p>
        </w:tc>
      </w:tr>
      <w:tr>
        <w:trPr>
          <w:trHeight w:val="216"/>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346,066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45,891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457,460</w:t>
            </w:r>
          </w:p>
        </w:tc>
      </w:tr>
      <w:tr>
        <w:trPr>
          <w:trHeight w:val="33"/>
        </w:trPr>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(20,600)</w:t>
            </w:r>
          </w:p>
        </w:tc>
      </w:tr>
      <w:tr>
        <w:trPr>
          <w:trHeight w:val="21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159,779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(13,259)</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12,090</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156,251</w:t>
            </w:r>
          </w:p>
        </w:tc>
      </w:tr>
      <w:tr>
        <w:trPr>
          <w:trHeight w:val="33"/>
        </w:trPr>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13,275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2,706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13,542</w:t>
            </w:r>
          </w:p>
        </w:tc>
      </w:tr>
      <w:tr>
        <w:trPr>
          <w:trHeight w:val="23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r>
      <w:tr>
        <w:trPr>
          <w:trHeight w:val="33"/>
        </w:trPr>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16,831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79,404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3,709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3,709</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90,178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132,820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8,231</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139,385</w:t>
            </w:r>
          </w:p>
        </w:tc>
      </w:tr>
      <w:tr>
        <w:trPr>
          <w:trHeight w:val="23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40,284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6,749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2,174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49,207</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90,178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92,536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6,057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90,178</w:t>
            </w:r>
          </w:p>
        </w:tc>
      </w:tr>
      <w:tr>
        <w:trPr>
          <w:trHeight w:val="20"/>
        </w:trPr>
        <w:tc>
          <w:tcPr>
            <w:tcW w:w="2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20"/>
          </w:cols>
          <w:pgMar w:left="240" w:top="333"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Comprehensive Income (unaudited)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quarter ended July 1,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4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37,925</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33,516</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(7,021)</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6,806</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(33,301)</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37,925</w:t>
            </w:r>
          </w:p>
        </w:tc>
      </w:tr>
      <w:tr>
        <w:trPr>
          <w:trHeight w:val="216"/>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adjustments</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3,140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3,140</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41,065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36,656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9,946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(42,721)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41,065</w:t>
            </w:r>
          </w:p>
        </w:tc>
      </w:tr>
      <w:tr>
        <w:trPr>
          <w:trHeight w:val="20"/>
        </w:trPr>
        <w:tc>
          <w:tcPr>
            <w:tcW w:w="2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quarter ended July 2,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4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36,198</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33,300</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(10,334)</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9,397</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(32,363)</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36,198</w:t>
            </w:r>
          </w:p>
        </w:tc>
      </w:tr>
      <w:tr>
        <w:trPr>
          <w:trHeight w:val="216"/>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adjustments</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548</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36,746</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33,848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9,945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(34,007)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36,746</w:t>
            </w:r>
          </w:p>
        </w:tc>
      </w:tr>
      <w:tr>
        <w:trPr>
          <w:trHeight w:val="20"/>
        </w:trPr>
        <w:tc>
          <w:tcPr>
            <w:tcW w:w="2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333"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Comprehensive Income (unaudited)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two fiscal quarters ended July 1,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4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84,589</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70,959</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(28,053)</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4,358</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(47,264)</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84,589</w:t>
            </w:r>
          </w:p>
        </w:tc>
      </w:tr>
      <w:tr>
        <w:trPr>
          <w:trHeight w:val="216"/>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adjustments</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4,087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4,087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4,087</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88,676</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75,046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8,445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(59,525)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88,676</w:t>
            </w:r>
          </w:p>
        </w:tc>
      </w:tr>
      <w:tr>
        <w:trPr>
          <w:trHeight w:val="20"/>
        </w:trPr>
        <w:tc>
          <w:tcPr>
            <w:tcW w:w="2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two fiscal quarters ended July 2,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4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90,178</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92,536</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(16,830)</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6,057</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(81,763)</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90,178</w:t>
            </w:r>
          </w:p>
        </w:tc>
      </w:tr>
      <w:tr>
        <w:trPr>
          <w:trHeight w:val="216"/>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adjustments</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5,834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5,834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5,834</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96,012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98,370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11,891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(99,265)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96,012</w:t>
            </w:r>
          </w:p>
        </w:tc>
      </w:tr>
      <w:tr>
        <w:trPr>
          <w:trHeight w:val="20"/>
        </w:trPr>
        <w:tc>
          <w:tcPr>
            <w:tcW w:w="2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333" w:right="2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26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Cash Flows (unaudited)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two fiscal quarters ended July 1,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46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100" w:type="dxa"/>
            <w:vAlign w:val="bottom"/>
          </w:tcPr>
          <w:p>
            <w:pPr>
              <w:spacing w:after="0"/>
              <w:rPr>
                <w:sz w:val="17"/>
                <w:szCs w:val="17"/>
                <w:color w:val="auto"/>
              </w:rPr>
            </w:pPr>
          </w:p>
        </w:tc>
      </w:tr>
      <w:tr>
        <w:trPr>
          <w:trHeight w:val="212"/>
        </w:trPr>
        <w:tc>
          <w:tcPr>
            <w:tcW w:w="3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46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3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4"/>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provided by (used in)</w:t>
            </w: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5"/>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120,884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107,333</w:t>
            </w:r>
          </w:p>
        </w:tc>
      </w:tr>
      <w:tr>
        <w:trPr>
          <w:trHeight w:val="20"/>
        </w:trPr>
        <w:tc>
          <w:tcPr>
            <w:tcW w:w="3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p>
      <w:pPr>
        <w:spacing w:after="0" w:line="88" w:lineRule="exact"/>
        <w:rPr>
          <w:sz w:val="20"/>
          <w:szCs w:val="20"/>
          <w:color w:val="auto"/>
        </w:rPr>
      </w:pPr>
    </w:p>
    <w:p>
      <w:pPr>
        <w:ind w:left="180" w:right="300"/>
        <w:spacing w:after="0" w:line="352" w:lineRule="auto"/>
        <w:rPr>
          <w:sz w:val="20"/>
          <w:szCs w:val="20"/>
          <w:color w:val="auto"/>
        </w:rPr>
      </w:pPr>
      <w:r>
        <w:rPr>
          <w:rFonts w:ascii="Times New Roman" w:cs="Times New Roman" w:eastAsia="Times New Roman" w:hAnsi="Times New Roman"/>
          <w:sz w:val="16"/>
          <w:szCs w:val="16"/>
          <w:color w:val="auto"/>
        </w:rPr>
        <w:t>Capital expenditures Intercompany investing activity</w:t>
      </w:r>
    </w:p>
    <w:p>
      <w:pPr>
        <w:spacing w:after="0" w:line="1" w:lineRule="exact"/>
        <w:rPr>
          <w:sz w:val="20"/>
          <w:szCs w:val="20"/>
          <w:color w:val="auto"/>
        </w:rPr>
      </w:pPr>
    </w:p>
    <w:p>
      <w:pPr>
        <w:ind w:left="180" w:right="60"/>
        <w:spacing w:after="0" w:line="298" w:lineRule="auto"/>
        <w:rPr>
          <w:sz w:val="20"/>
          <w:szCs w:val="20"/>
          <w:color w:val="auto"/>
        </w:rPr>
      </w:pPr>
      <w:r>
        <w:rPr>
          <w:rFonts w:ascii="Times New Roman" w:cs="Times New Roman" w:eastAsia="Times New Roman" w:hAnsi="Times New Roman"/>
          <w:sz w:val="16"/>
          <w:szCs w:val="16"/>
          <w:color w:val="auto"/>
        </w:rPr>
        <w:t>Acquisition of business, net of cash acquired</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Net cash provided by (used in)</w:t>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(10,594)</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(19,719)</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(3,963)</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(34,276)</w:t>
            </w:r>
          </w:p>
        </w:tc>
        <w:tc>
          <w:tcPr>
            <w:tcW w:w="0" w:type="dxa"/>
            <w:vAlign w:val="bottom"/>
          </w:tcPr>
          <w:p>
            <w:pPr>
              <w:spacing w:after="0"/>
              <w:rPr>
                <w:sz w:val="1"/>
                <w:szCs w:val="1"/>
                <w:color w:val="auto"/>
              </w:rPr>
            </w:pPr>
          </w:p>
        </w:tc>
      </w:tr>
      <w:tr>
        <w:trPr>
          <w:trHeight w:val="270"/>
        </w:trPr>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136,535</w:t>
            </w: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12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(134,067)</w:t>
            </w:r>
          </w:p>
        </w:tc>
        <w:tc>
          <w:tcPr>
            <w:tcW w:w="12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(144,520)</w:t>
            </w:r>
          </w:p>
        </w:tc>
        <w:tc>
          <w:tcPr>
            <w:tcW w:w="120" w:type="dxa"/>
            <w:vAlign w:val="bottom"/>
          </w:tcPr>
          <w:p>
            <w:pPr>
              <w:spacing w:after="0"/>
              <w:rPr>
                <w:sz w:val="24"/>
                <w:szCs w:val="24"/>
                <w:color w:val="auto"/>
              </w:rPr>
            </w:pPr>
          </w:p>
        </w:tc>
        <w:tc>
          <w:tcPr>
            <w:tcW w:w="12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tcPr>
          <w:p>
            <w:pPr>
              <w:spacing w:after="0"/>
              <w:rPr>
                <w:sz w:val="24"/>
                <w:szCs w:val="24"/>
                <w:color w:val="auto"/>
              </w:rPr>
            </w:pPr>
          </w:p>
        </w:tc>
        <w:tc>
          <w:tcPr>
            <w:tcW w:w="13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24"/>
                <w:szCs w:val="24"/>
                <w:color w:val="auto"/>
              </w:rPr>
            </w:pPr>
          </w:p>
        </w:tc>
        <w:tc>
          <w:tcPr>
            <w:tcW w:w="1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(143,704)</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136,535</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(157,582)</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(18,973)</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(134,067)</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(177,980)</w:t>
            </w:r>
          </w:p>
        </w:tc>
        <w:tc>
          <w:tcPr>
            <w:tcW w:w="0" w:type="dxa"/>
            <w:vAlign w:val="bottom"/>
          </w:tcPr>
          <w:p>
            <w:pPr>
              <w:spacing w:after="0"/>
              <w:rPr>
                <w:sz w:val="1"/>
                <w:szCs w:val="1"/>
                <w:color w:val="auto"/>
              </w:rPr>
            </w:pP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-762635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-299720</wp:posOffset>
            </wp:positionV>
            <wp:extent cx="724662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2540" w:space="560"/>
            <w:col w:w="8320"/>
          </w:cols>
          <w:pgMar w:left="240" w:top="333" w:right="2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financing activity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(164,451)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32,252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134,067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Borrowings under secured revolving credit</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facility</w:t>
            </w:r>
          </w:p>
        </w:tc>
        <w:tc>
          <w:tcPr>
            <w:tcW w:w="2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on secured revolving credit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facility</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(18,965)</w:t>
            </w: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paid</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(35,831)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136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(35,831)</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(98,236)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(98,236)</w:t>
            </w: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Withholdings from vestings of restricted</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(5,590)</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3,122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3,122</w:t>
            </w:r>
          </w:p>
        </w:tc>
        <w:tc>
          <w:tcPr>
            <w:tcW w:w="0" w:type="dxa"/>
            <w:vAlign w:val="bottom"/>
          </w:tcPr>
          <w:p>
            <w:pPr>
              <w:spacing w:after="0"/>
              <w:rPr>
                <w:sz w:val="1"/>
                <w:szCs w:val="1"/>
                <w:color w:val="auto"/>
              </w:rPr>
            </w:pPr>
          </w:p>
        </w:tc>
      </w:tr>
      <w:tr>
        <w:trPr>
          <w:trHeight w:val="196"/>
        </w:trPr>
        <w:tc>
          <w:tcPr>
            <w:tcW w:w="3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(used in) provided by</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financing activities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(136,535)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(64,451)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32,252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134,067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(55,500)</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353</w:t>
            </w: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(101,149)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(125,794)</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 beginning of</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period</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229,056</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11,817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58,485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299,358</w:t>
            </w:r>
          </w:p>
        </w:tc>
        <w:tc>
          <w:tcPr>
            <w:tcW w:w="0" w:type="dxa"/>
            <w:vAlign w:val="bottom"/>
          </w:tcPr>
          <w:p>
            <w:pPr>
              <w:spacing w:after="0"/>
              <w:rPr>
                <w:sz w:val="1"/>
                <w:szCs w:val="1"/>
                <w:color w:val="auto"/>
              </w:rPr>
            </w:pPr>
          </w:p>
        </w:tc>
      </w:tr>
      <w:tr>
        <w:trPr>
          <w:trHeight w:val="20"/>
        </w:trPr>
        <w:tc>
          <w:tcPr>
            <w:tcW w:w="3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00" w:type="dxa"/>
            <w:vAlign w:val="bottom"/>
            <w:vMerge w:val="continue"/>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127,907</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11,435</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34,222</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3"/>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173,564</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333" w:right="239" w:bottom="1440"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two fiscal quarters ended July 2,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2"/>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4"/>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provided by (used in)</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45"/>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75,255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85,599</w:t>
            </w:r>
          </w:p>
        </w:tc>
      </w:tr>
      <w:tr>
        <w:trPr>
          <w:trHeight w:val="183"/>
        </w:trPr>
        <w:tc>
          <w:tcPr>
            <w:tcW w:w="3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expenditures</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(49,698)</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investing activity</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217,295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 of property, plant and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equipment</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w:t>
            </w: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43"/>
        </w:trPr>
        <w:tc>
          <w:tcPr>
            <w:tcW w:w="3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217,295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(49,505)</w:t>
            </w:r>
          </w:p>
        </w:tc>
      </w:tr>
      <w:tr>
        <w:trPr>
          <w:trHeight w:val="406"/>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47"/>
        </w:trPr>
        <w:tc>
          <w:tcPr>
            <w:tcW w:w="3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financing activity</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14,106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213,888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Paid</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(33,679)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(33,679)</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benefit from stock-based</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2,061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1,623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3,684</w:t>
            </w:r>
          </w:p>
        </w:tc>
      </w:tr>
      <w:tr>
        <w:trPr>
          <w:trHeight w:val="237"/>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(180,209)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(180,209)</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Withholdings from vestings of restricted</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(8,508)</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(8,508)</w:t>
            </w:r>
          </w:p>
        </w:tc>
      </w:tr>
      <w:tr>
        <w:trPr>
          <w:trHeight w:val="237"/>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5,101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5,101</w:t>
            </w: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in) provided by</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43"/>
        </w:trPr>
        <w:tc>
          <w:tcPr>
            <w:tcW w:w="3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15,729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213,888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(213,611)</w:t>
            </w:r>
          </w:p>
        </w:tc>
      </w:tr>
      <w:tr>
        <w:trPr>
          <w:trHeight w:val="217"/>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1,388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1,388</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(166,580)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(176,129)</w:t>
            </w:r>
          </w:p>
        </w:tc>
      </w:tr>
      <w:tr>
        <w:trPr>
          <w:trHeight w:val="196"/>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 beginning of</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period</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325,771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40,786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381,209</w:t>
            </w: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159,191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34,656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205,080</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333"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w:t>
      </w:r>
    </w:p>
    <w:p>
      <w:pPr>
        <w:spacing w:after="0" w:line="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safe harbor provisions of the Private Securities Litigation Reform Act of 1995 relating to our future performance, including, without limitation, statements with respect to our anticipated financial results for any other quarter or period in fiscal 2017 or any other future period, assessment of our performance and financial position, and drivers of our sales and earnings growth. Such statements are based on current expectations only, and are subject to certain risks, uncertainties, and assumptions. Should one or more of these risks or uncertainties materialize or not materialize, or should any of the underlying assumptions prove incorrect, actual results may vary materially from those anticipated, estimated, or projected. Certain of the risks and uncertainties that could cause actual results and performance to differ materially are described under the heading "Risk Factors" in our most recently filed Annual Report on Form 10-K and other reports filed with the Securities and Exchange Commission from time to time.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color w:val="auto"/>
        </w:rPr>
        <w:t xml:space="preserve">We are the largest branded marketer in the United States ("U.S.") and in Canada of apparel exclusively for babies and young children. We own the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OshKosh B'gosh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brands, two of the most recognized brands in the marketplace. Established in 1865, our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brand is recognized and trusted by consumers for high-quality apparel and accessories for children sizes newborn to eight. Established in 1895,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is a well-known brand, trusted by consumers for apparel and accessories for children sizes newborn to 14, with a focus on playclothes for toddlers and young children. Given each brand's product category emphasis and brand aesthetic, we believe they provide a complementary product offering. We have extensive experience in the young children's apparel market and focus on delivering products that satisfy our consumers' needs.</w:t>
      </w:r>
    </w:p>
    <w:p>
      <w:pPr>
        <w:spacing w:after="0" w:line="18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market high-quality products at an attractive value proposition for consumers, and offer multiple product categories. Our multi-channel international business model - retail stores, online and wholesale - enables us to reach a broad range of consumers around the world.</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acquired 100% ownership in Skip Hop Holdings, Inc. and its subsidiaries ("Skip Hop") after the close of business on February 22, 2017. The balance sheet, results of operations and cash flows for Skip Hop are included in our consolidated financial statements beginning on February 23, 2017. Skip Hop's products are sold in U.S. and international wholesale and eCommerce channels primarily to families with young children, and the product lines include diaper bags, kid’s backpacks, travel accessories, home gear, and hardline goods for playtime, mealtime, and bath time.</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2016 fiscal year ended December 31, 2016.</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Segments</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At the beginning of fiscal 2017, we combined our Carter's Retail and OshKosh Retail into a single U.S. Retail operating segment, and our Carter's Wholesale and OshKosh Wholesale into a single U.S. Wholesale operating segment, to reflect the sales-channel approach executive management now uses to evaluate business performance and manage operations in the U.S. Our International segment was not affected by these changes. Our reportable segments are now U.S. Retail, U.S. Wholesale, and International. Prior periods have been conformed to reflect our current segment structure.</w:t>
      </w:r>
    </w:p>
    <w:p>
      <w:pPr>
        <w:spacing w:after="0" w:line="178"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 xml:space="preserve">Our U.S. Retail segment consists of revenue from sales of products in the United States, including </w:t>
      </w:r>
      <w:r>
        <w:rPr>
          <w:rFonts w:ascii="Times New Roman" w:cs="Times New Roman" w:eastAsia="Times New Roman" w:hAnsi="Times New Roman"/>
          <w:sz w:val="18"/>
          <w:szCs w:val="18"/>
          <w:i w:val="1"/>
          <w:iCs w:val="1"/>
          <w:color w:val="auto"/>
        </w:rPr>
        <w:t>Carter’s, OshKosh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products, through our retail and online stores. Similarly, our U.S. Wholesale segment consists of revenue from sales in the United States of </w:t>
      </w:r>
      <w:r>
        <w:rPr>
          <w:rFonts w:ascii="Times New Roman" w:cs="Times New Roman" w:eastAsia="Times New Roman" w:hAnsi="Times New Roman"/>
          <w:sz w:val="18"/>
          <w:szCs w:val="18"/>
          <w:i w:val="1"/>
          <w:iCs w:val="1"/>
          <w:color w:val="auto"/>
        </w:rPr>
        <w:t>Carter’s, OshKosh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products, respectively, through our wholesale partners. Finally, our International segment consists of income from sales of </w:t>
      </w:r>
      <w:r>
        <w:rPr>
          <w:rFonts w:ascii="Times New Roman" w:cs="Times New Roman" w:eastAsia="Times New Roman" w:hAnsi="Times New Roman"/>
          <w:sz w:val="18"/>
          <w:szCs w:val="18"/>
          <w:i w:val="1"/>
          <w:iCs w:val="1"/>
          <w:color w:val="auto"/>
        </w:rPr>
        <w:t>Carter’s, OshKosh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Skip Hop</w:t>
      </w:r>
      <w:r>
        <w:rPr>
          <w:rFonts w:ascii="Times New Roman" w:cs="Times New Roman" w:eastAsia="Times New Roman" w:hAnsi="Times New Roman"/>
          <w:sz w:val="18"/>
          <w:szCs w:val="18"/>
          <w:color w:val="auto"/>
        </w:rPr>
        <w:t xml:space="preserve"> products through retail and online stores outside the United States, primarily through our retail and online stores in Canada and stores operated by our international partners, as well as sales to our international wholesale partners.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360" w:right="239" w:bottom="1440" w:gutter="0" w:footer="0" w:header="0"/>
        </w:sectPr>
      </w:pPr>
    </w:p>
    <w:bookmarkStart w:id="34" w:name="page35"/>
    <w:bookmarkEnd w:id="34"/>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selected statement of operations data expressed as a percentage of consolidated net sales: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50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3300" w:type="dxa"/>
            <w:vAlign w:val="bottom"/>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7"/>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2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July 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July 2,</w:t>
            </w:r>
          </w:p>
        </w:tc>
        <w:tc>
          <w:tcPr>
            <w:tcW w:w="176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July 1,</w:t>
            </w:r>
          </w:p>
        </w:tc>
        <w:tc>
          <w:tcPr>
            <w:tcW w:w="15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July 2,</w:t>
            </w:r>
          </w:p>
        </w:tc>
      </w:tr>
      <w:tr>
        <w:trPr>
          <w:trHeight w:val="212"/>
        </w:trPr>
        <w:tc>
          <w:tcPr>
            <w:tcW w:w="5740" w:type="dxa"/>
            <w:vAlign w:val="bottom"/>
            <w:gridSpan w:val="4"/>
          </w:tcPr>
          <w:p>
            <w:pPr>
              <w:ind w:left="5320"/>
              <w:spacing w:after="0"/>
              <w:rPr>
                <w:sz w:val="20"/>
                <w:szCs w:val="20"/>
                <w:color w:val="auto"/>
              </w:rPr>
            </w:pPr>
            <w:r>
              <w:rPr>
                <w:rFonts w:ascii="Times New Roman" w:cs="Times New Roman" w:eastAsia="Times New Roman" w:hAnsi="Times New Roman"/>
                <w:sz w:val="16"/>
                <w:szCs w:val="16"/>
                <w:b w:val="1"/>
                <w:bCs w:val="1"/>
                <w:color w:val="auto"/>
              </w:rPr>
              <w:t>2017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16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154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318"/>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9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Wholesale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37.2 %</w:t>
            </w:r>
          </w:p>
        </w:tc>
      </w:tr>
      <w:tr>
        <w:trPr>
          <w:trHeight w:val="237"/>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U.S. Retail</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55.2 %</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51.8 %</w:t>
            </w: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International</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r>
      <w:tr>
        <w:trPr>
          <w:trHeight w:val="183"/>
        </w:trPr>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Consolidated net sales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37"/>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Cost of goods sold</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55.9 %</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56.5 %</w:t>
            </w: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3"/>
        </w:trPr>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37"/>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Gross margin</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44.1 %</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43.5 %</w:t>
            </w: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33.5 %</w:t>
            </w:r>
          </w:p>
        </w:tc>
      </w:tr>
      <w:tr>
        <w:trPr>
          <w:trHeight w:val="237"/>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Royalty income</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0"/>
        </w:trPr>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7"/>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Operating income</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11.5 %</w:t>
            </w: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37"/>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n/m</w:t>
            </w:r>
          </w:p>
        </w:tc>
        <w:tc>
          <w:tcPr>
            <w:tcW w:w="164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n/m</w:t>
            </w:r>
          </w:p>
        </w:tc>
        <w:tc>
          <w:tcPr>
            <w:tcW w:w="176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n/m</w:t>
            </w: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n/m</w:t>
            </w: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7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n/m</w:t>
            </w:r>
          </w:p>
        </w:tc>
        <w:tc>
          <w:tcPr>
            <w:tcW w:w="164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n/m</w:t>
            </w:r>
          </w:p>
        </w:tc>
        <w:tc>
          <w:tcPr>
            <w:tcW w:w="176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n/m</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183"/>
        </w:trPr>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r>
      <w:tr>
        <w:trPr>
          <w:trHeight w:val="250"/>
        </w:trPr>
        <w:tc>
          <w:tcPr>
            <w:tcW w:w="57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r>
      <w:tr>
        <w:trPr>
          <w:trHeight w:val="237"/>
        </w:trPr>
        <w:tc>
          <w:tcPr>
            <w:tcW w:w="57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7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n/m - rounds to less than 0.1%, therefore not material.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Results may not be additive due to rounding.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COMPARABLE SALES METRICS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management's discussion and analysis includes comparable sales metrics for our company-owned retail stores and our eCommerce websites in our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and International segments.</w:t>
      </w:r>
    </w:p>
    <w:p>
      <w:pPr>
        <w:spacing w:after="0" w:line="2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all periods presented herein, our comparable store sales metrics include sales for all stores and eCommerce websites that were open during the comparable fiscal period, including stand-alone format stores that converted to dual-branded format stores and certain remodeled or relocated stores. A store becomes comparable following 13 consecutive full fiscal months of operations. If a store relocates within the same center with no business interruption or material change in square footage, the sales of such store will continue to be included in the comparable store metrics. If a store relocates to another center, or there is a material change in square footage, such store is treated as a new store. Stores that are closed during the relevant fiscal period are included in the comparable store sales metrics up to the last full fiscal month of operations.</w:t>
      </w:r>
    </w:p>
    <w:p>
      <w:pPr>
        <w:spacing w:after="0" w:line="18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method of calculating sales metrics varies across the retail industry. As a result, our method of calculating comparable sales may not be the same as that of other retailers.</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7" w:right="239" w:bottom="1440" w:gutter="0" w:footer="0" w:header="0"/>
          <w:type w:val="continuous"/>
        </w:sectPr>
      </w:pPr>
    </w:p>
    <w:bookmarkStart w:id="35" w:name="page36"/>
    <w:bookmarkEnd w:id="35"/>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4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SECOND FISCAL QUARTER AND TWO FISCAL QUARTERS ENDED JULY 1, 2017 COMPARED TO SECOND FISCAL QUARTER AND TWO FISCAL QUARTERS ENDED JULY 2, 2016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NET SALES</w:t>
      </w:r>
    </w:p>
    <w:p>
      <w:pPr>
        <w:spacing w:after="0" w:line="229"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8"/>
          <w:szCs w:val="18"/>
          <w:color w:val="auto"/>
        </w:rPr>
        <w:t>In the second quarter of fiscal 2017, consolidated net sales increased $52.6 million, or 8.2%, to $692.1 million from $639.5 million in the second quarter of fiscal 2016. For the first two quarters of fiscal 2017, consolidated net sales increased $61.3 million, or 4.5%, to $1.42 billion from $1.36 billion in the first two quarters of fiscal 2016. The increases for the fiscal quarter and year-to-date period in fiscal 2017 were primarily driven by our U.S. Retail segment.</w:t>
      </w:r>
    </w:p>
    <w:p>
      <w:pPr>
        <w:spacing w:after="0" w:line="2"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Changes in foreign currency exchange rates in the second quarter and first two quarters of fiscal 2017, as compared to the second quarter and first two quarters of fiscal 2016, had an unfavorable impact on our consolidated net sales of approximately $2.6 million and $1.2 million,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segment, and each segment's percentage of consolidated net sales, were as follows:</w:t>
      </w:r>
    </w:p>
    <w:p>
      <w:pPr>
        <w:spacing w:after="0" w:line="390" w:lineRule="exact"/>
        <w:rPr>
          <w:sz w:val="20"/>
          <w:szCs w:val="20"/>
          <w:color w:val="auto"/>
        </w:rPr>
      </w:pPr>
    </w:p>
    <w:tbl>
      <w:tblPr>
        <w:tblLayout w:type="fixed"/>
        <w:tblInd w:w="2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 of</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212"/>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July 1, 2017</w:t>
            </w: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July 1, 2017</w:t>
            </w: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1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17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Wholesale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217,710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215,122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510,265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507,176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0" w:type="dxa"/>
            <w:vAlign w:val="bottom"/>
          </w:tcPr>
          <w:p>
            <w:pPr>
              <w:spacing w:after="0"/>
              <w:rPr>
                <w:sz w:val="1"/>
                <w:szCs w:val="1"/>
                <w:color w:val="auto"/>
              </w:rPr>
            </w:pPr>
          </w:p>
        </w:tc>
      </w:tr>
      <w:tr>
        <w:trPr>
          <w:trHeight w:val="237"/>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U.S. Retail</w:t>
            </w:r>
          </w:p>
        </w:tc>
        <w:tc>
          <w:tcPr>
            <w:tcW w:w="1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391,822</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352,782</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755,593</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706,871</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82,585</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71,567</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159,014</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149,509</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7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Total 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692,117</w:t>
            </w:r>
          </w:p>
        </w:tc>
        <w:tc>
          <w:tcPr>
            <w:tcW w:w="10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639,471</w:t>
            </w:r>
          </w:p>
        </w:tc>
        <w:tc>
          <w:tcPr>
            <w:tcW w:w="10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1,424,872</w:t>
            </w:r>
          </w:p>
        </w:tc>
        <w:tc>
          <w:tcPr>
            <w:tcW w:w="10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1,363,556</w:t>
            </w:r>
          </w:p>
        </w:tc>
        <w:tc>
          <w:tcPr>
            <w:tcW w:w="10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WHOLESALE SALES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U.S. Wholesale segment net sales increased $2.6 million, or 1.2%, in the second quarter of fiscal 2017 to $217.7 million from $215.1 million in the second quarter of fiscal 2016. During the second quarter of fiscal 2017, Skip Hop's wholesale net sales in the U.S. were approximately $15.1 million. Net sales for the remaining U.S. Wholesale segment declined due to a decrease in demand, which reflected a 2.8% decrease in the number of units shipped and a 3.1% decrease in the average price per unit.</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U.S. Wholesale segment net sales increased $3.1 million, or 0.6%, in the first two quarters of fiscal 2017 to $510.3 million from $507.2 million in the first two quarters of fiscal 2016. During the post-acquisition period of February 23 to July 1, 2017, Skip Hop's wholesale net sales in the U.S. were approximately $21.9 million. Net sales for the remaining U.S. Wholesale segment declined due to a decrease in demand, which reflected a 2.2% decrease in the number of units shipped and a 1.6% decrease in the average price per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20"/>
          </w:cols>
          <w:pgMar w:left="240" w:top="117" w:right="339" w:bottom="1440" w:gutter="0" w:footer="0" w:header="0"/>
        </w:sectPr>
      </w:pPr>
    </w:p>
    <w:bookmarkStart w:id="36" w:name="page37"/>
    <w:bookmarkEnd w:id="36"/>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RETAIL SALES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Store Count Data for U.S. Retail Stores</w:t>
      </w:r>
    </w:p>
    <w:p>
      <w:pPr>
        <w:spacing w:after="0" w:line="169" w:lineRule="exact"/>
        <w:rPr>
          <w:sz w:val="20"/>
          <w:szCs w:val="20"/>
          <w:color w:val="auto"/>
        </w:rPr>
      </w:pPr>
    </w:p>
    <w:tbl>
      <w:tblPr>
        <w:tblLayout w:type="fixed"/>
        <w:tblInd w:w="336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U.S. Retail</w:t>
            </w:r>
          </w:p>
        </w:tc>
      </w:tr>
      <w:tr>
        <w:trPr>
          <w:trHeight w:val="238"/>
        </w:trPr>
        <w:tc>
          <w:tcPr>
            <w:tcW w:w="3540" w:type="dxa"/>
            <w:vAlign w:val="bottom"/>
          </w:tcPr>
          <w:p>
            <w:pPr>
              <w:spacing w:after="0"/>
              <w:rPr>
                <w:sz w:val="20"/>
                <w:szCs w:val="20"/>
                <w:color w:val="auto"/>
              </w:rPr>
            </w:pPr>
          </w:p>
        </w:tc>
        <w:tc>
          <w:tcPr>
            <w:tcW w:w="11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Stores</w:t>
            </w:r>
          </w:p>
        </w:tc>
      </w:tr>
      <w:tr>
        <w:trPr>
          <w:trHeight w:val="27"/>
        </w:trPr>
        <w:tc>
          <w:tcPr>
            <w:tcW w:w="35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0"/>
        </w:trPr>
        <w:tc>
          <w:tcPr>
            <w:tcW w:w="3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Store count at December 31, 2016</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792</w:t>
            </w:r>
          </w:p>
        </w:tc>
      </w:tr>
      <w:tr>
        <w:trPr>
          <w:trHeight w:val="27"/>
        </w:trPr>
        <w:tc>
          <w:tcPr>
            <w:tcW w:w="3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Openings</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Closings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35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Store count at July 1, 2017</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810</w:t>
            </w:r>
          </w:p>
        </w:tc>
      </w:tr>
      <w:tr>
        <w:trPr>
          <w:trHeight w:val="20"/>
        </w:trPr>
        <w:tc>
          <w:tcPr>
            <w:tcW w:w="35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92"/>
        </w:trPr>
        <w:tc>
          <w:tcPr>
            <w:tcW w:w="35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4"/>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Approximate new store projections for all of</w:t>
            </w:r>
          </w:p>
        </w:tc>
        <w:tc>
          <w:tcPr>
            <w:tcW w:w="1180" w:type="dxa"/>
            <w:vAlign w:val="bottom"/>
            <w:shd w:val="clear" w:color="auto" w:fill="CCEEFF"/>
          </w:tcPr>
          <w:p>
            <w:pPr>
              <w:spacing w:after="0"/>
              <w:rPr>
                <w:sz w:val="18"/>
                <w:szCs w:val="18"/>
                <w:color w:val="auto"/>
              </w:rPr>
            </w:pPr>
          </w:p>
        </w:tc>
      </w:tr>
      <w:tr>
        <w:trPr>
          <w:trHeight w:val="225"/>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fiscal 2017:</w:t>
            </w:r>
          </w:p>
        </w:tc>
        <w:tc>
          <w:tcPr>
            <w:tcW w:w="1180" w:type="dxa"/>
            <w:vAlign w:val="bottom"/>
            <w:tcBorders>
              <w:bottom w:val="single" w:sz="8" w:color="CCEEFF"/>
            </w:tcBorders>
            <w:shd w:val="clear" w:color="auto" w:fill="CCEEFF"/>
          </w:tcPr>
          <w:p>
            <w:pPr>
              <w:spacing w:after="0"/>
              <w:rPr>
                <w:sz w:val="19"/>
                <w:szCs w:val="19"/>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Openings</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3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Closings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35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w:t>
      </w:r>
    </w:p>
    <w:p>
      <w:pPr>
        <w:spacing w:after="0" w:line="381" w:lineRule="exact"/>
        <w:rPr>
          <w:sz w:val="20"/>
          <w:szCs w:val="20"/>
          <w:color w:val="auto"/>
        </w:rPr>
      </w:pPr>
    </w:p>
    <w:tbl>
      <w:tblPr>
        <w:tblLayout w:type="fixed"/>
        <w:tblInd w:w="2040" w:type="dxa"/>
        <w:tblCellMar>
          <w:top w:w="0" w:type="dxa"/>
          <w:left w:w="0" w:type="dxa"/>
          <w:bottom w:w="0" w:type="dxa"/>
          <w:right w:w="0" w:type="dxa"/>
        </w:tblCellMar>
      </w:tblPr>
      <w:tr>
        <w:trPr>
          <w:trHeight w:val="214"/>
        </w:trPr>
        <w:tc>
          <w:tcPr>
            <w:tcW w:w="214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Change for Second Fiscal Quarter</w:t>
            </w:r>
          </w:p>
        </w:tc>
        <w:tc>
          <w:tcPr>
            <w:tcW w:w="2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Change for First Two Fiscal</w:t>
            </w:r>
          </w:p>
        </w:tc>
      </w:tr>
      <w:tr>
        <w:trPr>
          <w:trHeight w:val="240"/>
        </w:trPr>
        <w:tc>
          <w:tcPr>
            <w:tcW w:w="2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i w:val="1"/>
                <w:iCs w:val="1"/>
                <w:color w:val="auto"/>
              </w:rPr>
              <w:t>Increase (Decrease)</w:t>
            </w:r>
          </w:p>
        </w:tc>
        <w:tc>
          <w:tcPr>
            <w:tcW w:w="27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from 2016 to 2017</w:t>
            </w:r>
          </w:p>
        </w:tc>
        <w:tc>
          <w:tcPr>
            <w:tcW w:w="2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Quarters from 2016 to 2017</w:t>
            </w:r>
          </w:p>
        </w:tc>
      </w:tr>
      <w:tr>
        <w:trPr>
          <w:trHeight w:val="215"/>
        </w:trPr>
        <w:tc>
          <w:tcPr>
            <w:tcW w:w="2140" w:type="dxa"/>
            <w:vAlign w:val="bottom"/>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r>
      <w:tr>
        <w:trPr>
          <w:trHeight w:val="250"/>
        </w:trPr>
        <w:tc>
          <w:tcPr>
            <w:tcW w:w="2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Retail stores</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+0.4%</w:t>
            </w:r>
          </w:p>
        </w:tc>
        <w:tc>
          <w:tcPr>
            <w:tcW w:w="22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r>
        <w:trPr>
          <w:trHeight w:val="237"/>
        </w:trPr>
        <w:tc>
          <w:tcPr>
            <w:tcW w:w="2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eCommerce</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+27.6%</w:t>
            </w:r>
          </w:p>
        </w:tc>
        <w:tc>
          <w:tcPr>
            <w:tcW w:w="22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+23.5%</w:t>
            </w:r>
          </w:p>
        </w:tc>
      </w:tr>
      <w:tr>
        <w:trPr>
          <w:trHeight w:val="33"/>
        </w:trPr>
        <w:tc>
          <w:tcPr>
            <w:tcW w:w="2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37"/>
        </w:trPr>
        <w:tc>
          <w:tcPr>
            <w:tcW w:w="2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220" w:type="dxa"/>
            <w:vAlign w:val="bottom"/>
            <w:shd w:val="clear" w:color="auto" w:fill="CCEEFF"/>
          </w:tcPr>
          <w:p>
            <w:pPr>
              <w:spacing w:after="0"/>
              <w:rPr>
                <w:sz w:val="20"/>
                <w:szCs w:val="20"/>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w:t>
            </w:r>
          </w:p>
        </w:tc>
      </w:tr>
      <w:tr>
        <w:trPr>
          <w:trHeight w:val="33"/>
        </w:trPr>
        <w:tc>
          <w:tcPr>
            <w:tcW w:w="214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increase in comparable retail store sales during the second quarter of fiscal 2017 compared to the second quarter of fiscal 2016 was primarily due to an increase in the number of transactions, partially offset by a lower average transaction price.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increases in eCommerce comparable sales during the second quarter and first two quarters of fiscal 2017 compared to the corresponding periods in fiscal 2016 were due to increases in the number of transactions.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Results</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U.S. Retail segment net sales increased approximately $39.0 million, or 11.1%, in the second quarter of fiscal 2017 to $391.8 million from $352.8 million in the second quarter of fiscal 2016. This increase in net sales primarily reflected a/an:</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$20.7 million from new and non-comparable store sales;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$19.6 million from eCommerce sales, including Skip Hop;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$0.6 million in comparable store sales;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$2.8 million due to the impact of store closings.</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U.S. Retail segment net sales increased $48.7 million, or 6.9%, in the first two quarters of fiscal 2017 to $755.6 million from $706.9 million in the first two quarters of fiscal 2016. This increase in net sales primarily reflected a/an:</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$41.3 million from new and non-comparable store sales;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$37.2 million from eCommerce sales, including Skip Hop;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$27.1 million in comparable store sales;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$5.6 million due to the impact of store closings.</w:t>
      </w:r>
    </w:p>
    <w:p>
      <w:pPr>
        <w:sectPr>
          <w:pgSz w:w="11900" w:h="16838" w:orient="portrait"/>
          <w:cols w:equalWidth="0" w:num="1">
            <w:col w:w="11340"/>
          </w:cols>
          <w:pgMar w:left="240" w:top="11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40"/>
          </w:cols>
          <w:pgMar w:left="240" w:top="117" w:right="319" w:bottom="1440" w:gutter="0" w:footer="0" w:header="0"/>
          <w:type w:val="continuous"/>
        </w:sectPr>
      </w:pPr>
    </w:p>
    <w:bookmarkStart w:id="37" w:name="page38"/>
    <w:bookmarkEnd w:id="37"/>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SALES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International segment net sales increased $11.0 million, or 15.4%, in the second quarter of fiscal 2017 to $82.6 million from $71.6 million in the second quarter of fiscal 2016. Changes in foreign currency exchange rates, primarily between the U.S. dollar and the Canadian dollar, had an unfavorable impact on International segment net sales of approximately $2.6 million in the second quarter of fiscal 2017 compared to the second quarter of fiscal 2016. During the second quarter of fiscal 2017, Skip Hop's international sales were approximately $9.1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$11.0 million increase in net sales in our International segment primarily reflected a/an:</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$9.7 million primarily from our Skip Hop wholesale businesses;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$3.7 million from our other international wholesale partners in certain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$3.8 million from our retail stores in Canada;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$1.2 million from eCommerce, primarily from our websites in Canada and China.</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International segment net sales increased $9.5 million, or 6.4%, in the first two quarters of fiscal 2017 to $159.0 million from $149.5 million in the first two quarters of fiscal 2016. Changes in foreign currency exchange rates, primarily between the U.S. dollar and the Canadian dollar, had an unfavorable impact on International segment net sales of approximately $1.2 million in the first two quarters of fiscal 2017 compared to the first two quarters of fiscal 2016. For the post-acquisition period of February 23 to July 1, 2017, Skip Hop's international sales were approximately $12.3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$9.5 million increase in net sales in our International segment primarily reflected a/an:</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$14.3 million primarily from our Skip Hop and China wholesale businesses;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$11.6 million from our other international wholesale partners in certain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$3.7 million from our retail stores in Canada;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$3.1 million from eCommerce, primarily from our websites in Canada and China.</w:t>
      </w:r>
    </w:p>
    <w:p>
      <w:pPr>
        <w:spacing w:after="0" w:line="200" w:lineRule="exact"/>
        <w:rPr>
          <w:sz w:val="20"/>
          <w:szCs w:val="20"/>
          <w:color w:val="auto"/>
        </w:rPr>
      </w:pPr>
    </w:p>
    <w:p>
      <w:pPr>
        <w:spacing w:after="0" w:line="2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Compared to the second quarter of fiscal 2016, our Canadian total retail comparable sales increased 8.2% in the second quarter of fiscal 2017, primarily due to eCommerce comparable sales growth of 46.8% and retail stores comparable sales growth of 5.9%. Compared to the first two quarters of fiscal 2016, our Canadian total retail comparable sales increased 0.1% in the first two quarters of fiscal 2017, primarily due to eCommerce comparable sales growth of 43.1%, which was offset by a retail store comparable sales decline of 2.9%.</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Store Count Data for Canada Retail Stores</w:t>
      </w:r>
    </w:p>
    <w:p>
      <w:pPr>
        <w:spacing w:after="0" w:line="385" w:lineRule="exact"/>
        <w:rPr>
          <w:sz w:val="20"/>
          <w:szCs w:val="20"/>
          <w:color w:val="auto"/>
        </w:rPr>
      </w:pPr>
    </w:p>
    <w:tbl>
      <w:tblPr>
        <w:tblLayout w:type="fixed"/>
        <w:tblInd w:w="334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Canada Retail</w:t>
            </w:r>
          </w:p>
        </w:tc>
      </w:tr>
      <w:tr>
        <w:trPr>
          <w:trHeight w:val="238"/>
        </w:trPr>
        <w:tc>
          <w:tcPr>
            <w:tcW w:w="3580" w:type="dxa"/>
            <w:vAlign w:val="bottom"/>
          </w:tcPr>
          <w:p>
            <w:pPr>
              <w:spacing w:after="0"/>
              <w:rPr>
                <w:sz w:val="20"/>
                <w:szCs w:val="20"/>
                <w:color w:val="auto"/>
              </w:rPr>
            </w:pPr>
          </w:p>
        </w:tc>
        <w:tc>
          <w:tcPr>
            <w:tcW w:w="11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Stores</w:t>
            </w:r>
          </w:p>
        </w:tc>
      </w:tr>
      <w:tr>
        <w:trPr>
          <w:trHeight w:val="27"/>
        </w:trPr>
        <w:tc>
          <w:tcPr>
            <w:tcW w:w="35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0"/>
        </w:trPr>
        <w:tc>
          <w:tcPr>
            <w:tcW w:w="3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Store count at December 31, 2016</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r>
      <w:tr>
        <w:trPr>
          <w:trHeight w:val="27"/>
        </w:trPr>
        <w:tc>
          <w:tcPr>
            <w:tcW w:w="3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Openings</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Closings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35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Store count at July 1, 2017</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r>
      <w:tr>
        <w:trPr>
          <w:trHeight w:val="20"/>
        </w:trPr>
        <w:tc>
          <w:tcPr>
            <w:tcW w:w="35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92"/>
        </w:trPr>
        <w:tc>
          <w:tcPr>
            <w:tcW w:w="3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Approximate new store projections for all of</w:t>
            </w:r>
          </w:p>
        </w:tc>
        <w:tc>
          <w:tcPr>
            <w:tcW w:w="1180" w:type="dxa"/>
            <w:vAlign w:val="bottom"/>
            <w:shd w:val="clear" w:color="auto" w:fill="CCEEFF"/>
          </w:tcPr>
          <w:p>
            <w:pPr>
              <w:spacing w:after="0"/>
              <w:rPr>
                <w:sz w:val="18"/>
                <w:szCs w:val="18"/>
                <w:color w:val="auto"/>
              </w:rPr>
            </w:pPr>
          </w:p>
        </w:tc>
      </w:tr>
      <w:tr>
        <w:trPr>
          <w:trHeight w:val="225"/>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fiscal 2017:</w:t>
            </w:r>
          </w:p>
        </w:tc>
        <w:tc>
          <w:tcPr>
            <w:tcW w:w="1180" w:type="dxa"/>
            <w:vAlign w:val="bottom"/>
            <w:tcBorders>
              <w:bottom w:val="single" w:sz="8" w:color="CCEEFF"/>
            </w:tcBorders>
            <w:shd w:val="clear" w:color="auto" w:fill="CCEEFF"/>
          </w:tcPr>
          <w:p>
            <w:pPr>
              <w:spacing w:after="0"/>
              <w:rPr>
                <w:sz w:val="19"/>
                <w:szCs w:val="19"/>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Openings</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3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Closings</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35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117" w:right="259" w:bottom="1440" w:gutter="0" w:footer="0" w:header="0"/>
        </w:sectPr>
      </w:pPr>
    </w:p>
    <w:bookmarkStart w:id="38" w:name="page39"/>
    <w:bookmarkEnd w:id="38"/>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 AND GROSS PROFIT</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consolidated gross margin decreased from 44.1% in the second quarter of fiscal 2016 to 43.8% in the second quarter of fiscal 2017 primarily due to lower margins in our wholesale channels and higher provisions for inventory, partially offset by an increase in net sales for our higher-margin retail business. Our consolidated gross profit increased $21.3 million, or 7.5%, to $303.5 million in the second quarter of fiscal 2017 from $282.2 million in the second quarter of fiscal 2016 primarily due to the increase in net sales.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consolidated gross margin was 43.5% for the first two quarters of fiscal 2016 and 2017. Our consolidated gross profit increased $26.1 million, or 4.4%, to $619.3 million in the first two quarters of fiscal 2017 from $593.1 million in the first two quarters of fiscal 2016 primarily due to the increase in net sales.</w:t>
      </w:r>
    </w:p>
    <w:p>
      <w:pPr>
        <w:spacing w:after="0" w:line="162"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We include distribution costs in selling, general, and administrative ("SG&amp;A") expenses. Accordingly, our gross margin and gross profit may not be comparable to other entities that include such distribution costs in their cost of goods sold.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Consolidated SG&amp;A expenses in the second quarter of fiscal 2017 increased $21.7 million, or 9.5%, to $250.1 million from $228.5 million in the second quarter of fiscal 2016. As a percentage of net sales, SG&amp;A expenses increased from 35.7% in the second quarter of fiscal 2016 to 36.1% in the second quarter of fiscal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SG&amp;A expenses, as a percentage of net sales, in the second quarter of fiscal 2017 primarily reflected a:</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million increase in expenses related to retail store operations, primarily due to new store openings;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million increase in expenses related to selling, distribution, and administrative expenses for Skip Hop;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million increase in expenses related to eCommerce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increase in expenses related to marketing and brand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increase in performance-based compensation expenses;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increase in expenses related to business development.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were partially offset by a:</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million decrease in other general and administrative expenses;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decrease in information technology and systems costs;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decrease in amortization of the H.W.Carter &amp; Sons trademarks.</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Consolidated SG&amp;A expenses in the first two quarters of fiscal 2017 increased $40.5 million, or 8.8%, to $497.9 million from $457.5 million in the first two quarters of fiscal 2016. As a percentage of net sales, SG&amp;A expenses increased from 33.5% in the first two quarters of fiscal 2016 to 34.9% in the first two quarters of fiscal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SG&amp;A expenses, as a percentage of net sales, in the first two quarters of fiscal 2017 primarily reflected a:</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$21.8 million increase in expenses related to retail store operations, primarily due to new store openings;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 million increase in expenses related to selling, distribution, and administrative expenses for Skip Hop;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million increase in expenses related to eCommerce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million increase in expenses related to marketing and brand management;</w:t>
      </w:r>
    </w:p>
    <w:p>
      <w:pPr>
        <w:spacing w:after="0" w:line="9" w:lineRule="exact"/>
        <w:rPr>
          <w:rFonts w:ascii="Times New Roman" w:cs="Times New Roman" w:eastAsia="Times New Roman" w:hAnsi="Times New Roman"/>
          <w:sz w:val="18"/>
          <w:szCs w:val="18"/>
          <w:color w:val="auto"/>
        </w:rPr>
      </w:pPr>
    </w:p>
    <w:p>
      <w:pPr>
        <w:ind w:left="660" w:right="280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million increase in expenses related to Skip Hop acquisition costs, direct sourcing initiatives and business development; and</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increase in performance-based compensation expenses.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were partially offset by a:</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million decrease in information technology and systems costs;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decrease in amortization of the H.W.Carter &amp; Sons trademarks;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decrease in other general and administrative expenses.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7" w:right="239" w:bottom="1440" w:gutter="0" w:footer="0" w:header="0"/>
        </w:sectPr>
      </w:pPr>
    </w:p>
    <w:bookmarkStart w:id="39" w:name="page40"/>
    <w:bookmarkEnd w:id="39"/>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license the use of our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Just One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Child of Mine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OshKosh B'gosh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Genuine Kids from OshKosh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Precious Firsts</w:t>
      </w:r>
      <w:r>
        <w:rPr>
          <w:rFonts w:ascii="Times New Roman" w:cs="Times New Roman" w:eastAsia="Times New Roman" w:hAnsi="Times New Roman"/>
          <w:sz w:val="18"/>
          <w:szCs w:val="18"/>
          <w:color w:val="auto"/>
        </w:rPr>
        <w:t xml:space="preserve"> brand names.</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Royalty income from these brands for the second quarter of fiscal 2017 increased $1.7 million, or 17.7%, to $11.2 million from $9.5 million in the second quarter of fiscal 2016. Royalty income from these brands for the first two quarters of fiscal 2017 increased $1.2 million, or 5.7%, to $21.8 million from $20.6 million in the first two quarters of fiscal 2016. These increases were primarily attributable to sales growth from our domestic licensees, partially offset by decreases in income from certain licensees due to the insourcing of formerly licensed product categories.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operating income increased $1.3 million, or 2.0%, to $64.5 million in the second quarter of fiscal 2017 from $63.2 million in the second quarter of fiscal 2016. Consolidated operating income decreased $13.2 million, or 8.4%, to $143.1 million in the first two quarters of fiscal 2017 from $156.3 million in the first two quarters of fiscal 2016.</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Consolidated operating margin decreased from 9.9% in the second quarter of fiscal 2016 to 9.3% in the second quarter of fiscal 2017. Consolidated operating margin decreased from 11.5% in the first two quarters of fiscal 2016 to 10.0% in the first two quarters of fiscal 2017. The tables below summarize the changes in each of our segments' operating results and unallocated corporate expenses between the fiscal periods indicated:</w:t>
      </w:r>
    </w:p>
    <w:p>
      <w:pPr>
        <w:spacing w:after="0" w:line="334"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Wholesale</w:t>
            </w: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U.S. Retail</w:t>
            </w:r>
          </w:p>
        </w:tc>
        <w:tc>
          <w:tcPr>
            <w:tcW w:w="14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8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0" w:type="dxa"/>
            <w:vAlign w:val="bottom"/>
          </w:tcPr>
          <w:p>
            <w:pPr>
              <w:spacing w:after="0"/>
              <w:rPr>
                <w:sz w:val="20"/>
                <w:szCs w:val="20"/>
                <w:color w:val="auto"/>
              </w:rPr>
            </w:pPr>
          </w:p>
        </w:tc>
        <w:tc>
          <w:tcPr>
            <w:tcW w:w="800" w:type="dxa"/>
            <w:vAlign w:val="bottom"/>
          </w:tcPr>
          <w:p>
            <w:pPr>
              <w:jc w:val="right"/>
              <w:ind w:right="217"/>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 for second</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quarter of fiscal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41,509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63,243</w:t>
            </w:r>
          </w:p>
        </w:tc>
        <w:tc>
          <w:tcPr>
            <w:tcW w:w="0" w:type="dxa"/>
            <w:vAlign w:val="bottom"/>
          </w:tcPr>
          <w:p>
            <w:pPr>
              <w:spacing w:after="0"/>
              <w:rPr>
                <w:sz w:val="1"/>
                <w:szCs w:val="1"/>
                <w:color w:val="auto"/>
              </w:rPr>
            </w:pPr>
          </w:p>
        </w:tc>
      </w:tr>
      <w:tr>
        <w:trPr>
          <w:trHeight w:val="153"/>
        </w:trPr>
        <w:tc>
          <w:tcPr>
            <w:tcW w:w="294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Favorable (unfavorable) change in the second</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quarter of fiscal 2017</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9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21,275</w:t>
            </w:r>
          </w:p>
        </w:tc>
        <w:tc>
          <w:tcPr>
            <w:tcW w:w="0" w:type="dxa"/>
            <w:vAlign w:val="bottom"/>
          </w:tcPr>
          <w:p>
            <w:pPr>
              <w:spacing w:after="0"/>
              <w:rPr>
                <w:sz w:val="1"/>
                <w:szCs w:val="1"/>
                <w:color w:val="auto"/>
              </w:rPr>
            </w:pPr>
          </w:p>
        </w:tc>
      </w:tr>
      <w:tr>
        <w:trPr>
          <w:trHeight w:val="237"/>
        </w:trPr>
        <w:tc>
          <w:tcPr>
            <w:tcW w:w="29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Royalty income</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SG&amp;A expenses</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(21,682)</w:t>
            </w:r>
          </w:p>
        </w:tc>
        <w:tc>
          <w:tcPr>
            <w:tcW w:w="0" w:type="dxa"/>
            <w:vAlign w:val="bottom"/>
          </w:tcPr>
          <w:p>
            <w:pPr>
              <w:spacing w:after="0"/>
              <w:rPr>
                <w:sz w:val="1"/>
                <w:szCs w:val="1"/>
                <w:color w:val="auto"/>
              </w:rPr>
            </w:pPr>
          </w:p>
        </w:tc>
      </w:tr>
      <w:tr>
        <w:trPr>
          <w:trHeight w:val="194"/>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 for second</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35,806</w:t>
            </w:r>
          </w:p>
        </w:tc>
        <w:tc>
          <w:tcPr>
            <w:tcW w:w="120" w:type="dxa"/>
            <w:vAlign w:val="bottom"/>
          </w:tcPr>
          <w:p>
            <w:pPr>
              <w:spacing w:after="0"/>
              <w:rPr>
                <w:sz w:val="16"/>
                <w:szCs w:val="16"/>
                <w:color w:val="auto"/>
              </w:rPr>
            </w:pPr>
          </w:p>
        </w:tc>
        <w:tc>
          <w:tcPr>
            <w:tcW w:w="260" w:type="dxa"/>
            <w:vAlign w:val="bottom"/>
            <w:tcBorders>
              <w:top w:val="single" w:sz="8" w:color="auto"/>
            </w:tcBorders>
            <w:vMerge w:val="restart"/>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42,342</w:t>
            </w:r>
          </w:p>
        </w:tc>
        <w:tc>
          <w:tcPr>
            <w:tcW w:w="120" w:type="dxa"/>
            <w:vAlign w:val="bottom"/>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7,597</w:t>
            </w:r>
          </w:p>
        </w:tc>
        <w:tc>
          <w:tcPr>
            <w:tcW w:w="120" w:type="dxa"/>
            <w:vAlign w:val="bottom"/>
          </w:tcPr>
          <w:p>
            <w:pPr>
              <w:spacing w:after="0"/>
              <w:rPr>
                <w:sz w:val="16"/>
                <w:szCs w:val="16"/>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(21,224)</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64,521</w:t>
            </w:r>
          </w:p>
        </w:tc>
        <w:tc>
          <w:tcPr>
            <w:tcW w:w="0" w:type="dxa"/>
            <w:vAlign w:val="bottom"/>
          </w:tcPr>
          <w:p>
            <w:pPr>
              <w:spacing w:after="0"/>
              <w:rPr>
                <w:sz w:val="1"/>
                <w:szCs w:val="1"/>
                <w:color w:val="auto"/>
              </w:rPr>
            </w:pPr>
          </w:p>
        </w:tc>
      </w:tr>
      <w:tr>
        <w:trPr>
          <w:trHeight w:val="265"/>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quarter of fiscal 2017</w:t>
            </w:r>
          </w:p>
        </w:tc>
        <w:tc>
          <w:tcPr>
            <w:tcW w:w="120" w:type="dxa"/>
            <w:vAlign w:val="bottom"/>
            <w:tcBorders>
              <w:bottom w:val="single" w:sz="8" w:color="auto"/>
            </w:tcBorders>
            <w:vMerge w:val="continue"/>
          </w:tcPr>
          <w:p>
            <w:pPr>
              <w:spacing w:after="0"/>
              <w:rPr>
                <w:sz w:val="23"/>
                <w:szCs w:val="23"/>
                <w:color w:val="auto"/>
              </w:rPr>
            </w:pPr>
          </w:p>
        </w:tc>
        <w:tc>
          <w:tcPr>
            <w:tcW w:w="98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vMerge w:val="continue"/>
          </w:tcPr>
          <w:p>
            <w:pPr>
              <w:spacing w:after="0"/>
              <w:rPr>
                <w:sz w:val="23"/>
                <w:szCs w:val="23"/>
                <w:color w:val="auto"/>
              </w:rPr>
            </w:pPr>
          </w:p>
        </w:tc>
        <w:tc>
          <w:tcPr>
            <w:tcW w:w="74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vMerge w:val="continue"/>
          </w:tcPr>
          <w:p>
            <w:pPr>
              <w:spacing w:after="0"/>
              <w:rPr>
                <w:sz w:val="23"/>
                <w:szCs w:val="23"/>
                <w:color w:val="auto"/>
              </w:rPr>
            </w:pPr>
          </w:p>
        </w:tc>
        <w:tc>
          <w:tcPr>
            <w:tcW w:w="124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vMerge w:val="continue"/>
          </w:tcPr>
          <w:p>
            <w:pPr>
              <w:spacing w:after="0"/>
              <w:rPr>
                <w:sz w:val="23"/>
                <w:szCs w:val="23"/>
                <w:color w:val="auto"/>
              </w:rPr>
            </w:pPr>
          </w:p>
        </w:tc>
        <w:tc>
          <w:tcPr>
            <w:tcW w:w="120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vMerge w:val="continue"/>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Wholesale</w:t>
            </w: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U.S. Retail</w:t>
            </w:r>
          </w:p>
        </w:tc>
        <w:tc>
          <w:tcPr>
            <w:tcW w:w="14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8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0" w:type="dxa"/>
            <w:vAlign w:val="bottom"/>
          </w:tcPr>
          <w:p>
            <w:pPr>
              <w:spacing w:after="0"/>
              <w:rPr>
                <w:sz w:val="20"/>
                <w:szCs w:val="20"/>
                <w:color w:val="auto"/>
              </w:rPr>
            </w:pPr>
          </w:p>
        </w:tc>
        <w:tc>
          <w:tcPr>
            <w:tcW w:w="800" w:type="dxa"/>
            <w:vAlign w:val="bottom"/>
          </w:tcPr>
          <w:p>
            <w:pPr>
              <w:jc w:val="right"/>
              <w:ind w:right="217"/>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 for two</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quarters of fiscal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109,920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76,421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(47,636)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156,251</w:t>
            </w:r>
          </w:p>
        </w:tc>
        <w:tc>
          <w:tcPr>
            <w:tcW w:w="0" w:type="dxa"/>
            <w:vAlign w:val="bottom"/>
          </w:tcPr>
          <w:p>
            <w:pPr>
              <w:spacing w:after="0"/>
              <w:rPr>
                <w:sz w:val="1"/>
                <w:szCs w:val="1"/>
                <w:color w:val="auto"/>
              </w:rPr>
            </w:pPr>
          </w:p>
        </w:tc>
      </w:tr>
      <w:tr>
        <w:trPr>
          <w:trHeight w:val="153"/>
        </w:trPr>
        <w:tc>
          <w:tcPr>
            <w:tcW w:w="294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Favorable (unfavorable) change in the two</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quarters of fiscal 2017</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9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26,148</w:t>
            </w:r>
          </w:p>
        </w:tc>
        <w:tc>
          <w:tcPr>
            <w:tcW w:w="0" w:type="dxa"/>
            <w:vAlign w:val="bottom"/>
          </w:tcPr>
          <w:p>
            <w:pPr>
              <w:spacing w:after="0"/>
              <w:rPr>
                <w:sz w:val="1"/>
                <w:szCs w:val="1"/>
                <w:color w:val="auto"/>
              </w:rPr>
            </w:pPr>
          </w:p>
        </w:tc>
      </w:tr>
      <w:tr>
        <w:trPr>
          <w:trHeight w:val="237"/>
        </w:trPr>
        <w:tc>
          <w:tcPr>
            <w:tcW w:w="29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Royalty income</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SG&amp;A expenses</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(40,480)</w:t>
            </w:r>
          </w:p>
        </w:tc>
        <w:tc>
          <w:tcPr>
            <w:tcW w:w="0" w:type="dxa"/>
            <w:vAlign w:val="bottom"/>
          </w:tcPr>
          <w:p>
            <w:pPr>
              <w:spacing w:after="0"/>
              <w:rPr>
                <w:sz w:val="1"/>
                <w:szCs w:val="1"/>
                <w:color w:val="auto"/>
              </w:rPr>
            </w:pPr>
          </w:p>
        </w:tc>
      </w:tr>
      <w:tr>
        <w:trPr>
          <w:trHeight w:val="194"/>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 for two</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105,501</w:t>
            </w:r>
          </w:p>
        </w:tc>
        <w:tc>
          <w:tcPr>
            <w:tcW w:w="120" w:type="dxa"/>
            <w:vAlign w:val="bottom"/>
          </w:tcPr>
          <w:p>
            <w:pPr>
              <w:spacing w:after="0"/>
              <w:rPr>
                <w:sz w:val="16"/>
                <w:szCs w:val="16"/>
                <w:color w:val="auto"/>
              </w:rPr>
            </w:pPr>
          </w:p>
        </w:tc>
        <w:tc>
          <w:tcPr>
            <w:tcW w:w="260" w:type="dxa"/>
            <w:vAlign w:val="bottom"/>
            <w:tcBorders>
              <w:top w:val="single" w:sz="8" w:color="auto"/>
            </w:tcBorders>
            <w:vMerge w:val="restart"/>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72,242</w:t>
            </w:r>
          </w:p>
        </w:tc>
        <w:tc>
          <w:tcPr>
            <w:tcW w:w="120" w:type="dxa"/>
            <w:vAlign w:val="bottom"/>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11,282</w:t>
            </w:r>
          </w:p>
        </w:tc>
        <w:tc>
          <w:tcPr>
            <w:tcW w:w="120" w:type="dxa"/>
            <w:vAlign w:val="bottom"/>
          </w:tcPr>
          <w:p>
            <w:pPr>
              <w:spacing w:after="0"/>
              <w:rPr>
                <w:sz w:val="16"/>
                <w:szCs w:val="16"/>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(45,938)</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143,087</w:t>
            </w:r>
          </w:p>
        </w:tc>
        <w:tc>
          <w:tcPr>
            <w:tcW w:w="0" w:type="dxa"/>
            <w:vAlign w:val="bottom"/>
          </w:tcPr>
          <w:p>
            <w:pPr>
              <w:spacing w:after="0"/>
              <w:rPr>
                <w:sz w:val="1"/>
                <w:szCs w:val="1"/>
                <w:color w:val="auto"/>
              </w:rPr>
            </w:pPr>
          </w:p>
        </w:tc>
      </w:tr>
      <w:tr>
        <w:trPr>
          <w:trHeight w:val="265"/>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quarters of fiscal 2017</w:t>
            </w:r>
          </w:p>
        </w:tc>
        <w:tc>
          <w:tcPr>
            <w:tcW w:w="120" w:type="dxa"/>
            <w:vAlign w:val="bottom"/>
            <w:tcBorders>
              <w:bottom w:val="single" w:sz="8" w:color="auto"/>
            </w:tcBorders>
            <w:vMerge w:val="continue"/>
          </w:tcPr>
          <w:p>
            <w:pPr>
              <w:spacing w:after="0"/>
              <w:rPr>
                <w:sz w:val="23"/>
                <w:szCs w:val="23"/>
                <w:color w:val="auto"/>
              </w:rPr>
            </w:pPr>
          </w:p>
        </w:tc>
        <w:tc>
          <w:tcPr>
            <w:tcW w:w="98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vMerge w:val="continue"/>
          </w:tcPr>
          <w:p>
            <w:pPr>
              <w:spacing w:after="0"/>
              <w:rPr>
                <w:sz w:val="23"/>
                <w:szCs w:val="23"/>
                <w:color w:val="auto"/>
              </w:rPr>
            </w:pPr>
          </w:p>
        </w:tc>
        <w:tc>
          <w:tcPr>
            <w:tcW w:w="74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vMerge w:val="continue"/>
          </w:tcPr>
          <w:p>
            <w:pPr>
              <w:spacing w:after="0"/>
              <w:rPr>
                <w:sz w:val="23"/>
                <w:szCs w:val="23"/>
                <w:color w:val="auto"/>
              </w:rPr>
            </w:pPr>
          </w:p>
        </w:tc>
        <w:tc>
          <w:tcPr>
            <w:tcW w:w="124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vMerge w:val="continue"/>
          </w:tcPr>
          <w:p>
            <w:pPr>
              <w:spacing w:after="0"/>
              <w:rPr>
                <w:sz w:val="23"/>
                <w:szCs w:val="23"/>
                <w:color w:val="auto"/>
              </w:rPr>
            </w:pPr>
          </w:p>
        </w:tc>
        <w:tc>
          <w:tcPr>
            <w:tcW w:w="120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vMerge w:val="continue"/>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60"/>
          </w:cols>
          <w:pgMar w:left="240" w:top="117" w:right="299" w:bottom="1440" w:gutter="0" w:footer="0" w:header="0"/>
        </w:sectPr>
      </w:pPr>
    </w:p>
    <w:bookmarkStart w:id="40" w:name="page41"/>
    <w:bookmarkEnd w:id="40"/>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tables present changes in the operating margin for each of our three operating segments. The primary drivers of these changes are presented in terms of the difference in each driver's margin (based on net sales) between the respective periods, in each case expressed in basis points ("bps"). The first table presents the changes between the second quarter of fiscal 2016 and the second quarter of fiscal 2017. The second table presents the changes between the first two quarters of fiscal 2016 and the first two quarters of fiscal 2017.</w:t>
      </w:r>
    </w:p>
    <w:p>
      <w:pPr>
        <w:spacing w:after="0" w:line="122" w:lineRule="exact"/>
        <w:rPr>
          <w:sz w:val="20"/>
          <w:szCs w:val="20"/>
          <w:color w:val="auto"/>
        </w:rPr>
      </w:pPr>
    </w:p>
    <w:tbl>
      <w:tblPr>
        <w:tblLayout w:type="fixed"/>
        <w:tblInd w:w="216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U.S. Wholesale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 Retail</w:t>
            </w:r>
          </w:p>
        </w:tc>
        <w:tc>
          <w:tcPr>
            <w:tcW w:w="1500" w:type="dxa"/>
            <w:vAlign w:val="bottom"/>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margin for the second</w:t>
            </w: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quarter of fiscal 2016</w:t>
            </w:r>
          </w:p>
        </w:tc>
        <w:tc>
          <w:tcPr>
            <w:tcW w:w="12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153"/>
        </w:trPr>
        <w:tc>
          <w:tcPr>
            <w:tcW w:w="294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Favorable (unfavorable) bps change in the</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second quarter of fiscal 2017</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9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Gross profit</w:t>
            </w: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(80) bps</w:t>
            </w: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(60) bps</w:t>
            </w:r>
          </w:p>
        </w:tc>
        <w:tc>
          <w:tcPr>
            <w:tcW w:w="150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(140) bps</w:t>
            </w:r>
          </w:p>
        </w:tc>
        <w:tc>
          <w:tcPr>
            <w:tcW w:w="0" w:type="dxa"/>
            <w:vAlign w:val="bottom"/>
          </w:tcPr>
          <w:p>
            <w:pPr>
              <w:spacing w:after="0"/>
              <w:rPr>
                <w:sz w:val="1"/>
                <w:szCs w:val="1"/>
                <w:color w:val="auto"/>
              </w:rPr>
            </w:pPr>
          </w:p>
        </w:tc>
      </w:tr>
      <w:tr>
        <w:trPr>
          <w:trHeight w:val="237"/>
        </w:trPr>
        <w:tc>
          <w:tcPr>
            <w:tcW w:w="29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Royalty income</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(20) bps</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40 bps</w:t>
            </w:r>
          </w:p>
        </w:tc>
        <w:tc>
          <w:tcPr>
            <w:tcW w:w="150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(20) bps</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SG&amp;A expenses</w:t>
            </w: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(190) bps</w:t>
            </w: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50 bps</w:t>
            </w:r>
          </w:p>
        </w:tc>
        <w:tc>
          <w:tcPr>
            <w:tcW w:w="150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(190) bps</w:t>
            </w:r>
          </w:p>
        </w:tc>
        <w:tc>
          <w:tcPr>
            <w:tcW w:w="0" w:type="dxa"/>
            <w:vAlign w:val="bottom"/>
          </w:tcPr>
          <w:p>
            <w:pPr>
              <w:spacing w:after="0"/>
              <w:rPr>
                <w:sz w:val="1"/>
                <w:szCs w:val="1"/>
                <w:color w:val="auto"/>
              </w:rPr>
            </w:pPr>
          </w:p>
        </w:tc>
      </w:tr>
      <w:tr>
        <w:trPr>
          <w:trHeight w:val="194"/>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margin for the second</w:t>
            </w:r>
          </w:p>
        </w:tc>
        <w:tc>
          <w:tcPr>
            <w:tcW w:w="1220" w:type="dxa"/>
            <w:vAlign w:val="bottom"/>
            <w:tcBorders>
              <w:top w:val="single" w:sz="8" w:color="auto"/>
            </w:tcBorders>
            <w:vMerge w:val="restart"/>
          </w:tcPr>
          <w:p>
            <w:pPr>
              <w:ind w:left="740"/>
              <w:spacing w:after="0"/>
              <w:rPr>
                <w:sz w:val="20"/>
                <w:szCs w:val="20"/>
                <w:color w:val="auto"/>
              </w:rPr>
            </w:pPr>
            <w:r>
              <w:rPr>
                <w:rFonts w:ascii="Times New Roman" w:cs="Times New Roman" w:eastAsia="Times New Roman" w:hAnsi="Times New Roman"/>
                <w:sz w:val="16"/>
                <w:szCs w:val="16"/>
                <w:b w:val="1"/>
                <w:bCs w:val="1"/>
                <w:color w:val="auto"/>
              </w:rPr>
              <w:t>16.4%</w:t>
            </w:r>
          </w:p>
        </w:tc>
        <w:tc>
          <w:tcPr>
            <w:tcW w:w="120" w:type="dxa"/>
            <w:vAlign w:val="bottom"/>
          </w:tcPr>
          <w:p>
            <w:pPr>
              <w:spacing w:after="0"/>
              <w:rPr>
                <w:sz w:val="16"/>
                <w:szCs w:val="16"/>
                <w:color w:val="auto"/>
              </w:rPr>
            </w:pPr>
          </w:p>
        </w:tc>
        <w:tc>
          <w:tcPr>
            <w:tcW w:w="1240" w:type="dxa"/>
            <w:vAlign w:val="bottom"/>
            <w:tcBorders>
              <w:top w:val="single" w:sz="8" w:color="auto"/>
            </w:tcBorders>
            <w:vMerge w:val="restart"/>
          </w:tcPr>
          <w:p>
            <w:pPr>
              <w:ind w:left="760"/>
              <w:spacing w:after="0"/>
              <w:rPr>
                <w:sz w:val="20"/>
                <w:szCs w:val="20"/>
                <w:color w:val="auto"/>
              </w:rPr>
            </w:pPr>
            <w:r>
              <w:rPr>
                <w:rFonts w:ascii="Times New Roman" w:cs="Times New Roman" w:eastAsia="Times New Roman" w:hAnsi="Times New Roman"/>
                <w:sz w:val="16"/>
                <w:szCs w:val="16"/>
                <w:b w:val="1"/>
                <w:bCs w:val="1"/>
                <w:color w:val="auto"/>
              </w:rPr>
              <w:t>10.8%</w:t>
            </w:r>
          </w:p>
        </w:tc>
        <w:tc>
          <w:tcPr>
            <w:tcW w:w="100" w:type="dxa"/>
            <w:vAlign w:val="bottom"/>
          </w:tcPr>
          <w:p>
            <w:pPr>
              <w:spacing w:after="0"/>
              <w:rPr>
                <w:sz w:val="16"/>
                <w:szCs w:val="16"/>
                <w:color w:val="auto"/>
              </w:rPr>
            </w:pPr>
          </w:p>
        </w:tc>
        <w:tc>
          <w:tcPr>
            <w:tcW w:w="1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9.2%</w:t>
            </w:r>
          </w:p>
        </w:tc>
        <w:tc>
          <w:tcPr>
            <w:tcW w:w="0" w:type="dxa"/>
            <w:vAlign w:val="bottom"/>
          </w:tcPr>
          <w:p>
            <w:pPr>
              <w:spacing w:after="0"/>
              <w:rPr>
                <w:sz w:val="1"/>
                <w:szCs w:val="1"/>
                <w:color w:val="auto"/>
              </w:rPr>
            </w:pPr>
          </w:p>
        </w:tc>
      </w:tr>
      <w:tr>
        <w:trPr>
          <w:trHeight w:val="265"/>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quarter of fiscal 2017</w:t>
            </w:r>
          </w:p>
        </w:tc>
        <w:tc>
          <w:tcPr>
            <w:tcW w:w="122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9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6"/>
              </w:rPr>
              <w:t>(b)</w:t>
            </w:r>
          </w:p>
        </w:tc>
        <w:tc>
          <w:tcPr>
            <w:tcW w:w="1500" w:type="dxa"/>
            <w:vAlign w:val="bottom"/>
            <w:shd w:val="clear" w:color="auto" w:fill="CCEEFF"/>
          </w:tcPr>
          <w:p>
            <w:pPr>
              <w:jc w:val="right"/>
              <w:ind w:right="578"/>
              <w:spacing w:after="0"/>
              <w:rPr>
                <w:sz w:val="20"/>
                <w:szCs w:val="20"/>
                <w:color w:val="auto"/>
              </w:rPr>
            </w:pPr>
            <w:r>
              <w:rPr>
                <w:rFonts w:ascii="Times New Roman" w:cs="Times New Roman" w:eastAsia="Times New Roman" w:hAnsi="Times New Roman"/>
                <w:sz w:val="16"/>
                <w:szCs w:val="16"/>
                <w:color w:val="auto"/>
              </w:rPr>
              <w:t>(c)</w:t>
            </w:r>
          </w:p>
        </w:tc>
        <w:tc>
          <w:tcPr>
            <w:tcW w:w="0" w:type="dxa"/>
            <w:vAlign w:val="bottom"/>
          </w:tcPr>
          <w:p>
            <w:pPr>
              <w:spacing w:after="0"/>
              <w:rPr>
                <w:sz w:val="1"/>
                <w:szCs w:val="1"/>
                <w:color w:val="auto"/>
              </w:rPr>
            </w:pPr>
          </w:p>
        </w:tc>
      </w:tr>
      <w:tr>
        <w:trPr>
          <w:trHeight w:val="33"/>
        </w:trPr>
        <w:tc>
          <w:tcPr>
            <w:tcW w:w="29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tbl>
      <w:tblPr>
        <w:tblLayout w:type="fixed"/>
        <w:tblInd w:w="216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U.S. Wholesale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U.S. Retail</w:t>
            </w:r>
          </w:p>
        </w:tc>
        <w:tc>
          <w:tcPr>
            <w:tcW w:w="1500" w:type="dxa"/>
            <w:vAlign w:val="bottom"/>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margin for the first two</w:t>
            </w: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quarters of fiscal 2016</w:t>
            </w:r>
          </w:p>
        </w:tc>
        <w:tc>
          <w:tcPr>
            <w:tcW w:w="12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153"/>
        </w:trPr>
        <w:tc>
          <w:tcPr>
            <w:tcW w:w="296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Favorable (unfavorable) bps change in the</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first two quarters of fiscal 2017</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96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Gross profit</w:t>
            </w: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10 bps</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(50) bps</w:t>
            </w:r>
          </w:p>
        </w:tc>
        <w:tc>
          <w:tcPr>
            <w:tcW w:w="150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(130) bps</w:t>
            </w:r>
          </w:p>
        </w:tc>
        <w:tc>
          <w:tcPr>
            <w:tcW w:w="0" w:type="dxa"/>
            <w:vAlign w:val="bottom"/>
          </w:tcPr>
          <w:p>
            <w:pPr>
              <w:spacing w:after="0"/>
              <w:rPr>
                <w:sz w:val="1"/>
                <w:szCs w:val="1"/>
                <w:color w:val="auto"/>
              </w:rPr>
            </w:pPr>
          </w:p>
        </w:tc>
      </w:tr>
      <w:tr>
        <w:trPr>
          <w:trHeight w:val="237"/>
        </w:trPr>
        <w:tc>
          <w:tcPr>
            <w:tcW w:w="29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Royalty income</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 bps</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30 bps</w:t>
            </w:r>
          </w:p>
        </w:tc>
        <w:tc>
          <w:tcPr>
            <w:tcW w:w="150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(60) bps</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SG&amp;A expenses</w:t>
            </w: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(100) bps</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 bps</w:t>
            </w:r>
          </w:p>
        </w:tc>
        <w:tc>
          <w:tcPr>
            <w:tcW w:w="150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(270) bps</w:t>
            </w:r>
          </w:p>
        </w:tc>
        <w:tc>
          <w:tcPr>
            <w:tcW w:w="0" w:type="dxa"/>
            <w:vAlign w:val="bottom"/>
          </w:tcPr>
          <w:p>
            <w:pPr>
              <w:spacing w:after="0"/>
              <w:rPr>
                <w:sz w:val="1"/>
                <w:szCs w:val="1"/>
                <w:color w:val="auto"/>
              </w:rPr>
            </w:pPr>
          </w:p>
        </w:tc>
      </w:tr>
      <w:tr>
        <w:trPr>
          <w:trHeight w:val="194"/>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margin for the first two</w:t>
            </w:r>
          </w:p>
        </w:tc>
        <w:tc>
          <w:tcPr>
            <w:tcW w:w="1220" w:type="dxa"/>
            <w:vAlign w:val="bottom"/>
            <w:tcBorders>
              <w:top w:val="single" w:sz="8" w:color="auto"/>
            </w:tcBorders>
            <w:vMerge w:val="restart"/>
          </w:tcPr>
          <w:p>
            <w:pPr>
              <w:ind w:left="740"/>
              <w:spacing w:after="0"/>
              <w:rPr>
                <w:sz w:val="20"/>
                <w:szCs w:val="20"/>
                <w:color w:val="auto"/>
              </w:rPr>
            </w:pPr>
            <w:r>
              <w:rPr>
                <w:rFonts w:ascii="Times New Roman" w:cs="Times New Roman" w:eastAsia="Times New Roman" w:hAnsi="Times New Roman"/>
                <w:sz w:val="16"/>
                <w:szCs w:val="16"/>
                <w:b w:val="1"/>
                <w:bCs w:val="1"/>
                <w:color w:val="auto"/>
              </w:rPr>
              <w:t>20.7%</w:t>
            </w:r>
          </w:p>
        </w:tc>
        <w:tc>
          <w:tcPr>
            <w:tcW w:w="120" w:type="dxa"/>
            <w:vAlign w:val="bottom"/>
          </w:tcPr>
          <w:p>
            <w:pPr>
              <w:spacing w:after="0"/>
              <w:rPr>
                <w:sz w:val="16"/>
                <w:szCs w:val="16"/>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9.6%</w:t>
            </w:r>
          </w:p>
        </w:tc>
        <w:tc>
          <w:tcPr>
            <w:tcW w:w="100" w:type="dxa"/>
            <w:vAlign w:val="bottom"/>
          </w:tcPr>
          <w:p>
            <w:pPr>
              <w:spacing w:after="0"/>
              <w:rPr>
                <w:sz w:val="16"/>
                <w:szCs w:val="16"/>
                <w:color w:val="auto"/>
              </w:rPr>
            </w:pPr>
          </w:p>
        </w:tc>
        <w:tc>
          <w:tcPr>
            <w:tcW w:w="1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7.1%</w:t>
            </w:r>
          </w:p>
        </w:tc>
        <w:tc>
          <w:tcPr>
            <w:tcW w:w="0" w:type="dxa"/>
            <w:vAlign w:val="bottom"/>
          </w:tcPr>
          <w:p>
            <w:pPr>
              <w:spacing w:after="0"/>
              <w:rPr>
                <w:sz w:val="1"/>
                <w:szCs w:val="1"/>
                <w:color w:val="auto"/>
              </w:rPr>
            </w:pPr>
          </w:p>
        </w:tc>
      </w:tr>
      <w:tr>
        <w:trPr>
          <w:trHeight w:val="265"/>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quarters of fiscal 2017</w:t>
            </w:r>
          </w:p>
        </w:tc>
        <w:tc>
          <w:tcPr>
            <w:tcW w:w="122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9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6"/>
              </w:rPr>
              <w:t>(aa)</w:t>
            </w: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(bb)</w:t>
            </w:r>
          </w:p>
        </w:tc>
        <w:tc>
          <w:tcPr>
            <w:tcW w:w="1500" w:type="dxa"/>
            <w:vAlign w:val="bottom"/>
            <w:shd w:val="clear" w:color="auto" w:fill="CCEEFF"/>
          </w:tcPr>
          <w:p>
            <w:pPr>
              <w:jc w:val="right"/>
              <w:ind w:right="538"/>
              <w:spacing w:after="0"/>
              <w:rPr>
                <w:sz w:val="20"/>
                <w:szCs w:val="20"/>
                <w:color w:val="auto"/>
              </w:rPr>
            </w:pPr>
            <w:r>
              <w:rPr>
                <w:rFonts w:ascii="Times New Roman" w:cs="Times New Roman" w:eastAsia="Times New Roman" w:hAnsi="Times New Roman"/>
                <w:sz w:val="16"/>
                <w:szCs w:val="16"/>
                <w:color w:val="auto"/>
              </w:rPr>
              <w:t>(cc)</w:t>
            </w:r>
          </w:p>
        </w:tc>
        <w:tc>
          <w:tcPr>
            <w:tcW w:w="0" w:type="dxa"/>
            <w:vAlign w:val="bottom"/>
          </w:tcPr>
          <w:p>
            <w:pPr>
              <w:spacing w:after="0"/>
              <w:rPr>
                <w:sz w:val="1"/>
                <w:szCs w:val="1"/>
                <w:color w:val="auto"/>
              </w:rPr>
            </w:pPr>
          </w:p>
        </w:tc>
      </w:tr>
      <w:tr>
        <w:trPr>
          <w:trHeight w:val="33"/>
        </w:trPr>
        <w:tc>
          <w:tcPr>
            <w:tcW w:w="29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80" w:firstLine="8"/>
        <w:spacing w:after="0" w:line="266" w:lineRule="auto"/>
        <w:tabs>
          <w:tab w:leader="none" w:pos="24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Wholesale segment operating income in the second quarter of fiscal 2017 decreased $5.7 million, or 13.7%, to $35.8 million from $41.5 million in the second quarter of fiscal 2016. The segment's operating margin decreased 290 bps from 19.3% in the second quarter of fiscal 2016 to 16.4% in the second quarter of fiscal 2017. The primary drivers of the change in operating margin were a:</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bps decrease in gross profit primarily due to higher customer support and sourcing costs;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 bps increase in SG&amp;A expenses, primarily due to a:</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120bps increase in administrative, distribution, and selling expenses;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bps increase in marketing and brand management expenses;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increase in provisions for accounts receivable;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decrease in royalty income due to the insourcing of formerly licensed product categories.</w:t>
      </w:r>
    </w:p>
    <w:p>
      <w:pPr>
        <w:spacing w:after="0" w:line="200" w:lineRule="exact"/>
        <w:rPr>
          <w:sz w:val="20"/>
          <w:szCs w:val="20"/>
          <w:color w:val="auto"/>
        </w:rPr>
      </w:pPr>
    </w:p>
    <w:p>
      <w:pPr>
        <w:spacing w:after="0" w:line="223" w:lineRule="exact"/>
        <w:rPr>
          <w:sz w:val="20"/>
          <w:szCs w:val="20"/>
          <w:color w:val="auto"/>
        </w:rPr>
      </w:pPr>
    </w:p>
    <w:p>
      <w:pPr>
        <w:jc w:val="both"/>
        <w:ind w:right="40" w:firstLine="8"/>
        <w:spacing w:after="0" w:line="266" w:lineRule="auto"/>
        <w:tabs>
          <w:tab w:leader="none" w:pos="3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Wholesale segment operating income in the first two quarters of fiscal 2017 decreased $4.4 million, or 4.0%, to $105.5 million from $109.9 million in the first two quarters of fiscal 2016. The segment's operating margin decreased 100 bps from 21.7% in the first two quarters of fiscal 2016 to 20.7% in the first two quarters of fiscal 2017. The primary drivers of the change in operating margin were a:</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bps increase in gross profit;</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bps increase in SG&amp;A expenses, primarily due to a:</w:t>
      </w: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80"/>
          </w:cols>
          <w:pgMar w:left="240" w:top="117" w:right="279" w:bottom="1440" w:gutter="0" w:footer="0" w:header="0"/>
        </w:sectPr>
      </w:pPr>
    </w:p>
    <w:bookmarkStart w:id="41" w:name="page42"/>
    <w:bookmarkEnd w:id="41"/>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ind w:left="1620" w:hanging="315"/>
        <w:spacing w:after="0"/>
        <w:tabs>
          <w:tab w:leader="none" w:pos="162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bps increase in distribution, selling, and administrative expenses;</w:t>
      </w:r>
    </w:p>
    <w:p>
      <w:pPr>
        <w:spacing w:after="0" w:line="27"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increase in marketing and brand management expenses; and</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bps decrease in provisions for accounts receivable.</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right="80" w:firstLine="8"/>
        <w:spacing w:after="0" w:line="266"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Retail segment operating income increased by $5.4 million, or 14.6%, to $42.3 million in the second quarter of fiscal 2017 from $37.0 million in the second quarter of fiscal 2016. This segment's operating margin increased 30 bps from 10.5% in the second quarter of fiscal 2016 to 10.8% in the second quarter of fiscal 2017. The primary drivers of the change in operating margin were a:</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bps decrease in gross profit due to increased promotional activity and provisions for inventory, partially offset by lower product costs;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bps decrease in SG&amp;A expenses, primarily due to a:</w:t>
      </w:r>
    </w:p>
    <w:p>
      <w:pPr>
        <w:spacing w:after="0" w:line="9" w:lineRule="exact"/>
        <w:rPr>
          <w:sz w:val="20"/>
          <w:szCs w:val="20"/>
          <w:color w:val="auto"/>
        </w:rPr>
      </w:pPr>
    </w:p>
    <w:p>
      <w:pPr>
        <w:ind w:left="1620" w:hanging="315"/>
        <w:spacing w:after="0"/>
        <w:tabs>
          <w:tab w:leader="none" w:pos="162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bps decrease in expenses associated with new retail stores;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increase in marketing and brand management expenses.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increase in expenses related to eCommerce expansion;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bps increase in royalty income due to sales growth from our domestic licensees.</w:t>
      </w:r>
    </w:p>
    <w:p>
      <w:pPr>
        <w:spacing w:after="0" w:line="206" w:lineRule="exact"/>
        <w:rPr>
          <w:rFonts w:ascii="Times New Roman" w:cs="Times New Roman" w:eastAsia="Times New Roman" w:hAnsi="Times New Roman"/>
          <w:sz w:val="18"/>
          <w:szCs w:val="18"/>
          <w:color w:val="auto"/>
        </w:rPr>
      </w:pPr>
    </w:p>
    <w:p>
      <w:pPr>
        <w:ind w:right="20" w:firstLine="8"/>
        <w:spacing w:after="0" w:line="266" w:lineRule="auto"/>
        <w:tabs>
          <w:tab w:leader="none" w:pos="3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Retail segment operating income decreased by $4.2 million, or 5.5%, to $72.2 million in the first two quarters of fiscal 2017 from $76.4 million in the first two quarters of fiscal 2016. This segment's operating margin decreased 120 bps from 10.8% in the first two quarters of fiscal 2016 to 9.6% in the first two quarters of fiscal 2017. The primary drivers of the change in operating margin were a:</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bps decrease in gross profit due to increased promotional activity and provisions for inventory, partially offset by lower products costs;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bps increase in SG&amp;A expenses, primarily due to a:</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bps increase in expenses associated with eCommerce expansion;</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increase in expenses associated with new retail stores;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increase in distribution and freight expenses;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increase in marketing and brand management expenses;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bps increase in royalty income due to sales growth from our domestic licensees.</w:t>
      </w:r>
    </w:p>
    <w:p>
      <w:pPr>
        <w:spacing w:after="0" w:line="200" w:lineRule="exact"/>
        <w:rPr>
          <w:sz w:val="20"/>
          <w:szCs w:val="20"/>
          <w:color w:val="auto"/>
        </w:rPr>
      </w:pPr>
    </w:p>
    <w:p>
      <w:pPr>
        <w:spacing w:after="0" w:line="223" w:lineRule="exact"/>
        <w:rPr>
          <w:sz w:val="20"/>
          <w:szCs w:val="20"/>
          <w:color w:val="auto"/>
        </w:rPr>
      </w:pPr>
    </w:p>
    <w:p>
      <w:pPr>
        <w:jc w:val="both"/>
        <w:ind w:right="100" w:firstLine="8"/>
        <w:spacing w:after="0" w:line="266" w:lineRule="auto"/>
        <w:tabs>
          <w:tab w:leader="none" w:pos="2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segment operating income decreased by $1.5 million, or 16.6%, to $7.6 million in the second quarter of fiscal 2017 from $9.1 million in the second quarter of 2016. This segment's operating margin decreased 350 bps from 12.7% in the second quarter of fiscal 2016 to 9.2% in the second quarter of fiscal 2017. The primary drivers of the change in operating margin were a:</w:t>
      </w:r>
    </w:p>
    <w:p>
      <w:pPr>
        <w:spacing w:after="0" w:line="176"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 bps decrease in gross profit primarily due to a lower average gross margin for wholesale business and unfavorable foreign currency impacts, partially offset by lower provisions for inventory;</w:t>
      </w:r>
    </w:p>
    <w:p>
      <w:pPr>
        <w:ind w:left="980" w:hanging="324"/>
        <w:spacing w:after="0"/>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 bps increase in SG&amp;A expenses, primarily due to a:</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bps increase in expenses associated with new retail stores;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bps increase in provisions for accounts receivable;</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bps increase in selling and marketing expenses;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bps increase in general and administrative expenses;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bps increase in expenses associated with eCommerce;</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 bps decrease in distribution and freight expenses;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decrease in royalty income due to a reduction in the number of licensees.</w:t>
      </w:r>
    </w:p>
    <w:p>
      <w:pPr>
        <w:spacing w:after="0" w:line="207" w:lineRule="exact"/>
        <w:rPr>
          <w:sz w:val="20"/>
          <w:szCs w:val="20"/>
          <w:color w:val="auto"/>
        </w:rPr>
      </w:pPr>
    </w:p>
    <w:p>
      <w:pPr>
        <w:ind w:right="140" w:firstLine="8"/>
        <w:spacing w:after="0" w:line="266" w:lineRule="auto"/>
        <w:tabs>
          <w:tab w:leader="none" w:pos="3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segment operating income decreased by $6.3 million, or 35.7%, to $11.3 million in the first two quarters of fiscal 2017 from $17.5 million in the first two quarters of 2016. This segment's operating margin decreased 460 bps from 11.7% in the first two quarters of fiscal 2016 to 7.1% in the first two quarters of fiscal 2017. The primary drivers of the change in operating margin were a/an:</w:t>
      </w:r>
    </w:p>
    <w:p>
      <w:pPr>
        <w:spacing w:after="0" w:line="176" w:lineRule="exact"/>
        <w:rPr>
          <w:rFonts w:ascii="Times New Roman" w:cs="Times New Roman" w:eastAsia="Times New Roman" w:hAnsi="Times New Roman"/>
          <w:sz w:val="18"/>
          <w:szCs w:val="18"/>
          <w:color w:val="auto"/>
        </w:rPr>
      </w:pPr>
    </w:p>
    <w:p>
      <w:pPr>
        <w:ind w:left="980" w:right="600" w:hanging="324"/>
        <w:spacing w:after="0" w:line="261"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 bps decrease in gross profit, primarily due to a lower average gross margin for wholesale business and unfavorable foreign currency exchange impacts;</w:t>
      </w:r>
    </w:p>
    <w:p>
      <w:pPr>
        <w:ind w:left="980" w:hanging="324"/>
        <w:spacing w:after="0"/>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270 bps increase in SG&amp;A expenses, primarily due to a:</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117" w:right="259" w:bottom="1440" w:gutter="0" w:footer="0" w:header="0"/>
        </w:sectPr>
      </w:pPr>
    </w:p>
    <w:bookmarkStart w:id="42" w:name="page43"/>
    <w:bookmarkEnd w:id="42"/>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ind w:left="1620" w:hanging="315"/>
        <w:spacing w:after="0"/>
        <w:tabs>
          <w:tab w:leader="none" w:pos="16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170 bps increase in expenses associated with new retail stores;</w:t>
      </w:r>
    </w:p>
    <w:p>
      <w:pPr>
        <w:spacing w:after="0" w:line="27"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bps increase in expenses associated with eCommerce;</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bps increase in selling and marketing expenses;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bps increase in provisions for accounts receivable;</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bps decrease in general and administrative expenses;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bps decrease in distribution expenses;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bps decrease in royalty income due to a reduction in the number of licensees.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Unallocated Corporate Expenses</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Unallocated corporate expenses decreased by $3.1 million, or 12.7%, in the second quarter of fiscal 2017 compared to the second quarter of fiscal 2016, primarily due to a reduction in information technology investments. Unallocated corporate expenses, as a percentage of consolidated net sales, decreased from 3.8% in the second quarter of fiscal 2016 to 3.1% in the second quarter of fiscal 2017.</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Unallocated corporate expenses decreased by $1.7 million, or 3.6%, in the first two quarters of fiscal 2017 compared to the first two quarters of fiscal 2016, primarily due to a reduction in information technology investments, partially offset by acquisition related costs and direct sourcing initiatives. Unallocated corporate expenses, as a percentage of consolidated net sales, decreased from 3.5% in the first two quarters of fiscal 2016 to 3.2% in the first two quarters of fiscal 2017.</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and effective interest rate calculations include the amortization of debt issuance costs.</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Interest expense in the second quarter of fiscal 2017 and 2016 was approximately $7.2 million and $6.8 million, respectively. Weighted-average borrowings for the second quarter of fiscal 2017 were approximately $595.7 million with an effective interest rate of 4.69%, compared to weighted-average borrowings for the second quarter of fiscal 2016 of $585.7 million with an effective interest rate of 4.54%. The increase in weighted-average borrowings during the second quarter of fiscal 2017 was attributable to additional net borrowings under our secured revolving credit facility.</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Interest expense in the first two quarters of fiscal 2017 and 2016 was approximately $14.3 million and $13.5 million, respectively. Weighted-average borrowings over the course of the first two quarters of fiscal 2017 were approximately $602.1 million with an effective interest rate of 4.62%, compared to weighted-average borrowings for the first two quarters of fiscal 2016 of $585.1 million with an effective interest rate of 4.58%. The increase in weighted-average borrowings during the first two quarters of fiscal 2017 was attributable to additional net borrowings under our secured revolving credit facility.</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increases in the effective interest rates for the second quarter and first two quarters of fiscal 2017 compared to the second quarter and first two quarters of fiscal 2016 were due to higher LIBOR rates for the variable portions of outstanding borrowings on our secured revolving credit facility during the 2017 periods, partially offset by a higher proportion of outstanding borrowings under our secured revolving credit facility during both periods of fiscal 2017. Borrowings under our secured revolving credit facility accrue interest at a lower interest rate than our senior notes.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our consolidated balance sheets, unamortized debt issuance costs associated with our senior notes are presented as a direct reduction in the carrying value of the associated debt liability for all periods presented.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Other (income) expense, net is primarily composed of gains and losses on foreign currency transactions and, if utilized during a reporting period, gains and losses on foreign currency forward contracts. These amounts represented a net gain of $0.6 million and $0.8 million for the second quarter and first two quarters of fiscal 2017, respectively. These amounts represented a net loss of $0.5 million and $3.7 million for the second quarter and first two quarters of fiscal 2016, respectively. There were no open or settled foreign currency forward contracts at any time during fiscal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7" w:right="239" w:bottom="1440" w:gutter="0" w:footer="0" w:header="0"/>
        </w:sectPr>
      </w:pPr>
    </w:p>
    <w:bookmarkStart w:id="43" w:name="page44"/>
    <w:bookmarkEnd w:id="43"/>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consolidated effective income tax rate for the second quarter of fiscal 2017 was 34.6% compared to 35.5% for the second quarter of fiscal 2016. Our consolidated effective income tax rate for the first two quarters of fiscal 2017 was 34.8% compared to 35.3% for the first two quarters of fiscal 2016. The lower effective rates for both periods in fiscal 2017 were primarily due to changes in the mix of taxable income among our domestic and international tax-paying entities and the new accounting guidance which requires excess income tax benefits realized from settled stock-based compensation awards to be reflected as a benefit to income tax expense instead of a credit to additional paid-in capital.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full fiscal year 2017, we estimate our consolidated effective income tax rate to be approximately 35.0%.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Our consolidated net income for the second quarter of fiscal 2017 increased by $1.7 million, or 4.8%, to $37.9 million compared to $36.2 million in the second quarter of fiscal 2016. Our consolidated net income for the first two quarters of fiscal 2017 decreased by $5.6 million, or 6.2%, to $84.6 million compared to $90.2 million in the first two quarters of fiscal 2016. These changes were due to the factors previously discussed.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CAPITAL RESOURCES, AND LIQUIDITY</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ongoing cash needs are primarily for working capital and capital expenditures. We expect that our primary sources of liquidity will continue to be cash and cash equivalents on hand, cash flow from operations, and borrowings available under our secured revolving credit facility. We expect that these sources will fund our ongoing requirements for the foreseeable future, and we believe that we also have access to the capital markets. Further, we do not expect current economic conditions to prevent us from meeting our cash requirements. These sources of liquidity may be affected by events described in our risk factors, as further discussed under the heading "Risk Factors" in our most recently filed Annual Report on Form 10-K and other reports filed with the Securities and Exchange Commission from time to time.</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July 1, 2017, the Company had approximately $173.6 million of cash and cash equivalents in major financial institutions, including approximately $34.2 million in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accounts receivable at July 1, 2017 were $165.2 million compared to $150.6 million at July 2, 2016 and $202.5 million at December 31, 2016. The overall increase of $14.6 million, or 9.7%, at July 1, 2017 compared to July 2, 2016 primarily reflected the Skip Hop acquisition. Due to the seasonal nature of our operations, the net accounts receivable balance at July 1, 2017 is not comparable to the net accounts receivable balance of $202.5 million at December 31, 2016.</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Inventories at July 1, 2017 were $610.4 million compared to $587.4 million at July 2, 2016 and $487.6 million at December 31, 2016. The increase of $23.0 million, or 3.9%, at July 1, 2017 compared to July 2, 2016 primarily reflected business growth. Due to the seasonal nature of our operations, the inventories balance at July 1, 2017 is not comparable to the inventories balance of $487.6 million at December 31, 2016.</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first two quarters of fiscal 2017 was $107.3 million compared to net cash provided by operating activities of $85.6 million in the first two quarters of fiscal 2016. This increase in operating cash flow for the 2017 period primarily reflected favorable changes in net working capital due to timing of payments and receipts, partially offset by lower net income.</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20"/>
          </w:cols>
          <w:pgMar w:left="240" w:top="117" w:right="339" w:bottom="1440" w:gutter="0" w:footer="0" w:header="0"/>
        </w:sectPr>
      </w:pPr>
    </w:p>
    <w:bookmarkStart w:id="44" w:name="page45"/>
    <w:bookmarkEnd w:id="44"/>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for the first two quarters of fiscal 2017 reflected the $143.7 million paid, net of cash acquired, on February 22, 2017 to acquire all of the outstanding stock of Skip Hop. Capital expenditures were $34.3 million in the first two quarters of fiscal 2017 compared to $49.7 million in the first two quarters of fiscal 2016, primarily reflecting 2017 expenditures of approximately $20.7 million for our U.S. and international retail store openings and re-modelings, $6.3 million for information technology initiatives, $4.7 million for distribution and office facilities, and $0.7 million for wholesale fixtures. Capital expenditures in the first two quarters of fiscal 2016 primarily reflected approximately $29.4 million for our U.S. and international retail store openings and re-modelings, $13.4 million for information technology initiatives, $4.4 million for distribution and office facilities, and $1.3 million for wholesale fixtures.</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plan to invest approximately $90 million in total capital expenditures for all of fiscal 2017, primarily for our U.S. and international retail store openings and re-modelings, and information technology initiatives.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$55.5 million in the first two quarters of fiscal 2017 compared to $213.6 million in the first two quarters of fiscal 2016. The decrease in cash used for the 2017 period primarily reflected decreases in repurchases of our common stock and a net increase in borrowings under our secured revolving credit facility.</w:t>
      </w:r>
    </w:p>
    <w:p>
      <w:pPr>
        <w:spacing w:after="0" w:line="17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On July 19, 2017, we borrowed an additional $100 million under our secured revolving credit facility primarily for seasonal working capital purposes, bringing total outstanding borrowings under this credit facility to $366 million, excluding accrued interest. By the end of fiscal 2017, we expect to make repayments in order to reduce the amount of these outstanding borrowings.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REVOLVING CREDIT FACILITY</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amended and restated secured revolving credit facility provides for (i) a $400 million U.S. dollar revolving facility (including a $175 million sub-limit for letters of credit and a swing line sub-limit of $50 million) available for borrowings in U.S. dollars and (ii) a $100 million multicurrency revolving facility (including a $40 million sub-limit for letters of credit and a swing line sub-limit of $15 million) available for borrowings denominated in U.S. dollars, Canadian dollars, Euros, Pounds Sterling, or other currencies agreed to by the applicable lenders. Our secured revolving credit facility also provides for incremental facilities in an aggregate amount not to exceed $250 million, either in the form of a commitment increase under the existing credit facility or the incurrence of one or more tranches of term loans (with the aggregate U.S. dollar amount not to exceed $200 million and the aggregate multicurrency amount not to exceed $50 million). Our secured revolving credit facility matures September 16, 2020.</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July 1, 2017, we had $266.0 million in outstanding borrowings under our secured revolving credit facility, exclusive of $4.5 million of outstanding letters of credit. As of July 1, 2017, approximately $229.5 million was available for future borrowing. All outstanding borrowings under our secured revolving credit facility are classified as non-current liabilities on our consolidated balance sheet because of the contractual repayment terms under the credit facility. However, these repayment terms also allow us to repay some or all of the outstanding borrowings at any time.</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interest rate margins applicable to our secured revolving credit facility are presently 1.375% for LIBOR rate loans (which may be adjusted based on a leverage-based pricing grid ranging from 1.125% to 1.875%) and 0.375% for base rate loans (which may be adjusted based on a leverage-based pricing grid ranging from 0.125% to 0.875%).</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July 1, 2017, U.S. dollar borrowings outstanding under the secured revolving credit facility accrued interest at a LIBOR rate plus the applicable base rate, which resulted in a weighted average borrowing rate of 2.55%. All outstanding Canadian dollar borrowings were repaid during the first quarter of fiscal 2017. There were no Canadian dollar borrowings during the second quarter of fiscal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1, 2017, we were in compliance with the financial and other covenants under our secured revolving credit facility.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July 1, 2017, our wholly-owned operating subsidiary The William Carter Company ("TWCC") had $400.0 million principal amount of senior notes outstanding, bearing interest at a fixed rate of 5.25% per annum, and maturing on August 15,</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117" w:right="259" w:bottom="1440" w:gutter="0" w:footer="0" w:header="0"/>
        </w:sectPr>
      </w:pPr>
    </w:p>
    <w:bookmarkStart w:id="45" w:name="page46"/>
    <w:bookmarkEnd w:id="45"/>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2021. On our consolidated balance sheet, the $400.0 million outstanding is reported net of $4.2 million, $4.6 million and $5.0 million unamortized issuance-related debt costs at July 1, 2017, December 31, 2016 and July 2, 2016, respectively. The senior notes are unsecured and are fully and unconditionally guaranteed by Carter's, Inc. and certain subsidiaries of TWCC.</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first two quarters of fiscal 2017, the Company repurchased and retired 1,131,409 shares in open market transactions for approximately $98.2 million at an average price of $86.82 per share. In the first two quarters of fiscal 2016, the Company repurchased and retired 1,771,847 shares in open market transactions for approximately $180.2 million, at an average price of $101.71 per share.</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total remaining capacity under all remaining repurchase authorizations as of July 1, 2017 was approximately $176.2 million. Future repurchases may be made in the open market or in privately negotiated transactions, with the level and timing of activity being at management's discretion depending on market conditions, share price, other investment priorities, and other factors. The share repurchase authorizations have no expiration date.</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In the first and second quarters of fiscal 2017, we paid quarterly cash dividends of $0.37 per share in each quarter. In the first and second quarters of fiscal 2016, we paid quarterly cash dividends of $0.33 per share in each quarter. Future declarations of quarterly dividends and the establishment of future record and payment dates are at the discretion of our Board of Directors and will be based on a number of factors, including our future financial performance and other investment priorities.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disclosed in our most recent Annual Report on Form 10-K for the 2016 fiscal year ended December 31, 2016, provisions in our secured revolving credit facility and indenture governing our senior notes could have the effect of restricting our ability to pay future cash dividends on or make future repurchases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experience seasonal fluctuations in our sales and profitability due to the timing of certain holidays and key retail shopping periods, which generally have resulted in declines in our net sales and gross profit in the first half of our fiscal year versus the second half. Accordingly, our results of operations during any interim period during the fiscal year may not be indicative of the results we expect for the full fiscal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U.S. GAAP.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materially from these estimates under different assumptions or conditions.</w:t>
      </w:r>
    </w:p>
    <w:p>
      <w:pPr>
        <w:spacing w:after="0" w:line="18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 xml:space="preserve">Our critical accounting policies and estimates are described under the heading "Critical Accounting Policies and Estimates" in Item 7 of our most recent Annual Report on Form 10-K for the 2016 fiscal year ended December 31, 2016. Our critical accounting policies and estimates are those policies that require management's most difficult and subjective judgments and may result in the need to make estimates about the effect of matters that are inherently uncertain. Our critical accounting policies and estimates include: revenue recognition and accounts receivable allowance, inventory, goodwill and tradename,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 except for the impact that the adoption of ASU 2016-09, </w:t>
      </w:r>
      <w:r>
        <w:rPr>
          <w:rFonts w:ascii="Times New Roman" w:cs="Times New Roman" w:eastAsia="Times New Roman" w:hAnsi="Times New Roman"/>
          <w:sz w:val="17"/>
          <w:szCs w:val="17"/>
          <w:i w:val="1"/>
          <w:iCs w:val="1"/>
          <w:color w:val="auto"/>
        </w:rPr>
        <w:t>Accounting for Share-Based Payments to Employees</w:t>
      </w:r>
      <w:r>
        <w:rPr>
          <w:rFonts w:ascii="Times New Roman" w:cs="Times New Roman" w:eastAsia="Times New Roman" w:hAnsi="Times New Roman"/>
          <w:sz w:val="17"/>
          <w:szCs w:val="17"/>
          <w:color w:val="auto"/>
        </w:rPr>
        <w:t xml:space="preserve"> and ASU 2015-17, </w:t>
      </w:r>
      <w:r>
        <w:rPr>
          <w:rFonts w:ascii="Times New Roman" w:cs="Times New Roman" w:eastAsia="Times New Roman" w:hAnsi="Times New Roman"/>
          <w:sz w:val="17"/>
          <w:szCs w:val="17"/>
          <w:i w:val="1"/>
          <w:iCs w:val="1"/>
          <w:color w:val="auto"/>
        </w:rPr>
        <w:t>Balance Sheet Classification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Deferred Taxes </w:t>
      </w:r>
      <w:r>
        <w:rPr>
          <w:rFonts w:ascii="Times New Roman" w:cs="Times New Roman" w:eastAsia="Times New Roman" w:hAnsi="Times New Roman"/>
          <w:sz w:val="17"/>
          <w:szCs w:val="17"/>
          <w:color w:val="auto"/>
        </w:rPr>
        <w:t>had on our policies as disclosed under the header "Adoption of New Accounting Pronouncements At the Beginning of Fiscal 2017" in</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7" w:right="239" w:bottom="1440" w:gutter="0" w:footer="0" w:header="0"/>
        </w:sectPr>
      </w:pPr>
    </w:p>
    <w:bookmarkStart w:id="46" w:name="page47"/>
    <w:bookmarkEnd w:id="46"/>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48"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 xml:space="preserve">Note 2,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to the accompanying unaudited condensed consolidated financial statements contained in Item 1 of this Quarterly Report on Form 10-Q.</w:t>
      </w:r>
    </w:p>
    <w:p>
      <w:pPr>
        <w:spacing w:after="0" w:line="158"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8"/>
          <w:szCs w:val="18"/>
          <w:color w:val="auto"/>
        </w:rPr>
        <w:t xml:space="preserve">Additionally, information related to the pending adoption of recently issued accounting standards is provided in Note 15, </w:t>
      </w:r>
      <w:r>
        <w:rPr>
          <w:rFonts w:ascii="Times New Roman" w:cs="Times New Roman" w:eastAsia="Times New Roman" w:hAnsi="Times New Roman"/>
          <w:sz w:val="18"/>
          <w:szCs w:val="18"/>
          <w:i w:val="1"/>
          <w:iCs w:val="1"/>
          <w:color w:val="auto"/>
        </w:rPr>
        <w:t>Pending Adoption of 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Pronouncements</w:t>
      </w:r>
      <w:r>
        <w:rPr>
          <w:rFonts w:ascii="Times New Roman" w:cs="Times New Roman" w:eastAsia="Times New Roman" w:hAnsi="Times New Roman"/>
          <w:sz w:val="18"/>
          <w:szCs w:val="18"/>
          <w:color w:val="auto"/>
        </w:rPr>
        <w:t>, to the accompanying unaudited condensed consolidated financial statements contained in Item 1 of this Quarterly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10-Q.</w:t>
      </w:r>
    </w:p>
    <w:p>
      <w:pPr>
        <w:spacing w:after="0" w:line="38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and Interest Rate Risks</w:t>
      </w:r>
    </w:p>
    <w:p>
      <w:pPr>
        <w:spacing w:after="0" w:line="22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In the operation of our business, we have market risk exposures including those related to foreign currency and interest rates. We employ various strategies to attempt to minimize our exposure to these risks.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Risk</w:t>
      </w:r>
    </w:p>
    <w:p>
      <w:pPr>
        <w:spacing w:after="0" w:line="22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We cannot predict the impact that future currency fluctuations may have on our financial position, results of operations, or cash flows in future periods.</w:t>
      </w:r>
    </w:p>
    <w:p>
      <w:pPr>
        <w:spacing w:after="0" w:line="17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Fluctuations in exchange rates, primarily between the U.S. dollar and the Canadian dollar, may affect our results of operations, financial position, and cash flows. Transactions by our Canadian subsidiary may be denominated in a currency other than the entity's functional currency, which is the Canadian dollar. Foreign currency transaction gains and losses also include the impact of non-current intercompany loans with foreign subsidiaries that are marked to market. In our statement of operations, these gains and losses are recorded within Other (income) expense, net.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overall strategy to manage the level of exposure to the risk of foreign currency exchange rate fluctuations, primarily between the U.S. dollar and Canadian dollar, our Canadian subsidiary may use foreign currency forward contracts to hedge purchases that are made in U.S. dollars, primarily for inventory purchases. As part of this strategy, we use foreign currency forward exchange contracts that have maturities of less than 12 months to provide continuing coverage throughout the hedging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operating results are subject to risk from interest rate fluctuations on our secured revolving credit facility, which carries variable interest rates. Our weighted-average variable rate borrowings outstanding as of July 1, 2017 were $266.0 million. An increase or decrease of 1% in the effective interest rate on that amount would increase or decrease our annual pre-tax interest expense by approximately $2.7 million.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enter into various purchase order commitments with our suppliers. We can cancel these arrangements, although in some instances we may be subject to a termination charge reflecting a percentage of work performed prior to cancellation.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7" w:right="239" w:bottom="1440" w:gutter="0" w:footer="0" w:header="0"/>
        </w:sectPr>
      </w:pPr>
    </w:p>
    <w:bookmarkStart w:id="47" w:name="page48"/>
    <w:bookmarkEnd w:id="47"/>
    <w:p>
      <w:pPr>
        <w:spacing w:after="0" w:line="261" w:lineRule="auto"/>
        <w:rPr>
          <w:sz w:val="20"/>
          <w:szCs w:val="20"/>
          <w:color w:val="auto"/>
        </w:rPr>
      </w:pPr>
      <w:r>
        <w:rPr>
          <w:rFonts w:ascii="Times New Roman" w:cs="Times New Roman" w:eastAsia="Times New Roman" w:hAnsi="Times New Roman"/>
          <w:sz w:val="18"/>
          <w:szCs w:val="18"/>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as of the end of the period covered by this Quarterly Report on Form 10-Q. Based upon that evaluation, our Chief Executive Officer and Chief Financial Officer have concluded that our disclosure controls and procedures are effective as of July 1, 2017.</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principal executive officer and principal financial officer also conducted an evaluation of the Company’s internal control over financial reporting (“Internal Control”) to determine whether any changes in Internal Control occurred during the fiscal quarter ended July 1, 2017 that have materially affected, or which are reasonably likely to materially affect, Internal Control.</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noted above, on February 22, 2017, the Company completed the acquisition of Skip Hop. The Company is currently integrating Skip Hop into its control environment. In executing this integration, the Company is analyzing, evaluating, and where necessary, making changes in controls and procedures related to the Skip Hop business, which is expected to be completed within one year of the acquisition date.</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Except for the foregoing, there were no changes in the Company’s Internal Control that materially affected, or were likely to materially affect, such control over financial reporting during the fiscal quarter ended July 1, 2017.</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7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described in our Form 10-K for the 2016 fiscal year ended December 31, 2016.</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364" w:right="2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share repurchases during the second quarter of fiscal 2017:</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Approximate</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dollar value of shares</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Total number of</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that may</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Total number</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shares purchased as</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yet be</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of shares</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part of publicly</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purchased</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purchased</w:t>
            </w:r>
          </w:p>
        </w:tc>
        <w:tc>
          <w:tcPr>
            <w:tcW w:w="120" w:type="dxa"/>
            <w:vAlign w:val="bottom"/>
          </w:tcPr>
          <w:p>
            <w:pPr>
              <w:spacing w:after="0"/>
              <w:rPr>
                <w:sz w:val="17"/>
                <w:szCs w:val="17"/>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Average price paid</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announced plans or</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under the plans</w:t>
            </w:r>
          </w:p>
        </w:tc>
      </w:tr>
      <w:tr>
        <w:trPr>
          <w:trHeight w:val="226"/>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w:t>
            </w:r>
          </w:p>
        </w:tc>
        <w:tc>
          <w:tcPr>
            <w:tcW w:w="120" w:type="dxa"/>
            <w:vAlign w:val="bottom"/>
          </w:tcPr>
          <w:p>
            <w:pPr>
              <w:spacing w:after="0"/>
              <w:rPr>
                <w:sz w:val="19"/>
                <w:szCs w:val="19"/>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per share</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programs (2)</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or programs (3)</w:t>
            </w:r>
          </w:p>
        </w:tc>
      </w:tr>
      <w:tr>
        <w:trPr>
          <w:trHeight w:val="29"/>
        </w:trPr>
        <w:tc>
          <w:tcPr>
            <w:tcW w:w="4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426"/>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April 2, 2017 through April 29, 2017</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168,100</w:t>
            </w:r>
          </w:p>
        </w:tc>
        <w:tc>
          <w:tcPr>
            <w:tcW w:w="1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$89.88</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168,100</w:t>
            </w:r>
          </w:p>
        </w:tc>
        <w:tc>
          <w:tcPr>
            <w:tcW w:w="1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$212,665,846</w:t>
            </w:r>
          </w:p>
        </w:tc>
      </w:tr>
      <w:tr>
        <w:trPr>
          <w:trHeight w:val="432"/>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April 30, 2017 through May 27, 2017</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181,401</w:t>
            </w:r>
          </w:p>
        </w:tc>
        <w:tc>
          <w:tcPr>
            <w:tcW w:w="1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$88.97</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180,985</w:t>
            </w:r>
          </w:p>
        </w:tc>
        <w:tc>
          <w:tcPr>
            <w:tcW w:w="1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$196,562,961</w:t>
            </w:r>
          </w:p>
        </w:tc>
      </w:tr>
      <w:tr>
        <w:trPr>
          <w:trHeight w:val="432"/>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May 28, 2017 through July 1, 2017</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238,380</w:t>
            </w:r>
          </w:p>
        </w:tc>
        <w:tc>
          <w:tcPr>
            <w:tcW w:w="1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$85.55</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238,380</w:t>
            </w:r>
          </w:p>
        </w:tc>
        <w:tc>
          <w:tcPr>
            <w:tcW w:w="1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$176,169,921</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44"/>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Total</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587,881</w:t>
            </w: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587,465</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1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surrendered by our employees to satisfy required tax withholding upon the vesting of restricted stock awards. There were 416 shares surrendered between April 2, 2017 and July 1, 2017.</w:t>
      </w:r>
    </w:p>
    <w:p>
      <w:pPr>
        <w:spacing w:after="0" w:line="161"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purchases during the second quarter of fiscal 2017 were made in compliance with all applicable rules and regulations and in accordance with the share repurchase authorizations described in Note 5 to our accompanying unaudited condensed consolidated financial statements included in Item 1 of this Quarterly Report on Form 10-Q.</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share repurchase authorizations approved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360"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820" w:type="dxa"/>
            <w:vAlign w:val="bottom"/>
          </w:tcPr>
          <w:p>
            <w:pPr>
              <w:spacing w:after="0"/>
              <w:rPr>
                <w:sz w:val="20"/>
                <w:szCs w:val="20"/>
                <w:color w:val="auto"/>
              </w:rPr>
            </w:pPr>
          </w:p>
        </w:tc>
      </w:tr>
      <w:tr>
        <w:trPr>
          <w:trHeight w:val="432"/>
        </w:trPr>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820" w:type="dxa"/>
            <w:vAlign w:val="bottom"/>
          </w:tcPr>
          <w:p>
            <w:pPr>
              <w:spacing w:after="0"/>
              <w:rPr>
                <w:sz w:val="24"/>
                <w:szCs w:val="24"/>
                <w:color w:val="auto"/>
              </w:rPr>
            </w:pPr>
          </w:p>
        </w:tc>
      </w:tr>
      <w:tr>
        <w:trPr>
          <w:trHeight w:val="338"/>
        </w:trPr>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6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20"/>
        </w:trPr>
        <w:tc>
          <w:tcPr>
            <w:tcW w:w="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529"/>
        </w:trPr>
        <w:tc>
          <w:tcPr>
            <w:tcW w:w="40" w:type="dxa"/>
            <w:vAlign w:val="bottom"/>
          </w:tcPr>
          <w:p>
            <w:pPr>
              <w:spacing w:after="0"/>
              <w:rPr>
                <w:sz w:val="24"/>
                <w:szCs w:val="24"/>
                <w:color w:val="auto"/>
              </w:rPr>
            </w:pPr>
          </w:p>
        </w:tc>
        <w:tc>
          <w:tcPr>
            <w:tcW w:w="12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7"/>
              </w:rPr>
              <w:t>3.1</w:t>
            </w:r>
          </w:p>
        </w:tc>
        <w:tc>
          <w:tcPr>
            <w:tcW w:w="360" w:type="dxa"/>
            <w:vAlign w:val="bottom"/>
          </w:tcPr>
          <w:p>
            <w:pPr>
              <w:spacing w:after="0"/>
              <w:rPr>
                <w:sz w:val="24"/>
                <w:szCs w:val="24"/>
                <w:color w:val="auto"/>
              </w:rPr>
            </w:pPr>
          </w:p>
        </w:tc>
        <w:tc>
          <w:tcPr>
            <w:tcW w:w="9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9"/>
              </w:rPr>
              <w:t>Certificate of Incorporation of Carter's, Inc., as amended on May 22, 2017 (incorporated by reference to Exhibit 3.1 of Carter's, Inc.'s</w:t>
            </w:r>
          </w:p>
        </w:tc>
      </w:tr>
      <w:tr>
        <w:trPr>
          <w:trHeight w:val="234"/>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Current Report on Form 8-K filed on May 23, 2017).</w:t>
            </w:r>
          </w:p>
        </w:tc>
      </w:tr>
      <w:tr>
        <w:trPr>
          <w:trHeight w:val="252"/>
        </w:trPr>
        <w:tc>
          <w:tcPr>
            <w:tcW w:w="130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7"/>
              </w:rPr>
              <w:t>3.2</w:t>
            </w:r>
          </w:p>
        </w:tc>
        <w:tc>
          <w:tcPr>
            <w:tcW w:w="360" w:type="dxa"/>
            <w:vAlign w:val="bottom"/>
          </w:tcPr>
          <w:p>
            <w:pPr>
              <w:spacing w:after="0"/>
              <w:rPr>
                <w:sz w:val="21"/>
                <w:szCs w:val="21"/>
                <w:color w:val="auto"/>
              </w:rPr>
            </w:pPr>
          </w:p>
        </w:tc>
        <w:tc>
          <w:tcPr>
            <w:tcW w:w="9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9"/>
              </w:rPr>
              <w:t>Amended and Restated By-Laws of Carter's, Inc. (incorporated by reference to Exhibit 3.2 of Carter's, Inc.'s Current Report on Form</w:t>
            </w:r>
          </w:p>
        </w:tc>
      </w:tr>
      <w:tr>
        <w:trPr>
          <w:trHeight w:val="234"/>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8-K filed on May 23, 2017).</w:t>
            </w:r>
          </w:p>
        </w:tc>
      </w:tr>
      <w:tr>
        <w:trPr>
          <w:trHeight w:val="270"/>
        </w:trPr>
        <w:tc>
          <w:tcPr>
            <w:tcW w:w="13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rPr>
              <w:t>31.1</w:t>
            </w:r>
          </w:p>
        </w:tc>
        <w:tc>
          <w:tcPr>
            <w:tcW w:w="360" w:type="dxa"/>
            <w:vAlign w:val="bottom"/>
          </w:tcPr>
          <w:p>
            <w:pPr>
              <w:spacing w:after="0"/>
              <w:rPr>
                <w:sz w:val="23"/>
                <w:szCs w:val="23"/>
                <w:color w:val="auto"/>
              </w:rPr>
            </w:pPr>
          </w:p>
        </w:tc>
        <w:tc>
          <w:tcPr>
            <w:tcW w:w="9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Rule 13a-15(e)/15d-15(e) and 13a-15(f)/15d-15(f) Certification.</w:t>
            </w:r>
          </w:p>
        </w:tc>
      </w:tr>
      <w:tr>
        <w:trPr>
          <w:trHeight w:val="270"/>
        </w:trPr>
        <w:tc>
          <w:tcPr>
            <w:tcW w:w="13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rPr>
              <w:t>31.2</w:t>
            </w:r>
          </w:p>
        </w:tc>
        <w:tc>
          <w:tcPr>
            <w:tcW w:w="360" w:type="dxa"/>
            <w:vAlign w:val="bottom"/>
          </w:tcPr>
          <w:p>
            <w:pPr>
              <w:spacing w:after="0"/>
              <w:rPr>
                <w:sz w:val="23"/>
                <w:szCs w:val="23"/>
                <w:color w:val="auto"/>
              </w:rPr>
            </w:pPr>
          </w:p>
        </w:tc>
        <w:tc>
          <w:tcPr>
            <w:tcW w:w="9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Rule 13a-15(e)/15d-15(e) and 13a-15(f)/15d-15(f) Certification.</w:t>
            </w:r>
          </w:p>
        </w:tc>
      </w:tr>
      <w:tr>
        <w:trPr>
          <w:trHeight w:val="270"/>
        </w:trPr>
        <w:tc>
          <w:tcPr>
            <w:tcW w:w="130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9"/>
              </w:rPr>
              <w:t>32</w:t>
            </w:r>
          </w:p>
        </w:tc>
        <w:tc>
          <w:tcPr>
            <w:tcW w:w="360" w:type="dxa"/>
            <w:vAlign w:val="bottom"/>
          </w:tcPr>
          <w:p>
            <w:pPr>
              <w:spacing w:after="0"/>
              <w:rPr>
                <w:sz w:val="23"/>
                <w:szCs w:val="23"/>
                <w:color w:val="auto"/>
              </w:rPr>
            </w:pPr>
          </w:p>
        </w:tc>
        <w:tc>
          <w:tcPr>
            <w:tcW w:w="9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Section 1350 Certification.</w:t>
            </w:r>
          </w:p>
        </w:tc>
      </w:tr>
      <w:tr>
        <w:trPr>
          <w:trHeight w:val="270"/>
        </w:trPr>
        <w:tc>
          <w:tcPr>
            <w:tcW w:w="130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6"/>
              </w:rPr>
              <w:t>101</w:t>
            </w:r>
          </w:p>
        </w:tc>
        <w:tc>
          <w:tcPr>
            <w:tcW w:w="360" w:type="dxa"/>
            <w:vAlign w:val="bottom"/>
          </w:tcPr>
          <w:p>
            <w:pPr>
              <w:spacing w:after="0"/>
              <w:rPr>
                <w:sz w:val="23"/>
                <w:szCs w:val="23"/>
                <w:color w:val="auto"/>
              </w:rPr>
            </w:pPr>
          </w:p>
        </w:tc>
        <w:tc>
          <w:tcPr>
            <w:tcW w:w="9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Interactive Data File.</w:t>
            </w:r>
          </w:p>
        </w:tc>
      </w:tr>
      <w:tr>
        <w:trPr>
          <w:trHeight w:val="702"/>
        </w:trPr>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80" w:type="dxa"/>
            <w:vAlign w:val="bottom"/>
            <w:gridSpan w:val="3"/>
          </w:tcPr>
          <w:p>
            <w:pPr>
              <w:ind w:left="3960"/>
              <w:spacing w:after="0"/>
              <w:rPr>
                <w:sz w:val="20"/>
                <w:szCs w:val="20"/>
                <w:color w:val="auto"/>
              </w:rPr>
            </w:pPr>
            <w:r>
              <w:rPr>
                <w:rFonts w:ascii="Times New Roman" w:cs="Times New Roman" w:eastAsia="Times New Roman" w:hAnsi="Times New Roman"/>
                <w:sz w:val="18"/>
                <w:szCs w:val="18"/>
                <w:color w:val="auto"/>
              </w:rPr>
              <w:t>48</w:t>
            </w:r>
          </w:p>
        </w:tc>
      </w:tr>
    </w:tbl>
    <w:p>
      <w:pPr>
        <w:sectPr>
          <w:pgSz w:w="11900" w:h="16838" w:orient="portrait"/>
          <w:cols w:equalWidth="0" w:num="1">
            <w:col w:w="11340"/>
          </w:cols>
          <w:pgMar w:left="240" w:top="360" w:right="319" w:bottom="1440" w:gutter="0" w:footer="0" w:header="0"/>
        </w:sectPr>
      </w:pPr>
    </w:p>
    <w:bookmarkStart w:id="50" w:name="page51"/>
    <w:bookmarkEnd w:id="50"/>
    <w:p>
      <w:pPr>
        <w:ind w:left="508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their behalf by the undersigned, thereunto duly authorized.</w:t>
      </w:r>
    </w:p>
    <w:p>
      <w:pPr>
        <w:spacing w:after="0" w:line="37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CARTER’S,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300"/>
        <w:spacing w:after="0"/>
        <w:tabs>
          <w:tab w:leader="none" w:pos="6140" w:val="left"/>
        </w:tabs>
        <w:rPr>
          <w:sz w:val="20"/>
          <w:szCs w:val="20"/>
          <w:color w:val="auto"/>
        </w:rPr>
      </w:pPr>
      <w:r>
        <w:rPr>
          <w:rFonts w:ascii="Times New Roman" w:cs="Times New Roman" w:eastAsia="Times New Roman" w:hAnsi="Times New Roman"/>
          <w:sz w:val="18"/>
          <w:szCs w:val="18"/>
          <w:color w:val="auto"/>
        </w:rPr>
        <w:t>July 27, 2017</w:t>
      </w:r>
      <w:r>
        <w:rPr>
          <w:sz w:val="20"/>
          <w:szCs w:val="20"/>
          <w:color w:val="auto"/>
        </w:rPr>
        <w:tab/>
      </w:r>
      <w:r>
        <w:rPr>
          <w:rFonts w:ascii="Times New Roman" w:cs="Times New Roman" w:eastAsia="Times New Roman" w:hAnsi="Times New Roman"/>
          <w:sz w:val="18"/>
          <w:szCs w:val="18"/>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34290</wp:posOffset>
            </wp:positionV>
            <wp:extent cx="26073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84"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8"/>
          <w:szCs w:val="18"/>
          <w:color w:val="auto"/>
        </w:rPr>
        <w:t>Michael D. Casey</w:t>
      </w:r>
    </w:p>
    <w:p>
      <w:pPr>
        <w:spacing w:after="0" w:line="61"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63"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300"/>
        <w:spacing w:after="0"/>
        <w:tabs>
          <w:tab w:leader="none" w:pos="5740" w:val="left"/>
        </w:tabs>
        <w:rPr>
          <w:sz w:val="20"/>
          <w:szCs w:val="20"/>
          <w:color w:val="auto"/>
        </w:rPr>
      </w:pPr>
      <w:r>
        <w:rPr>
          <w:rFonts w:ascii="Times New Roman" w:cs="Times New Roman" w:eastAsia="Times New Roman" w:hAnsi="Times New Roman"/>
          <w:sz w:val="18"/>
          <w:szCs w:val="18"/>
          <w:color w:val="auto"/>
        </w:rPr>
        <w:t>July 27, 2017</w:t>
      </w:r>
      <w:r>
        <w:rPr>
          <w:sz w:val="20"/>
          <w:szCs w:val="20"/>
          <w:color w:val="auto"/>
        </w:rPr>
        <w:tab/>
      </w:r>
      <w:r>
        <w:rPr>
          <w:rFonts w:ascii="Times New Roman" w:cs="Times New Roman" w:eastAsia="Times New Roman" w:hAnsi="Times New Roman"/>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34290</wp:posOffset>
            </wp:positionV>
            <wp:extent cx="26073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84"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8"/>
          <w:szCs w:val="18"/>
          <w:color w:val="auto"/>
        </w:rPr>
        <w:t>Richard F. Westenberger</w:t>
      </w:r>
    </w:p>
    <w:p>
      <w:pPr>
        <w:spacing w:after="0" w:line="61"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63"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500"/>
          </w:cols>
          <w:pgMar w:left="240" w:top="585" w:right="115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D. Casey, certify that:</w:t>
      </w:r>
    </w:p>
    <w:p>
      <w:pPr>
        <w:spacing w:after="0" w:line="25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Carter’s, Inc.;</w:t>
      </w:r>
    </w:p>
    <w:p>
      <w:pPr>
        <w:spacing w:after="0" w:line="252"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left="1300" w:right="300" w:firstLine="5"/>
        <w:spacing w:after="0" w:line="266" w:lineRule="auto"/>
        <w:tabs>
          <w:tab w:leader="none" w:pos="154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1300" w:right="40" w:firstLine="5"/>
        <w:spacing w:after="0" w:line="266" w:lineRule="auto"/>
        <w:tabs>
          <w:tab w:leader="none" w:pos="155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300" w:right="160" w:firstLine="5"/>
        <w:spacing w:after="0" w:line="313" w:lineRule="auto"/>
        <w:tabs>
          <w:tab w:leader="none" w:pos="1545"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jc w:val="both"/>
        <w:ind w:left="1300" w:right="80" w:firstLine="5"/>
        <w:spacing w:after="0" w:line="266" w:lineRule="auto"/>
        <w:tabs>
          <w:tab w:leader="none" w:pos="155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380" w:firstLine="5"/>
        <w:spacing w:after="0" w:line="282" w:lineRule="auto"/>
        <w:tabs>
          <w:tab w:leader="none" w:pos="154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80" w:firstLine="5"/>
        <w:spacing w:after="0" w:line="282" w:lineRule="auto"/>
        <w:tabs>
          <w:tab w:leader="none" w:pos="155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60"/>
        <w:spacing w:after="0"/>
        <w:tabs>
          <w:tab w:leader="none" w:pos="6980" w:val="left"/>
        </w:tabs>
        <w:rPr>
          <w:sz w:val="20"/>
          <w:szCs w:val="20"/>
          <w:color w:val="auto"/>
        </w:rPr>
      </w:pPr>
      <w:r>
        <w:rPr>
          <w:rFonts w:ascii="Times New Roman" w:cs="Times New Roman" w:eastAsia="Times New Roman" w:hAnsi="Times New Roman"/>
          <w:sz w:val="18"/>
          <w:szCs w:val="18"/>
          <w:color w:val="auto"/>
        </w:rPr>
        <w:t>July 27, 2017</w:t>
      </w:r>
      <w:r>
        <w:rPr>
          <w:sz w:val="20"/>
          <w:szCs w:val="20"/>
          <w:color w:val="auto"/>
        </w:rPr>
        <w:tab/>
      </w:r>
      <w:r>
        <w:rPr>
          <w:rFonts w:ascii="Times New Roman" w:cs="Times New Roman" w:eastAsia="Times New Roman" w:hAnsi="Times New Roman"/>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34290</wp:posOffset>
            </wp:positionV>
            <wp:extent cx="18351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35150" cy="17145"/>
                    </a:xfrm>
                    <a:prstGeom prst="rect">
                      <a:avLst/>
                    </a:prstGeom>
                    <a:noFill/>
                  </pic:spPr>
                </pic:pic>
              </a:graphicData>
            </a:graphic>
          </wp:anchor>
        </w:drawing>
      </w:r>
    </w:p>
    <w:p>
      <w:pPr>
        <w:spacing w:after="0" w:line="70"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18"/>
          <w:szCs w:val="18"/>
          <w:color w:val="auto"/>
        </w:rPr>
        <w:t>Michael D. Casey</w:t>
      </w:r>
    </w:p>
    <w:p>
      <w:pPr>
        <w:spacing w:after="0" w:line="61"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420"/>
          </w:cols>
          <w:pgMar w:left="240" w:top="337" w:right="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F. Westenberger, certify that:</w:t>
      </w:r>
    </w:p>
    <w:p>
      <w:pPr>
        <w:spacing w:after="0" w:line="25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Carter’s, Inc.;</w:t>
      </w:r>
    </w:p>
    <w:p>
      <w:pPr>
        <w:spacing w:after="0" w:line="252"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left="1300" w:right="300" w:firstLine="5"/>
        <w:spacing w:after="0" w:line="266" w:lineRule="auto"/>
        <w:tabs>
          <w:tab w:leader="none" w:pos="154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1300" w:right="40" w:firstLine="5"/>
        <w:spacing w:after="0" w:line="266" w:lineRule="auto"/>
        <w:tabs>
          <w:tab w:leader="none" w:pos="155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300" w:right="160" w:firstLine="5"/>
        <w:spacing w:after="0" w:line="313" w:lineRule="auto"/>
        <w:tabs>
          <w:tab w:leader="none" w:pos="1545"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jc w:val="both"/>
        <w:ind w:left="1300" w:right="80" w:firstLine="5"/>
        <w:spacing w:after="0" w:line="266" w:lineRule="auto"/>
        <w:tabs>
          <w:tab w:leader="none" w:pos="155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380" w:firstLine="5"/>
        <w:spacing w:after="0" w:line="282" w:lineRule="auto"/>
        <w:tabs>
          <w:tab w:leader="none" w:pos="154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80" w:firstLine="5"/>
        <w:spacing w:after="0" w:line="282" w:lineRule="auto"/>
        <w:tabs>
          <w:tab w:leader="none" w:pos="155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1960"/>
        <w:spacing w:after="0"/>
        <w:tabs>
          <w:tab w:leader="none" w:pos="6420" w:val="left"/>
        </w:tabs>
        <w:rPr>
          <w:sz w:val="20"/>
          <w:szCs w:val="20"/>
          <w:color w:val="auto"/>
        </w:rPr>
      </w:pPr>
      <w:r>
        <w:rPr>
          <w:rFonts w:ascii="Times New Roman" w:cs="Times New Roman" w:eastAsia="Times New Roman" w:hAnsi="Times New Roman"/>
          <w:sz w:val="18"/>
          <w:szCs w:val="18"/>
          <w:color w:val="auto"/>
        </w:rPr>
        <w:t>July 27, 2017</w:t>
      </w:r>
      <w:r>
        <w:rPr>
          <w:sz w:val="20"/>
          <w:szCs w:val="20"/>
          <w:color w:val="auto"/>
        </w:rPr>
        <w:tab/>
      </w:r>
      <w:r>
        <w:rPr>
          <w:rFonts w:ascii="Times New Roman" w:cs="Times New Roman" w:eastAsia="Times New Roman" w:hAnsi="Times New Roman"/>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34290</wp:posOffset>
            </wp:positionV>
            <wp:extent cx="216979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84"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Richard F. Westenberger</w:t>
      </w:r>
    </w:p>
    <w:p>
      <w:pPr>
        <w:spacing w:after="0" w:line="61"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420"/>
          </w:cols>
          <w:pgMar w:left="240" w:top="243"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Each of the undersigned in the capacity indicated hereby certifies that, to his knowledge, this Report on Form 10-Q for the fiscal quarter ended July 1, 2017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660"/>
        <w:spacing w:after="0"/>
        <w:tabs>
          <w:tab w:leader="none" w:pos="6580" w:val="left"/>
        </w:tabs>
        <w:rPr>
          <w:sz w:val="20"/>
          <w:szCs w:val="20"/>
          <w:color w:val="auto"/>
        </w:rPr>
      </w:pPr>
      <w:r>
        <w:rPr>
          <w:rFonts w:ascii="Times New Roman" w:cs="Times New Roman" w:eastAsia="Times New Roman" w:hAnsi="Times New Roman"/>
          <w:sz w:val="18"/>
          <w:szCs w:val="18"/>
          <w:color w:val="auto"/>
        </w:rPr>
        <w:t>July 27, 2017</w:t>
      </w:r>
      <w:r>
        <w:rPr>
          <w:sz w:val="20"/>
          <w:szCs w:val="20"/>
          <w:color w:val="auto"/>
        </w:rPr>
        <w:tab/>
      </w:r>
      <w:r>
        <w:rPr>
          <w:rFonts w:ascii="Times New Roman" w:cs="Times New Roman" w:eastAsia="Times New Roman" w:hAnsi="Times New Roman"/>
          <w:sz w:val="18"/>
          <w:szCs w:val="18"/>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28473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84"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8"/>
          <w:szCs w:val="18"/>
          <w:color w:val="auto"/>
        </w:rPr>
        <w:t>Michael D. Casey</w:t>
      </w:r>
    </w:p>
    <w:p>
      <w:pPr>
        <w:spacing w:after="0" w:line="61"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660"/>
        <w:spacing w:after="0"/>
        <w:tabs>
          <w:tab w:leader="none" w:pos="6180" w:val="left"/>
        </w:tabs>
        <w:rPr>
          <w:sz w:val="20"/>
          <w:szCs w:val="20"/>
          <w:color w:val="auto"/>
        </w:rPr>
      </w:pPr>
      <w:r>
        <w:rPr>
          <w:rFonts w:ascii="Times New Roman" w:cs="Times New Roman" w:eastAsia="Times New Roman" w:hAnsi="Times New Roman"/>
          <w:sz w:val="18"/>
          <w:szCs w:val="18"/>
          <w:color w:val="auto"/>
        </w:rPr>
        <w:t>July 27, 2017</w:t>
      </w:r>
      <w:r>
        <w:rPr>
          <w:sz w:val="20"/>
          <w:szCs w:val="20"/>
          <w:color w:val="auto"/>
        </w:rPr>
        <w:tab/>
      </w:r>
      <w:r>
        <w:rPr>
          <w:rFonts w:ascii="Times New Roman" w:cs="Times New Roman" w:eastAsia="Times New Roman" w:hAnsi="Times New Roman"/>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28473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8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Richard F. Westenberger</w:t>
      </w:r>
    </w:p>
    <w:p>
      <w:pPr>
        <w:spacing w:after="0" w:line="6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420"/>
      </w:cols>
      <w:pgMar w:left="240" w:top="2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lowerLetter"/>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15">
    <w:nsid w:val="62BBD95A"/>
    <w:multiLevelType w:val="hybridMultilevel"/>
    <w:lvl w:ilvl="0">
      <w:lvlJc w:val="left"/>
      <w:lvlText w:val="(%1)"/>
      <w:numFmt w:val="lowerLetter"/>
      <w:start w:val="27"/>
    </w:lvl>
    <w:lvl w:ilvl="1">
      <w:lvlJc w:val="left"/>
      <w:lvlText w:val="•"/>
      <w:numFmt w:val="bullet"/>
      <w:start w:val="1"/>
    </w:lvl>
  </w:abstractNum>
  <w:abstractNum w:abstractNumId="16">
    <w:nsid w:val="436C6125"/>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17">
    <w:nsid w:val="628C895D"/>
    <w:multiLevelType w:val="hybridMultilevel"/>
    <w:lvl w:ilvl="0">
      <w:lvlJc w:val="left"/>
      <w:lvlText w:val="(%1)"/>
      <w:numFmt w:val="lowerLetter"/>
      <w:start w:val="27"/>
    </w:lvl>
    <w:lvl w:ilvl="1">
      <w:lvlJc w:val="left"/>
      <w:lvlText w:val="•"/>
      <w:numFmt w:val="bullet"/>
      <w:start w:val="1"/>
    </w:lvl>
    <w:lvl w:ilvl="2">
      <w:lvlJc w:val="left"/>
      <w:lvlText w:val="•"/>
      <w:numFmt w:val="bullet"/>
      <w:start w:val="1"/>
    </w:lvl>
  </w:abstractNum>
  <w:abstractNum w:abstractNumId="18">
    <w:nsid w:val="333AB105"/>
    <w:multiLevelType w:val="hybridMultilevel"/>
    <w:lvl w:ilvl="0">
      <w:lvlJc w:val="left"/>
      <w:lvlText w:val="(%1)"/>
      <w:numFmt w:val="lowerLetter"/>
      <w:start w:val="3"/>
    </w:lvl>
    <w:lvl w:ilvl="1">
      <w:lvlJc w:val="left"/>
      <w:lvlText w:val="•"/>
      <w:numFmt w:val="bullet"/>
      <w:start w:val="1"/>
    </w:lvl>
    <w:lvl w:ilvl="2">
      <w:lvlJc w:val="left"/>
      <w:lvlText w:val="•"/>
      <w:numFmt w:val="bullet"/>
      <w:start w:val="1"/>
    </w:lvl>
  </w:abstractNum>
  <w:abstractNum w:abstractNumId="19">
    <w:nsid w:val="721DA317"/>
    <w:multiLevelType w:val="hybridMultilevel"/>
    <w:lvl w:ilvl="0">
      <w:lvlJc w:val="left"/>
      <w:lvlText w:val="(%1)"/>
      <w:numFmt w:val="lowerLetter"/>
      <w:start w:val="29"/>
    </w:lvl>
    <w:lvl w:ilvl="1">
      <w:lvlJc w:val="left"/>
      <w:lvlText w:val="•"/>
      <w:numFmt w:val="bullet"/>
      <w:start w:val="1"/>
    </w:lvl>
  </w:abstractNum>
  <w:abstractNum w:abstractNumId="20">
    <w:nsid w:val="2443A858"/>
    <w:multiLevelType w:val="hybridMultilevel"/>
    <w:lvl w:ilvl="0">
      <w:lvlJc w:val="left"/>
      <w:lvlText w:val="•"/>
      <w:numFmt w:val="bullet"/>
      <w:start w:val="1"/>
    </w:lvl>
    <w:lvl w:ilvl="1">
      <w:lvlJc w:val="left"/>
      <w:lvlText w:val="•"/>
      <w:numFmt w:val="bullet"/>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2019-12-29T05:44:26Z</dcterms:created>
  <dcterms:modified xsi:type="dcterms:W3CDTF">2019-12-29T05:44:26Z</dcterms:modified>
</cp:coreProperties>
</file>