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1" w:lineRule="exact"/>
        <w:rPr>
          <w:sz w:val="24"/>
          <w:szCs w:val="24"/>
          <w:color w:val="auto"/>
        </w:rPr>
      </w:pPr>
    </w:p>
    <w:p>
      <w:pPr>
        <w:ind w:left="380" w:right="1000" w:hanging="345"/>
        <w:spacing w:after="0" w:line="286" w:lineRule="auto"/>
        <w:tabs>
          <w:tab w:leader="none" w:pos="40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JULY 2, 2016 OR</w:t>
      </w:r>
    </w:p>
    <w:p>
      <w:pPr>
        <w:spacing w:after="0" w:line="114"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w:t>
      </w:r>
    </w:p>
    <w:p>
      <w:pPr>
        <w:spacing w:after="0" w:line="33"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EXCHANGE ACT OF 1934 FOR THE TRANSITION PERIOD FROM _____</w:t>
      </w:r>
    </w:p>
    <w:p>
      <w:pPr>
        <w:spacing w:after="0" w:line="7" w:lineRule="exact"/>
        <w:rPr>
          <w:rFonts w:ascii="MS PGothic" w:cs="MS PGothic" w:eastAsia="MS PGothic" w:hAnsi="MS PGothic"/>
          <w:sz w:val="18"/>
          <w:szCs w:val="18"/>
          <w:color w:val="auto"/>
        </w:rPr>
      </w:pPr>
    </w:p>
    <w:p>
      <w:pPr>
        <w:ind w:left="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TO ______</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001-31829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CARTER’S,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473" w:right="239" w:bottom="1440" w:gutter="0" w:footer="0" w:header="0"/>
        </w:sectPr>
      </w:pPr>
    </w:p>
    <w:p>
      <w:pPr>
        <w:spacing w:after="0" w:line="14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13-3912933</w:t>
      </w:r>
    </w:p>
    <w:p>
      <w:pPr>
        <w:spacing w:after="0" w:line="67" w:lineRule="exact"/>
        <w:rPr>
          <w:sz w:val="24"/>
          <w:szCs w:val="24"/>
          <w:color w:val="auto"/>
        </w:rPr>
      </w:pPr>
    </w:p>
    <w:p>
      <w:pPr>
        <w:sectPr>
          <w:pgSz w:w="11900" w:h="16838" w:orient="portrait"/>
          <w:cols w:equalWidth="0" w:num="2">
            <w:col w:w="6760" w:space="720"/>
            <w:col w:w="3940"/>
          </w:cols>
          <w:pgMar w:left="240" w:top="473" w:right="239" w:bottom="1440" w:gutter="0" w:footer="0" w:header="0"/>
          <w:type w:val="continuous"/>
        </w:sectPr>
      </w:pPr>
    </w:p>
    <w:p>
      <w:pPr>
        <w:ind w:left="24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75" w:lineRule="exact"/>
        <w:rPr>
          <w:sz w:val="24"/>
          <w:szCs w:val="24"/>
          <w:color w:val="auto"/>
        </w:rPr>
      </w:pPr>
    </w:p>
    <w:p>
      <w:pPr>
        <w:sectPr>
          <w:pgSz w:w="11900" w:h="16838" w:orient="portrait"/>
          <w:cols w:equalWidth="0" w:num="2">
            <w:col w:w="5900" w:space="720"/>
            <w:col w:w="4800"/>
          </w:cols>
          <w:pgMar w:left="240" w:top="473" w:right="239" w:bottom="1440" w:gutter="0" w:footer="0" w:header="0"/>
          <w:type w:val="continuous"/>
        </w:sectPr>
      </w:pPr>
    </w:p>
    <w:p>
      <w:pPr>
        <w:ind w:left="2420"/>
        <w:spacing w:after="0"/>
        <w:rPr>
          <w:sz w:val="20"/>
          <w:szCs w:val="20"/>
          <w:color w:val="auto"/>
        </w:rPr>
      </w:pPr>
      <w:r>
        <w:rPr>
          <w:rFonts w:ascii="Times New Roman" w:cs="Times New Roman" w:eastAsia="Times New Roman" w:hAnsi="Times New Roman"/>
          <w:sz w:val="17"/>
          <w:szCs w:val="17"/>
          <w:color w:val="auto"/>
        </w:rPr>
        <w:t>incorporation or organization)</w:t>
      </w:r>
    </w:p>
    <w:p>
      <w:pPr>
        <w:sectPr>
          <w:pgSz w:w="11900" w:h="16838" w:orient="portrait"/>
          <w:cols w:equalWidth="0" w:num="1">
            <w:col w:w="11420"/>
          </w:cols>
          <w:pgMar w:left="240" w:top="473" w:right="239" w:bottom="1440" w:gutter="0" w:footer="0" w:header="0"/>
          <w:type w:val="continuous"/>
        </w:sect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Phipps Tower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3438 Peachtree Road NE, Suite 1800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Georgia 30326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791-1000</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6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6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4"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6"/>
          <w:szCs w:val="16"/>
          <w:color w:val="auto"/>
        </w:rPr>
        <w:t>Large Accelerated Filer (X) Accelerated Filer ( ) Non-Accelerated Filer ( ) Smaller Reporting Company ( )</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 (</w:t>
      </w:r>
      <w:r>
        <w:rPr>
          <w:rFonts w:ascii="Times New Roman" w:cs="Times New Roman" w:eastAsia="Times New Roman" w:hAnsi="Times New Roman"/>
          <w:sz w:val="18"/>
          <w:szCs w:val="18"/>
          <w:color w:val="FFFFFF"/>
        </w:rPr>
        <w:t>X</w:t>
      </w:r>
      <w:r>
        <w:rPr>
          <w:rFonts w:ascii="Times New Roman" w:cs="Times New Roman" w:eastAsia="Times New Roman" w:hAnsi="Times New Roman"/>
          <w:sz w:val="18"/>
          <w:szCs w:val="18"/>
          <w:color w:val="auto"/>
        </w:rPr>
        <w:t>) No (X)</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86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45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Outstanding Shares at July 22, 2016</w:t>
            </w:r>
          </w:p>
        </w:tc>
      </w:tr>
      <w:tr>
        <w:trPr>
          <w:trHeight w:val="27"/>
        </w:trPr>
        <w:tc>
          <w:tcPr>
            <w:tcW w:w="4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6860" w:type="dxa"/>
            <w:vAlign w:val="bottom"/>
            <w:gridSpan w:val="2"/>
          </w:tcPr>
          <w:p>
            <w:pPr>
              <w:jc w:val="center"/>
              <w:ind w:right="238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4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50,060,231</w:t>
            </w:r>
          </w:p>
        </w:tc>
      </w:tr>
      <w:tr>
        <w:trPr>
          <w:trHeight w:val="358"/>
        </w:trPr>
        <w:tc>
          <w:tcPr>
            <w:tcW w:w="44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20" w:type="dxa"/>
            <w:vAlign w:val="bottom"/>
            <w:gridSpan w:val="12"/>
          </w:tcPr>
          <w:p>
            <w:pPr>
              <w:jc w:val="center"/>
              <w:ind w:right="2020"/>
              <w:spacing w:after="0"/>
              <w:rPr>
                <w:sz w:val="20"/>
                <w:szCs w:val="20"/>
                <w:color w:val="auto"/>
              </w:rPr>
            </w:pPr>
            <w:r>
              <w:rPr>
                <w:rFonts w:ascii="Times New Roman" w:cs="Times New Roman" w:eastAsia="Times New Roman" w:hAnsi="Times New Roman"/>
                <w:sz w:val="20"/>
                <w:szCs w:val="20"/>
                <w:b w:val="1"/>
                <w:bCs w:val="1"/>
                <w:color w:val="auto"/>
                <w:w w:val="98"/>
              </w:rPr>
              <w:t>CARTER’S, INC.</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80" w:type="dxa"/>
            <w:vAlign w:val="bottom"/>
            <w:gridSpan w:val="11"/>
          </w:tcPr>
          <w:p>
            <w:pPr>
              <w:jc w:val="center"/>
              <w:ind w:right="2960"/>
              <w:spacing w:after="0"/>
              <w:rPr>
                <w:sz w:val="20"/>
                <w:szCs w:val="20"/>
                <w:color w:val="auto"/>
              </w:rPr>
            </w:pPr>
            <w:r>
              <w:rPr>
                <w:rFonts w:ascii="Times New Roman" w:cs="Times New Roman" w:eastAsia="Times New Roman" w:hAnsi="Times New Roman"/>
                <w:sz w:val="20"/>
                <w:szCs w:val="20"/>
                <w:b w:val="1"/>
                <w:bCs w:val="1"/>
                <w:color w:val="auto"/>
                <w:w w:val="99"/>
              </w:rPr>
              <w:t>INDEX</w:t>
            </w: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64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1"/>
        </w:trPr>
        <w:tc>
          <w:tcPr>
            <w:tcW w:w="9340" w:type="dxa"/>
            <w:vAlign w:val="bottom"/>
            <w:gridSpan w:val="31"/>
            <w:vMerge w:val="restart"/>
          </w:tcPr>
          <w:p>
            <w:pPr>
              <w:ind w:left="40"/>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9340" w:type="dxa"/>
            <w:vAlign w:val="bottom"/>
            <w:gridSpan w:val="31"/>
            <w:vMerge w:val="continue"/>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Balance Sheets as of July 2, 2016, January 2, 2016 and July 4,</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4"/>
              </w:rPr>
              <w:t>2015</w:t>
            </w: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4"/>
          </w:tcPr>
          <w:p>
            <w:pPr>
              <w:jc w:val="center"/>
              <w:ind w:left="689"/>
              <w:spacing w:after="0" w:line="196"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10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shd w:val="clear" w:color="auto" w:fill="CCEEFF"/>
              </w:rPr>
              <w:t>Unaudited Condensed Consolidated Statements of Operations for the fiscal quarter and two fiscal</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220" w:type="dxa"/>
            <w:vAlign w:val="bottom"/>
            <w:tcBorders>
              <w:top w:val="single" w:sz="8" w:color="0000FF"/>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shd w:val="clear" w:color="auto" w:fill="CCEEFF"/>
              </w:rPr>
              <w:t>quarters ended July 2, 2016 and July 4, 2015</w:t>
            </w:r>
          </w:p>
        </w:tc>
        <w:tc>
          <w:tcPr>
            <w:tcW w:w="74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700" w:type="dxa"/>
            <w:vAlign w:val="bottom"/>
            <w:tcBorders>
              <w:top w:val="single" w:sz="8" w:color="0000FF"/>
            </w:tcBorders>
            <w:shd w:val="clear" w:color="auto" w:fill="CCEEFF"/>
          </w:tcPr>
          <w:p>
            <w:pPr>
              <w:spacing w:after="0"/>
              <w:rPr>
                <w:sz w:val="17"/>
                <w:szCs w:val="17"/>
                <w:color w:val="auto"/>
              </w:rPr>
            </w:pPr>
          </w:p>
        </w:tc>
        <w:tc>
          <w:tcPr>
            <w:tcW w:w="1400" w:type="dxa"/>
            <w:vAlign w:val="bottom"/>
            <w:tcBorders>
              <w:top w:val="single" w:sz="8" w:color="0000FF"/>
            </w:tcBorders>
            <w:shd w:val="clear" w:color="auto" w:fill="CCEEFF"/>
          </w:tcPr>
          <w:p>
            <w:pPr>
              <w:spacing w:after="0"/>
              <w:rPr>
                <w:sz w:val="17"/>
                <w:szCs w:val="17"/>
                <w:color w:val="auto"/>
              </w:rPr>
            </w:pPr>
          </w:p>
        </w:tc>
        <w:tc>
          <w:tcPr>
            <w:tcW w:w="56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gridSpan w:val="4"/>
            <w:shd w:val="clear" w:color="auto" w:fill="CCEEFF"/>
          </w:tcPr>
          <w:p>
            <w:pPr>
              <w:jc w:val="center"/>
              <w:ind w:left="689"/>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2</w:t>
              </w:r>
            </w:hyperlink>
          </w:p>
        </w:tc>
        <w:tc>
          <w:tcPr>
            <w:tcW w:w="7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Income for the fiscal quarter and</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8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two fiscal quarters ended July 2, 2016 and July 4, 2015</w:t>
            </w:r>
          </w:p>
        </w:tc>
        <w:tc>
          <w:tcPr>
            <w:tcW w:w="320" w:type="dxa"/>
            <w:vAlign w:val="bottom"/>
            <w:gridSpan w:val="3"/>
          </w:tcPr>
          <w:p>
            <w:pPr>
              <w:spacing w:after="0"/>
              <w:rPr>
                <w:sz w:val="17"/>
                <w:szCs w:val="17"/>
                <w:color w:val="auto"/>
              </w:rPr>
            </w:pPr>
          </w:p>
        </w:tc>
        <w:tc>
          <w:tcPr>
            <w:tcW w:w="980" w:type="dxa"/>
            <w:vAlign w:val="bottom"/>
            <w:gridSpan w:val="4"/>
          </w:tcPr>
          <w:p>
            <w:pPr>
              <w:jc w:val="center"/>
              <w:ind w:left="689"/>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3</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0000FF"/>
            </w:tcBorders>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shd w:val="clear" w:color="auto" w:fill="CCEEFF"/>
              </w:rPr>
              <w:t>Unaudited Condensed Consolidated Statement of Changes in Stockholders' Equity for the two fiscal</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980" w:type="dxa"/>
            <w:vAlign w:val="bottom"/>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8"/>
                <w:shd w:val="clear" w:color="auto" w:fill="CCEEFF"/>
              </w:rPr>
              <w:t>quarters ended July 2, 2016</w:t>
            </w:r>
          </w:p>
        </w:tc>
        <w:tc>
          <w:tcPr>
            <w:tcW w:w="30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center"/>
              <w:ind w:left="689"/>
              <w:spacing w:after="0" w:line="196"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0" w:type="dxa"/>
            <w:vAlign w:val="bottom"/>
            <w:tcBorders>
              <w:bottom w:val="single" w:sz="8" w:color="0000FF"/>
            </w:tcBorders>
            <w:gridSpan w:val="23"/>
          </w:tcPr>
          <w:p>
            <w:pPr>
              <w:spacing w:after="0" w:line="202" w:lineRule="exact"/>
              <w:rPr>
                <w:sz w:val="20"/>
                <w:szCs w:val="20"/>
                <w:color w:val="auto"/>
              </w:rPr>
            </w:pPr>
            <w:r>
              <w:rPr>
                <w:rFonts w:ascii="Times New Roman" w:cs="Times New Roman" w:eastAsia="Times New Roman" w:hAnsi="Times New Roman"/>
                <w:sz w:val="18"/>
                <w:szCs w:val="18"/>
                <w:color w:val="0000FF"/>
                <w:w w:val="99"/>
              </w:rPr>
              <w:t>Unaudited Condensed Consolidated Statements of Cash Flows for the two fiscal quarters ended July 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2016 and July 4, 2015</w:t>
            </w:r>
          </w:p>
        </w:tc>
        <w:tc>
          <w:tcPr>
            <w:tcW w:w="980" w:type="dxa"/>
            <w:vAlign w:val="bottom"/>
            <w:gridSpan w:val="4"/>
          </w:tcPr>
          <w:p>
            <w:pPr>
              <w:jc w:val="center"/>
              <w:ind w:left="689"/>
              <w:spacing w:after="0" w:line="196"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5</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the Unaudited Condensed Consolidated Financial Statements</w:t>
              </w:r>
            </w:hyperlink>
          </w:p>
        </w:tc>
        <w:tc>
          <w:tcPr>
            <w:tcW w:w="980" w:type="dxa"/>
            <w:vAlign w:val="bottom"/>
            <w:gridSpan w:val="4"/>
            <w:shd w:val="clear" w:color="auto" w:fill="CCEEFF"/>
          </w:tcPr>
          <w:p>
            <w:pPr>
              <w:jc w:val="center"/>
              <w:ind w:left="689"/>
              <w:spacing w:after="0" w:line="202"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6</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800" w:type="dxa"/>
            <w:vAlign w:val="bottom"/>
            <w:gridSpan w:val="6"/>
          </w:tcPr>
          <w:p>
            <w:pPr>
              <w:ind w:left="56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2</w:t>
              </w:r>
            </w:hyperlink>
          </w:p>
        </w:tc>
        <w:tc>
          <w:tcPr>
            <w:tcW w:w="7500" w:type="dxa"/>
            <w:vAlign w:val="bottom"/>
            <w:gridSpan w:val="24"/>
          </w:tcPr>
          <w:p>
            <w:pPr>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30</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3</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Quantitative and Qualitative Disclosures about Market Risk</w:t>
              </w:r>
            </w:hyperlink>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43</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4</w:t>
              </w:r>
            </w:hyperlink>
          </w:p>
        </w:tc>
        <w:tc>
          <w:tcPr>
            <w:tcW w:w="7500" w:type="dxa"/>
            <w:vAlign w:val="bottom"/>
            <w:gridSpan w:val="24"/>
          </w:tcPr>
          <w:p>
            <w:pPr>
              <w:spacing w:after="0" w:line="202"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Controls and Procedures</w:t>
              </w:r>
            </w:hyperlink>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44</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9340" w:type="dxa"/>
            <w:vAlign w:val="bottom"/>
            <w:gridSpan w:val="31"/>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750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Proceedings</w:t>
            </w:r>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45</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Times New Roman" w:cs="Times New Roman" w:eastAsia="Times New Roman" w:hAnsi="Times New Roman"/>
                <w:sz w:val="18"/>
                <w:szCs w:val="18"/>
                <w:color w:val="0000FF"/>
              </w:rPr>
            </w:pPr>
            <w:hyperlink w:anchor="page47">
              <w:r>
                <w:rPr>
                  <w:rFonts w:ascii="Times New Roman" w:cs="Times New Roman" w:eastAsia="Times New Roman" w:hAnsi="Times New Roman"/>
                  <w:sz w:val="18"/>
                  <w:szCs w:val="18"/>
                  <w:color w:val="0000FF"/>
                </w:rPr>
                <w:t>Item 1A</w:t>
              </w:r>
            </w:hyperlink>
          </w:p>
        </w:tc>
        <w:tc>
          <w:tcPr>
            <w:tcW w:w="7500" w:type="dxa"/>
            <w:vAlign w:val="bottom"/>
            <w:gridSpan w:val="24"/>
          </w:tcPr>
          <w:p>
            <w:pPr>
              <w:spacing w:after="0" w:line="202"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Risk Factors</w:t>
              </w:r>
            </w:hyperlink>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45</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FF"/>
              </w:rPr>
            </w:pPr>
            <w:hyperlink w:anchor="page48">
              <w:r>
                <w:rPr>
                  <w:rFonts w:ascii="Times New Roman" w:cs="Times New Roman" w:eastAsia="Times New Roman" w:hAnsi="Times New Roman"/>
                  <w:sz w:val="18"/>
                  <w:szCs w:val="18"/>
                  <w:color w:val="0000FF"/>
                </w:rPr>
                <w:t>Item 2</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Unregistered Sales of Equity Securities and Use of Proceeds</w:t>
              </w:r>
            </w:hyperlink>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46</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750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47</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FF"/>
              </w:rPr>
            </w:pPr>
            <w:hyperlink w:anchor="page49">
              <w:r>
                <w:rPr>
                  <w:rFonts w:ascii="Times New Roman" w:cs="Times New Roman" w:eastAsia="Times New Roman" w:hAnsi="Times New Roman"/>
                  <w:sz w:val="18"/>
                  <w:szCs w:val="18"/>
                  <w:color w:val="0000FF"/>
                </w:rPr>
                <w:t>Item 4</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Mine Safety Disclosures</w:t>
              </w:r>
            </w:hyperlink>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47</w:t>
              </w:r>
            </w:hyperlink>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5"/>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Item 5</w:t>
              </w:r>
            </w:hyperlink>
          </w:p>
        </w:tc>
        <w:tc>
          <w:tcPr>
            <w:tcW w:w="7500" w:type="dxa"/>
            <w:vAlign w:val="bottom"/>
            <w:gridSpan w:val="24"/>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Other Information</w:t>
              </w:r>
            </w:hyperlink>
          </w:p>
        </w:tc>
        <w:tc>
          <w:tcPr>
            <w:tcW w:w="980" w:type="dxa"/>
            <w:vAlign w:val="bottom"/>
            <w:gridSpan w:val="4"/>
          </w:tcPr>
          <w:p>
            <w:pPr>
              <w:jc w:val="center"/>
              <w:ind w:left="709"/>
              <w:spacing w:after="0" w:line="202"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47</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800" w:type="dxa"/>
            <w:vAlign w:val="bottom"/>
            <w:gridSpan w:val="6"/>
            <w:shd w:val="clear" w:color="auto" w:fill="CCEEFF"/>
          </w:tcPr>
          <w:p>
            <w:pPr>
              <w:ind w:left="560"/>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Item 6</w:t>
              </w:r>
            </w:hyperlink>
          </w:p>
        </w:tc>
        <w:tc>
          <w:tcPr>
            <w:tcW w:w="7500" w:type="dxa"/>
            <w:vAlign w:val="bottom"/>
            <w:gridSpan w:val="24"/>
            <w:shd w:val="clear" w:color="auto" w:fill="CCEEFF"/>
          </w:tcPr>
          <w:p>
            <w:pPr>
              <w:spacing w:after="0" w:line="202"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Exhibits</w:t>
              </w:r>
            </w:hyperlink>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47</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40" w:type="dxa"/>
            <w:vAlign w:val="bottom"/>
            <w:gridSpan w:val="7"/>
            <w:shd w:val="clear" w:color="auto" w:fill="CCEEFF"/>
          </w:tcPr>
          <w:p>
            <w:pPr>
              <w:ind w:left="40"/>
              <w:spacing w:after="0" w:line="202" w:lineRule="exact"/>
              <w:rPr>
                <w:rFonts w:ascii="Times New Roman" w:cs="Times New Roman" w:eastAsia="Times New Roman" w:hAnsi="Times New Roman"/>
                <w:sz w:val="18"/>
                <w:szCs w:val="18"/>
                <w:b w:val="1"/>
                <w:bCs w:val="1"/>
                <w:color w:val="0000EE"/>
              </w:rPr>
            </w:pPr>
            <w:hyperlink w:anchor="page50">
              <w:r>
                <w:rPr>
                  <w:rFonts w:ascii="Times New Roman" w:cs="Times New Roman" w:eastAsia="Times New Roman" w:hAnsi="Times New Roman"/>
                  <w:sz w:val="18"/>
                  <w:szCs w:val="18"/>
                  <w:b w:val="1"/>
                  <w:bCs w:val="1"/>
                  <w:color w:val="0000EE"/>
                </w:rPr>
                <w:t>Signatures</w:t>
              </w:r>
            </w:hyperlink>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center"/>
              <w:ind w:left="709"/>
              <w:spacing w:after="0" w:line="202"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48</w:t>
              </w:r>
            </w:hyperlink>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56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40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40" w:type="dxa"/>
            <w:vAlign w:val="bottom"/>
            <w:gridSpan w:val="7"/>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EE"/>
              </w:rPr>
              <w:t>Certifications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1044" w:right="55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18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January 2, 2016</w:t>
            </w:r>
          </w:p>
        </w:tc>
        <w:tc>
          <w:tcPr>
            <w:tcW w:w="220" w:type="dxa"/>
            <w:vAlign w:val="bottom"/>
          </w:tcPr>
          <w:p>
            <w:pPr>
              <w:spacing w:after="0"/>
              <w:rPr>
                <w:sz w:val="18"/>
                <w:szCs w:val="18"/>
                <w:color w:val="auto"/>
              </w:rPr>
            </w:pPr>
          </w:p>
        </w:tc>
        <w:tc>
          <w:tcPr>
            <w:tcW w:w="13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July 4, 2015</w:t>
            </w:r>
          </w:p>
        </w:tc>
        <w:tc>
          <w:tcPr>
            <w:tcW w:w="0" w:type="dxa"/>
            <w:vAlign w:val="bottom"/>
          </w:tcPr>
          <w:p>
            <w:pPr>
              <w:spacing w:after="0"/>
              <w:rPr>
                <w:sz w:val="1"/>
                <w:szCs w:val="1"/>
                <w:color w:val="auto"/>
              </w:rPr>
            </w:pPr>
          </w:p>
        </w:tc>
      </w:tr>
      <w:tr>
        <w:trPr>
          <w:trHeight w:val="33"/>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205,080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381,209</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244,301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150,633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157,145</w:t>
            </w:r>
          </w:p>
        </w:tc>
        <w:tc>
          <w:tcPr>
            <w:tcW w:w="0" w:type="dxa"/>
            <w:vAlign w:val="bottom"/>
          </w:tcPr>
          <w:p>
            <w:pPr>
              <w:spacing w:after="0"/>
              <w:rPr>
                <w:sz w:val="1"/>
                <w:szCs w:val="1"/>
                <w:color w:val="auto"/>
              </w:rPr>
            </w:pPr>
          </w:p>
        </w:tc>
      </w:tr>
      <w:tr>
        <w:trPr>
          <w:trHeight w:val="237"/>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2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587,434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469,934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544,256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46,189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47,639</w:t>
            </w:r>
          </w:p>
        </w:tc>
        <w:tc>
          <w:tcPr>
            <w:tcW w:w="0" w:type="dxa"/>
            <w:vAlign w:val="bottom"/>
          </w:tcPr>
          <w:p>
            <w:pPr>
              <w:spacing w:after="0"/>
              <w:rPr>
                <w:sz w:val="1"/>
                <w:szCs w:val="1"/>
                <w:color w:val="auto"/>
              </w:rPr>
            </w:pPr>
          </w:p>
        </w:tc>
      </w:tr>
      <w:tr>
        <w:trPr>
          <w:trHeight w:val="237"/>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32,816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34,080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31,871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1,022,152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1,130,608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1,025,212</w:t>
            </w: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$317,580, $290,636,</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and $263,580, respectively</w:t>
            </w:r>
          </w:p>
        </w:tc>
        <w:tc>
          <w:tcPr>
            <w:tcW w:w="22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386,034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371,704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353,138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Tradenames,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309,017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310,848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312,836</w:t>
            </w: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177,540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174,874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178,753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13,759</w:t>
            </w:r>
          </w:p>
        </w:tc>
        <w:tc>
          <w:tcPr>
            <w:tcW w:w="0" w:type="dxa"/>
            <w:vAlign w:val="bottom"/>
          </w:tcPr>
          <w:p>
            <w:pPr>
              <w:spacing w:after="0"/>
              <w:rPr>
                <w:sz w:val="1"/>
                <w:szCs w:val="1"/>
                <w:color w:val="auto"/>
              </w:rPr>
            </w:pPr>
          </w:p>
        </w:tc>
      </w:tr>
      <w:tr>
        <w:trPr>
          <w:trHeight w:val="284"/>
        </w:trPr>
        <w:tc>
          <w:tcPr>
            <w:tcW w:w="598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1,912,492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2,003,654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1,883,698</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190,366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157,648</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145,809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80,595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105,070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76,451</w:t>
            </w:r>
          </w:p>
        </w:tc>
        <w:tc>
          <w:tcPr>
            <w:tcW w:w="0" w:type="dxa"/>
            <w:vAlign w:val="bottom"/>
          </w:tcPr>
          <w:p>
            <w:pPr>
              <w:spacing w:after="0"/>
              <w:rPr>
                <w:sz w:val="1"/>
                <w:szCs w:val="1"/>
                <w:color w:val="auto"/>
              </w:rPr>
            </w:pPr>
          </w:p>
        </w:tc>
      </w:tr>
      <w:tr>
        <w:trPr>
          <w:trHeight w:val="217"/>
        </w:trPr>
        <w:tc>
          <w:tcPr>
            <w:tcW w:w="59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270,961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262,718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222,260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580,678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578,972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580,427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128,838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119,230</w:t>
            </w: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165,469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158,075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158,842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1,145,790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1,128,603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1,080,759</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Commitments and contingencies - Note 13</w:t>
            </w: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Preferred stock; par value $.01 per share; 100,000 shares authorized; none issued or</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outstanding at July 2, 2016, January 2, 2016, and July 4, 2015</w:t>
            </w: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Common stock, voting; par value $.01 per share; 150,000,000 shares authorized;</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50,194,955, 51,764,309, and 52,331,208 shares issued and outstanding at July 2,</w:t>
            </w:r>
          </w:p>
        </w:tc>
        <w:tc>
          <w:tcPr>
            <w:tcW w:w="7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shd w:val="clear" w:color="auto" w:fill="CCEEFF"/>
              </w:rPr>
              <w:t>2016,</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January 2, 2016 and July 4, 2015, respectively</w:t>
            </w: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(29,275)</w:t>
            </w:r>
          </w:p>
        </w:tc>
        <w:tc>
          <w:tcPr>
            <w:tcW w:w="0" w:type="dxa"/>
            <w:vAlign w:val="bottom"/>
          </w:tcPr>
          <w:p>
            <w:pPr>
              <w:spacing w:after="0"/>
              <w:rPr>
                <w:sz w:val="1"/>
                <w:szCs w:val="1"/>
                <w:color w:val="auto"/>
              </w:rPr>
            </w:pPr>
          </w:p>
        </w:tc>
      </w:tr>
      <w:tr>
        <w:trPr>
          <w:trHeight w:val="23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796,733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910,900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831,691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766,702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875,051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802,939</w:t>
            </w:r>
          </w:p>
        </w:tc>
        <w:tc>
          <w:tcPr>
            <w:tcW w:w="0" w:type="dxa"/>
            <w:vAlign w:val="bottom"/>
          </w:tcPr>
          <w:p>
            <w:pPr>
              <w:spacing w:after="0"/>
              <w:rPr>
                <w:sz w:val="1"/>
                <w:szCs w:val="1"/>
                <w:color w:val="auto"/>
              </w:rPr>
            </w:pPr>
          </w:p>
        </w:tc>
      </w:tr>
      <w:tr>
        <w:trPr>
          <w:trHeight w:val="244"/>
        </w:trPr>
        <w:tc>
          <w:tcPr>
            <w:tcW w:w="59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1,912,492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2,003,654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1,883,698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240" w:top="360" w:right="5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80" w:type="dxa"/>
            <w:vAlign w:val="bottom"/>
          </w:tcPr>
          <w:p>
            <w:pPr>
              <w:spacing w:after="0"/>
              <w:rPr>
                <w:sz w:val="18"/>
                <w:szCs w:val="18"/>
                <w:color w:val="auto"/>
              </w:rPr>
            </w:pPr>
          </w:p>
        </w:tc>
        <w:tc>
          <w:tcPr>
            <w:tcW w:w="2860" w:type="dxa"/>
            <w:vAlign w:val="bottom"/>
            <w:gridSpan w:val="4"/>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33"/>
        </w:trPr>
        <w:tc>
          <w:tcPr>
            <w:tcW w:w="5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22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4, 2015</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240" w:type="dxa"/>
            <w:vAlign w:val="bottom"/>
          </w:tcPr>
          <w:p>
            <w:pPr>
              <w:spacing w:after="0"/>
              <w:rPr>
                <w:sz w:val="20"/>
                <w:szCs w:val="20"/>
                <w:color w:val="auto"/>
              </w:rPr>
            </w:pPr>
          </w:p>
        </w:tc>
        <w:tc>
          <w:tcPr>
            <w:tcW w:w="13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July 4, 2015</w:t>
            </w:r>
          </w:p>
        </w:tc>
      </w:tr>
      <w:tr>
        <w:trPr>
          <w:trHeight w:val="33"/>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639,471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612,765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1,363,556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1,297,529</w:t>
            </w: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357,289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349,870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770,445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750,582</w:t>
            </w:r>
          </w:p>
        </w:tc>
      </w:tr>
      <w:tr>
        <w:trPr>
          <w:trHeight w:val="33"/>
        </w:trPr>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282,182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262,895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593,111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546,947</w:t>
            </w: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228,464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209,296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457,460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420,479</w:t>
            </w: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Royalty income</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(19,989)</w:t>
            </w:r>
          </w:p>
        </w:tc>
      </w:tr>
      <w:tr>
        <w:trPr>
          <w:trHeight w:val="21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63,243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61,952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156,251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146,457</w:t>
            </w: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13,627</w:t>
            </w: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r>
      <w:tr>
        <w:trPr>
          <w:trHeight w:val="21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56,102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57,074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139,385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133,062</w:t>
            </w: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20,969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49,207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47,165</w:t>
            </w:r>
          </w:p>
        </w:tc>
      </w:tr>
      <w:tr>
        <w:trPr>
          <w:trHeight w:val="284"/>
        </w:trPr>
        <w:tc>
          <w:tcPr>
            <w:tcW w:w="5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36,198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36,105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90,178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85,897</w:t>
            </w:r>
          </w:p>
        </w:tc>
      </w:tr>
      <w:tr>
        <w:trPr>
          <w:trHeight w:val="311"/>
        </w:trPr>
        <w:tc>
          <w:tcPr>
            <w:tcW w:w="5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0.72</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20"/>
                <w:szCs w:val="20"/>
                <w:color w:val="auto"/>
              </w:rPr>
            </w:pPr>
          </w:p>
        </w:tc>
        <w:tc>
          <w:tcPr>
            <w:tcW w:w="2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1.63</w:t>
            </w:r>
          </w:p>
        </w:tc>
      </w:tr>
      <w:tr>
        <w:trPr>
          <w:trHeight w:val="33"/>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w:t>
            </w:r>
          </w:p>
        </w:tc>
      </w:tr>
      <w:tr>
        <w:trPr>
          <w:trHeight w:val="23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 declared and paid per common share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Pr>
          <w:p>
            <w:pPr>
              <w:spacing w:after="0"/>
              <w:rPr>
                <w:sz w:val="20"/>
                <w:szCs w:val="20"/>
                <w:color w:val="auto"/>
              </w:rPr>
            </w:pPr>
          </w:p>
        </w:tc>
        <w:tc>
          <w:tcPr>
            <w:tcW w:w="2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0.44</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792" w:right="2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20" w:type="dxa"/>
            <w:vAlign w:val="bottom"/>
          </w:tcPr>
          <w:p>
            <w:pPr>
              <w:spacing w:after="0"/>
              <w:rPr>
                <w:sz w:val="18"/>
                <w:szCs w:val="18"/>
                <w:color w:val="auto"/>
              </w:rPr>
            </w:pPr>
          </w:p>
        </w:tc>
        <w:tc>
          <w:tcPr>
            <w:tcW w:w="304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33"/>
        </w:trPr>
        <w:tc>
          <w:tcPr>
            <w:tcW w:w="3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4, 2015</w:t>
            </w:r>
          </w:p>
        </w:tc>
        <w:tc>
          <w:tcPr>
            <w:tcW w:w="22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240" w:type="dxa"/>
            <w:vAlign w:val="bottom"/>
          </w:tcPr>
          <w:p>
            <w:pPr>
              <w:spacing w:after="0"/>
              <w:rPr>
                <w:sz w:val="20"/>
                <w:szCs w:val="20"/>
                <w:color w:val="auto"/>
              </w:rPr>
            </w:pPr>
          </w:p>
        </w:tc>
        <w:tc>
          <w:tcPr>
            <w:tcW w:w="13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July 4, 2015</w:t>
            </w:r>
          </w:p>
        </w:tc>
      </w:tr>
      <w:tr>
        <w:trPr>
          <w:trHeight w:val="33"/>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36,105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90,178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85,897</w:t>
            </w:r>
          </w:p>
        </w:tc>
      </w:tr>
      <w:tr>
        <w:trPr>
          <w:trHeight w:val="237"/>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(6,238)</w:t>
            </w:r>
          </w:p>
        </w:tc>
      </w:tr>
      <w:tr>
        <w:trPr>
          <w:trHeight w:val="244"/>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36,746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35,861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96,012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79,659</w:t>
            </w:r>
          </w:p>
        </w:tc>
      </w:tr>
      <w:tr>
        <w:trPr>
          <w:trHeight w:val="20"/>
        </w:trPr>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00"/>
          </w:cols>
          <w:pgMar w:left="860" w:top="576" w:right="8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03"/>
        </w:trPr>
        <w:tc>
          <w:tcPr>
            <w:tcW w:w="264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 -</w:t>
            </w:r>
          </w:p>
        </w:tc>
        <w:tc>
          <w:tcPr>
            <w:tcW w:w="24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00" w:type="dxa"/>
            <w:vAlign w:val="bottom"/>
          </w:tcPr>
          <w:p>
            <w:pPr>
              <w:spacing w:after="0"/>
              <w:rPr>
                <w:sz w:val="17"/>
                <w:szCs w:val="17"/>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2"/>
        </w:trPr>
        <w:tc>
          <w:tcPr>
            <w:tcW w:w="264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24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stock - $</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33"/>
        </w:trPr>
        <w:tc>
          <w:tcPr>
            <w:tcW w:w="26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15"/>
        </w:trPr>
        <w:tc>
          <w:tcPr>
            <w:tcW w:w="26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January 2, 2016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51,764,309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910,900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875,051</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 from stock-based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3,684</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5,101</w:t>
            </w:r>
          </w:p>
        </w:tc>
      </w:tr>
      <w:tr>
        <w:trPr>
          <w:trHeight w:val="216"/>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Withholdings from vesting of restricted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(8,508)</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stock activity</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164,073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8,086</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1,164</w:t>
            </w: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(1,771,847)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(180,209)</w:t>
            </w:r>
          </w:p>
        </w:tc>
      </w:tr>
      <w:tr>
        <w:trPr>
          <w:trHeight w:val="33"/>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dividends declared and paid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(33,679)</w:t>
            </w: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90,178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96,012</w:t>
            </w:r>
          </w:p>
        </w:tc>
      </w:tr>
      <w:tr>
        <w:trPr>
          <w:trHeight w:val="33"/>
        </w:trPr>
        <w:tc>
          <w:tcPr>
            <w:tcW w:w="26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at July 2, 2016</w:t>
            </w: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50,194,955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796,733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766,702</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240" w:type="dxa"/>
            <w:vAlign w:val="bottom"/>
          </w:tcPr>
          <w:p>
            <w:pPr>
              <w:spacing w:after="0"/>
              <w:rPr>
                <w:sz w:val="20"/>
                <w:szCs w:val="20"/>
                <w:color w:val="auto"/>
              </w:rPr>
            </w:pP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July 4, 2015</w:t>
            </w:r>
          </w:p>
        </w:tc>
        <w:tc>
          <w:tcPr>
            <w:tcW w:w="0" w:type="dxa"/>
            <w:vAlign w:val="bottom"/>
          </w:tcPr>
          <w:p>
            <w:pPr>
              <w:spacing w:after="0"/>
              <w:rPr>
                <w:sz w:val="1"/>
                <w:szCs w:val="1"/>
                <w:color w:val="auto"/>
              </w:rPr>
            </w:pPr>
          </w:p>
        </w:tc>
      </w:tr>
      <w:tr>
        <w:trPr>
          <w:trHeight w:val="33"/>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90,178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85,897</w:t>
            </w: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34,916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30,338</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tradenames</w:t>
            </w:r>
          </w:p>
        </w:tc>
        <w:tc>
          <w:tcPr>
            <w:tcW w:w="2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4,429</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Accretion of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809</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678</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9,250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9,560</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Unrealized foreign currency loss, net</w:t>
            </w:r>
          </w:p>
        </w:tc>
        <w:tc>
          <w:tcPr>
            <w:tcW w:w="2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Income tax benefit from 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Loss on disposal of property, plant, and equipment</w:t>
            </w:r>
          </w:p>
        </w:tc>
        <w:tc>
          <w:tcPr>
            <w:tcW w:w="2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1,886</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Effect of changes in operating assets and liabilities: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57,229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28,649</w:t>
            </w:r>
          </w:p>
        </w:tc>
        <w:tc>
          <w:tcPr>
            <w:tcW w:w="0" w:type="dxa"/>
            <w:vAlign w:val="bottom"/>
          </w:tcPr>
          <w:p>
            <w:pPr>
              <w:spacing w:after="0"/>
              <w:rPr>
                <w:sz w:val="1"/>
                <w:szCs w:val="1"/>
                <w:color w:val="auto"/>
              </w:rPr>
            </w:pPr>
          </w:p>
        </w:tc>
      </w:tr>
      <w:tr>
        <w:trPr>
          <w:trHeight w:val="237"/>
        </w:trPr>
        <w:tc>
          <w:tcPr>
            <w:tcW w:w="8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(103,379)</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(14,244)</w:t>
            </w:r>
          </w:p>
        </w:tc>
        <w:tc>
          <w:tcPr>
            <w:tcW w:w="0" w:type="dxa"/>
            <w:vAlign w:val="bottom"/>
          </w:tcPr>
          <w:p>
            <w:pPr>
              <w:spacing w:after="0"/>
              <w:rPr>
                <w:sz w:val="1"/>
                <w:szCs w:val="1"/>
                <w:color w:val="auto"/>
              </w:rPr>
            </w:pPr>
          </w:p>
        </w:tc>
      </w:tr>
      <w:tr>
        <w:trPr>
          <w:trHeight w:val="237"/>
        </w:trPr>
        <w:tc>
          <w:tcPr>
            <w:tcW w:w="8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18,093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(10,775)</w:t>
            </w:r>
          </w:p>
        </w:tc>
        <w:tc>
          <w:tcPr>
            <w:tcW w:w="0" w:type="dxa"/>
            <w:vAlign w:val="bottom"/>
          </w:tcPr>
          <w:p>
            <w:pPr>
              <w:spacing w:after="0"/>
              <w:rPr>
                <w:sz w:val="1"/>
                <w:szCs w:val="1"/>
                <w:color w:val="auto"/>
              </w:rPr>
            </w:pPr>
          </w:p>
        </w:tc>
      </w:tr>
      <w:tr>
        <w:trPr>
          <w:trHeight w:val="33"/>
        </w:trPr>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85,599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27,132</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(49,698)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(50,284)</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7"/>
        </w:trPr>
        <w:tc>
          <w:tcPr>
            <w:tcW w:w="80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(49,505)</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(50,241)</w:t>
            </w:r>
          </w:p>
        </w:tc>
        <w:tc>
          <w:tcPr>
            <w:tcW w:w="0" w:type="dxa"/>
            <w:vAlign w:val="bottom"/>
          </w:tcPr>
          <w:p>
            <w:pPr>
              <w:spacing w:after="0"/>
              <w:rPr>
                <w:sz w:val="1"/>
                <w:szCs w:val="1"/>
                <w:color w:val="auto"/>
              </w:rPr>
            </w:pPr>
          </w:p>
        </w:tc>
      </w:tr>
      <w:tr>
        <w:trPr>
          <w:trHeight w:val="33"/>
        </w:trPr>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Borrowings under secured revolving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20,349</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Payments on secured revolving credit facility</w:t>
            </w:r>
          </w:p>
        </w:tc>
        <w:tc>
          <w:tcPr>
            <w:tcW w:w="22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(180,209)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(48,894)</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Dividends paid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(23,143)</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Income tax benefit from 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3,684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6,890</w:t>
            </w:r>
          </w:p>
        </w:tc>
        <w:tc>
          <w:tcPr>
            <w:tcW w:w="0" w:type="dxa"/>
            <w:vAlign w:val="bottom"/>
          </w:tcPr>
          <w:p>
            <w:pPr>
              <w:spacing w:after="0"/>
              <w:rPr>
                <w:sz w:val="1"/>
                <w:szCs w:val="1"/>
                <w:color w:val="auto"/>
              </w:rPr>
            </w:pPr>
          </w:p>
        </w:tc>
      </w:tr>
      <w:tr>
        <w:trPr>
          <w:trHeight w:val="237"/>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Withholdings from vesting of restricted stock</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(12,377)</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5,101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4,560</w:t>
            </w:r>
          </w:p>
        </w:tc>
        <w:tc>
          <w:tcPr>
            <w:tcW w:w="0" w:type="dxa"/>
            <w:vAlign w:val="bottom"/>
          </w:tcPr>
          <w:p>
            <w:pPr>
              <w:spacing w:after="0"/>
              <w:rPr>
                <w:sz w:val="1"/>
                <w:szCs w:val="1"/>
                <w:color w:val="auto"/>
              </w:rPr>
            </w:pPr>
          </w:p>
        </w:tc>
      </w:tr>
      <w:tr>
        <w:trPr>
          <w:trHeight w:val="217"/>
        </w:trPr>
        <w:tc>
          <w:tcPr>
            <w:tcW w:w="80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(213,611)</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(72,615)</w:t>
            </w:r>
          </w:p>
        </w:tc>
        <w:tc>
          <w:tcPr>
            <w:tcW w:w="0" w:type="dxa"/>
            <w:vAlign w:val="bottom"/>
          </w:tcPr>
          <w:p>
            <w:pPr>
              <w:spacing w:after="0"/>
              <w:rPr>
                <w:sz w:val="1"/>
                <w:szCs w:val="1"/>
                <w:color w:val="auto"/>
              </w:rPr>
            </w:pPr>
          </w:p>
        </w:tc>
      </w:tr>
      <w:tr>
        <w:trPr>
          <w:trHeight w:val="33"/>
        </w:trPr>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33"/>
        </w:trPr>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(176,129)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(96,337)</w:t>
            </w:r>
          </w:p>
        </w:tc>
        <w:tc>
          <w:tcPr>
            <w:tcW w:w="0" w:type="dxa"/>
            <w:vAlign w:val="bottom"/>
          </w:tcPr>
          <w:p>
            <w:pPr>
              <w:spacing w:after="0"/>
              <w:rPr>
                <w:sz w:val="1"/>
                <w:szCs w:val="1"/>
                <w:color w:val="auto"/>
              </w:rPr>
            </w:pPr>
          </w:p>
        </w:tc>
      </w:tr>
      <w:tr>
        <w:trPr>
          <w:trHeight w:val="237"/>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381,209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340,638</w:t>
            </w:r>
          </w:p>
        </w:tc>
        <w:tc>
          <w:tcPr>
            <w:tcW w:w="0" w:type="dxa"/>
            <w:vAlign w:val="bottom"/>
          </w:tcPr>
          <w:p>
            <w:pPr>
              <w:spacing w:after="0"/>
              <w:rPr>
                <w:sz w:val="1"/>
                <w:szCs w:val="1"/>
                <w:color w:val="auto"/>
              </w:rPr>
            </w:pPr>
          </w:p>
        </w:tc>
      </w:tr>
      <w:tr>
        <w:trPr>
          <w:trHeight w:val="33"/>
        </w:trPr>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205,080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244,301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80"/>
          </w:cols>
          <w:pgMar w:left="320" w:top="576" w:right="299" w:bottom="1440" w:gutter="0" w:footer="0" w:header="0"/>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THE COMPANY</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Carter's, Inc. and its wholly owned subsidiaries (collectively, the "Company," "its," "us" and "our") design, source, and market branded childrenswear under the </w:t>
      </w:r>
      <w:r>
        <w:rPr>
          <w:rFonts w:ascii="Times New Roman" w:cs="Times New Roman" w:eastAsia="Times New Roman" w:hAnsi="Times New Roman"/>
          <w:sz w:val="18"/>
          <w:szCs w:val="18"/>
          <w:i w:val="1"/>
          <w:iCs w:val="1"/>
          <w:color w:val="auto"/>
        </w:rPr>
        <w:t>Carter's, Child of Mine, Just One You, Precious Firsts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and other brands. The Company's products are sourced through contractual arrangements with manufacturers worldwide for wholesale distribution to major domestic and international retailers and for the Company's own retail stores and websites that market its brand name merchandise and other licensed products manufactured by other companies. As of July 2, 2016, the Company operated 624 Carter’s stores in the United States, 262 OshKosh stores in the United States, and 150 stores in Canada.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PREPARATION AND ADOPTION OF NEW ACCOUNTING PRONOUNCEMENTS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Carter's, Inc. and its wholly owned subsidiaries and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stockholders' equity, and cash flows of the Company for the interim periods presented. Except as otherwise disclosed, all such adjustments consist only of those of a normal recurring nature. Operating results for the fiscal quarter and two fiscal quarters ended July 2, 2016 are not necessarily indicative of the results that may be expected for the 2016 fiscal year ending December 31, 2016.</w:t>
      </w:r>
    </w:p>
    <w:p>
      <w:pPr>
        <w:spacing w:after="0" w:line="1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January 2, 2016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its most recently filed Annual Report on Form 10-K. There have been no material subsequent changes to these accounting policies, except as noted below for new accounting pronouncements adopted at the beginning of fiscal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Pronouncements At the Beginning of Fiscal 2016</w:t>
      </w:r>
    </w:p>
    <w:p>
      <w:pPr>
        <w:spacing w:after="0" w:line="225" w:lineRule="exact"/>
        <w:rPr>
          <w:sz w:val="20"/>
          <w:szCs w:val="20"/>
          <w:color w:val="auto"/>
        </w:rPr>
      </w:pPr>
    </w:p>
    <w:p>
      <w:pPr>
        <w:jc w:val="both"/>
        <w:ind w:right="40"/>
        <w:spacing w:after="0" w:line="290" w:lineRule="auto"/>
        <w:rPr>
          <w:sz w:val="20"/>
          <w:szCs w:val="20"/>
          <w:color w:val="auto"/>
        </w:rPr>
      </w:pPr>
      <w:r>
        <w:rPr>
          <w:rFonts w:ascii="Times New Roman" w:cs="Times New Roman" w:eastAsia="Times New Roman" w:hAnsi="Times New Roman"/>
          <w:sz w:val="17"/>
          <w:szCs w:val="17"/>
          <w:color w:val="auto"/>
        </w:rPr>
        <w:t xml:space="preserve">At the beginning of fiscal 2016, the Company adopted the following Accounting Standards Updates ("ASU"): ASU No. 2015-05, </w:t>
      </w:r>
      <w:r>
        <w:rPr>
          <w:rFonts w:ascii="Times New Roman" w:cs="Times New Roman" w:eastAsia="Times New Roman" w:hAnsi="Times New Roman"/>
          <w:sz w:val="17"/>
          <w:szCs w:val="17"/>
          <w:i w:val="1"/>
          <w:iCs w:val="1"/>
          <w:color w:val="auto"/>
        </w:rPr>
        <w:t>Customer's Accounting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Fees Paid in a Cloud Computing Arrangement </w:t>
      </w:r>
      <w:r>
        <w:rPr>
          <w:rFonts w:ascii="Times New Roman" w:cs="Times New Roman" w:eastAsia="Times New Roman" w:hAnsi="Times New Roman"/>
          <w:sz w:val="17"/>
          <w:szCs w:val="17"/>
          <w:color w:val="auto"/>
        </w:rPr>
        <w:t>("ASU 2015-05"); ASU No. 2015-03,</w:t>
      </w:r>
      <w:r>
        <w:rPr>
          <w:rFonts w:ascii="Times New Roman" w:cs="Times New Roman" w:eastAsia="Times New Roman" w:hAnsi="Times New Roman"/>
          <w:sz w:val="17"/>
          <w:szCs w:val="17"/>
          <w:i w:val="1"/>
          <w:iCs w:val="1"/>
          <w:color w:val="auto"/>
        </w:rPr>
        <w:t xml:space="preserve"> Simplifying the Presentation of Debt Issuance Costs </w:t>
      </w:r>
      <w:r>
        <w:rPr>
          <w:rFonts w:ascii="Times New Roman" w:cs="Times New Roman" w:eastAsia="Times New Roman" w:hAnsi="Times New Roman"/>
          <w:sz w:val="17"/>
          <w:szCs w:val="17"/>
          <w:color w:val="auto"/>
        </w:rPr>
        <w:t>("ASU 2015-03");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ASU No. 2015-04, </w:t>
      </w:r>
      <w:r>
        <w:rPr>
          <w:rFonts w:ascii="Times New Roman" w:cs="Times New Roman" w:eastAsia="Times New Roman" w:hAnsi="Times New Roman"/>
          <w:sz w:val="17"/>
          <w:szCs w:val="17"/>
          <w:i w:val="1"/>
          <w:iCs w:val="1"/>
          <w:color w:val="auto"/>
        </w:rPr>
        <w:t>Practical Expedient for the Measurement Date of an Employer's Defined Benefit Obligation and Plan Assets</w:t>
      </w:r>
      <w:r>
        <w:rPr>
          <w:rFonts w:ascii="Times New Roman" w:cs="Times New Roman" w:eastAsia="Times New Roman" w:hAnsi="Times New Roman"/>
          <w:sz w:val="17"/>
          <w:szCs w:val="17"/>
          <w:color w:val="auto"/>
        </w:rPr>
        <w:t xml:space="preserve"> ("ASU 2015-04").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2015-05</w:t>
      </w:r>
    </w:p>
    <w:p>
      <w:pPr>
        <w:spacing w:after="0" w:line="1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The Company prospectively adopted the provisions of ASU No. 2015-05, </w:t>
      </w:r>
      <w:r>
        <w:rPr>
          <w:rFonts w:ascii="Times New Roman" w:cs="Times New Roman" w:eastAsia="Times New Roman" w:hAnsi="Times New Roman"/>
          <w:sz w:val="18"/>
          <w:szCs w:val="18"/>
          <w:i w:val="1"/>
          <w:iCs w:val="1"/>
          <w:color w:val="auto"/>
        </w:rPr>
        <w:t>Customer's Accounting for Fees Paid in a Cloud Computing Arrangement</w:t>
      </w:r>
      <w:r>
        <w:rPr>
          <w:rFonts w:ascii="Times New Roman" w:cs="Times New Roman" w:eastAsia="Times New Roman" w:hAnsi="Times New Roman"/>
          <w:sz w:val="18"/>
          <w:szCs w:val="18"/>
          <w:color w:val="auto"/>
        </w:rPr>
        <w:t xml:space="preserve"> at the beginning of fiscal 2016, as it relates to the accounting for fees paid in connection with arrangements with cloud-based software providers. Under the new guidance, unless a software arrangement includes specific elements enabling customers to possess and operate software on platforms other than those offered by the cloud-based provider, the costs of such arrangements are accounted for as an operating expense in the period in which such costs are incurred. The adoption of this guidance did not have a material effect on the Company's financial position, results of operations, or cash flows.</w:t>
      </w: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40"/>
          </w:cols>
          <w:pgMar w:left="240" w:top="360"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4"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For the Company's adoption of ASU 2015-03, refer to Note 6,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accompanying the unaudited condensed consolidated financial statements in this Quarterly Report on Form 10-Q. The Company adopted this guidance effective at the beginning of fiscal 2016 and the provisions have been applied to each prior period presented for comparative purposes.</w:t>
      </w:r>
    </w:p>
    <w:p>
      <w:pPr>
        <w:spacing w:after="0" w:line="174"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color w:val="auto"/>
        </w:rPr>
        <w:t xml:space="preserve">For the Company's adoption of ASU 2015-04, refer to Note 8, </w:t>
      </w:r>
      <w:r>
        <w:rPr>
          <w:rFonts w:ascii="Times New Roman" w:cs="Times New Roman" w:eastAsia="Times New Roman" w:hAnsi="Times New Roman"/>
          <w:sz w:val="18"/>
          <w:szCs w:val="18"/>
          <w:i w:val="1"/>
          <w:iCs w:val="1"/>
          <w:color w:val="auto"/>
        </w:rPr>
        <w:t>Employee Benefit Plans</w:t>
      </w:r>
      <w:r>
        <w:rPr>
          <w:rFonts w:ascii="Times New Roman" w:cs="Times New Roman" w:eastAsia="Times New Roman" w:hAnsi="Times New Roman"/>
          <w:sz w:val="18"/>
          <w:szCs w:val="18"/>
          <w:color w:val="auto"/>
        </w:rPr>
        <w:t>, accompanying the unaudited condensed consolidated financial statements in this Quarterly Report on Form 10-Q.</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ACCUMULATED OTHER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net of applicable income taxes, of accumulated other comprehensive loss consisted of the following:</w:t>
      </w:r>
    </w:p>
    <w:p>
      <w:pPr>
        <w:spacing w:after="0" w:line="187" w:lineRule="exact"/>
        <w:rPr>
          <w:sz w:val="20"/>
          <w:szCs w:val="20"/>
          <w:color w:val="auto"/>
        </w:rPr>
      </w:pPr>
    </w:p>
    <w:tbl>
      <w:tblPr>
        <w:tblLayout w:type="fixed"/>
        <w:tblInd w:w="1200" w:type="dxa"/>
        <w:tblCellMar>
          <w:top w:w="0" w:type="dxa"/>
          <w:left w:w="0" w:type="dxa"/>
          <w:bottom w:w="0" w:type="dxa"/>
          <w:right w:w="0" w:type="dxa"/>
        </w:tblCellMar>
      </w:tblPr>
      <w:tr>
        <w:trPr>
          <w:trHeight w:val="21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2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2, 2016</w:t>
            </w:r>
          </w:p>
        </w:tc>
        <w:tc>
          <w:tcPr>
            <w:tcW w:w="280" w:type="dxa"/>
            <w:vAlign w:val="bottom"/>
          </w:tcPr>
          <w:p>
            <w:pPr>
              <w:spacing w:after="0"/>
              <w:rPr>
                <w:sz w:val="18"/>
                <w:szCs w:val="18"/>
                <w:color w:val="auto"/>
              </w:rPr>
            </w:pPr>
          </w:p>
        </w:tc>
        <w:tc>
          <w:tcPr>
            <w:tcW w:w="14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July 4, 2015</w:t>
            </w:r>
          </w:p>
        </w:tc>
      </w:tr>
      <w:tr>
        <w:trPr>
          <w:trHeight w:val="33"/>
        </w:trPr>
        <w:tc>
          <w:tcPr>
            <w:tcW w:w="3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foreign currency translation adjustments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(21,635)</w:t>
            </w:r>
          </w:p>
        </w:tc>
      </w:tr>
      <w:tr>
        <w:trPr>
          <w:trHeight w:val="23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and post-retirement liability adjustments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(7,640)</w:t>
            </w:r>
          </w:p>
        </w:tc>
      </w:tr>
      <w:tr>
        <w:trPr>
          <w:trHeight w:val="33"/>
        </w:trPr>
        <w:tc>
          <w:tcPr>
            <w:tcW w:w="3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(29,275)</w:t>
            </w:r>
          </w:p>
        </w:tc>
      </w:tr>
      <w:tr>
        <w:trPr>
          <w:trHeight w:val="20"/>
        </w:trPr>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Changes in accumulated other comprehensive loss for the second quarter and first two quarters of fiscal 2016 consisted of additional gains of $0.5 million and additional gains of $5.8 million for foreign currency translation adjustments, respectively. Changes in accumulated other comprehensive loss for the second quarter and first two quarters of fiscal 2015 consisted of additional losses of $0.2 million and $6.2 million for foreign currency translation adjustments, respectively. During the first and second quarters of both fiscal 2016 and fiscal 2015, no amounts were reclassified from accumulated other comprehensive loss to the statement of operations.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GOODWILL AND TRADENAMES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goodwill and other intangible assets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102870</wp:posOffset>
            </wp:positionV>
            <wp:extent cx="4913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January 2, 2016</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4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average useful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life</w:t>
            </w:r>
          </w:p>
        </w:tc>
        <w:tc>
          <w:tcPr>
            <w:tcW w:w="11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18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Carter's goodwill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9"/>
              </w:rPr>
              <w:t>Indefinite</w:t>
            </w:r>
          </w:p>
        </w:tc>
        <w:tc>
          <w:tcPr>
            <w:tcW w:w="180" w:type="dxa"/>
            <w:vAlign w:val="bottom"/>
            <w:tcBorders>
              <w:right w:val="single" w:sz="8" w:color="CCEEFF"/>
            </w:tcBorders>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136,570</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136,570</w:t>
            </w:r>
          </w:p>
        </w:tc>
        <w:tc>
          <w:tcPr>
            <w:tcW w:w="0" w:type="dxa"/>
            <w:vAlign w:val="bottom"/>
          </w:tcPr>
          <w:p>
            <w:pPr>
              <w:spacing w:after="0"/>
              <w:rPr>
                <w:sz w:val="1"/>
                <w:szCs w:val="1"/>
                <w:color w:val="auto"/>
              </w:rPr>
            </w:pPr>
          </w:p>
        </w:tc>
      </w:tr>
      <w:tr>
        <w:trPr>
          <w:trHeight w:val="237"/>
        </w:trPr>
        <w:tc>
          <w:tcPr>
            <w:tcW w:w="2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Canadian acquisition</w:t>
            </w:r>
          </w:p>
        </w:tc>
        <w:tc>
          <w:tcPr>
            <w:tcW w:w="16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Indefinite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40,970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40,970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38,304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38,304</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goodwill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177,540</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174,874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174,874</w:t>
            </w: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tradename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w w:val="99"/>
              </w:rPr>
              <w:t>Indefinite</w:t>
            </w:r>
          </w:p>
        </w:tc>
        <w:tc>
          <w:tcPr>
            <w:tcW w:w="180" w:type="dxa"/>
            <w:vAlign w:val="bottom"/>
            <w:tcBorders>
              <w:right w:val="single" w:sz="8" w:color="CCEEFF"/>
            </w:tcBorders>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220,233</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220,233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220,233</w:t>
            </w:r>
          </w:p>
        </w:tc>
        <w:tc>
          <w:tcPr>
            <w:tcW w:w="0" w:type="dxa"/>
            <w:vAlign w:val="bottom"/>
          </w:tcPr>
          <w:p>
            <w:pPr>
              <w:spacing w:after="0"/>
              <w:rPr>
                <w:sz w:val="1"/>
                <w:szCs w:val="1"/>
                <w:color w:val="auto"/>
              </w:rPr>
            </w:pPr>
          </w:p>
        </w:tc>
      </w:tr>
      <w:tr>
        <w:trPr>
          <w:trHeight w:val="237"/>
        </w:trPr>
        <w:tc>
          <w:tcPr>
            <w:tcW w:w="23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OshKosh </w:t>
            </w:r>
            <w:r>
              <w:rPr>
                <w:rFonts w:ascii="Times New Roman" w:cs="Times New Roman" w:eastAsia="Times New Roman" w:hAnsi="Times New Roman"/>
                <w:sz w:val="16"/>
                <w:szCs w:val="16"/>
                <w:color w:val="auto"/>
              </w:rPr>
              <w:t>tradename</w:t>
            </w:r>
          </w:p>
        </w:tc>
        <w:tc>
          <w:tcPr>
            <w:tcW w:w="16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9"/>
              </w:rPr>
              <w:t>Indefinite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85,500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85,500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tradenames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right="59"/>
              <w:spacing w:after="0"/>
              <w:rPr>
                <w:sz w:val="20"/>
                <w:szCs w:val="20"/>
                <w:color w:val="auto"/>
              </w:rPr>
            </w:pPr>
            <w:r>
              <w:rPr>
                <w:rFonts w:ascii="Times New Roman" w:cs="Times New Roman" w:eastAsia="Times New Roman" w:hAnsi="Times New Roman"/>
                <w:sz w:val="16"/>
                <w:szCs w:val="16"/>
                <w:color w:val="auto"/>
              </w:rPr>
              <w:t>2-20 years</w:t>
            </w:r>
          </w:p>
        </w:tc>
        <w:tc>
          <w:tcPr>
            <w:tcW w:w="180" w:type="dxa"/>
            <w:vAlign w:val="bottom"/>
            <w:tcBorders>
              <w:right w:val="single" w:sz="8" w:color="CCEEFF"/>
            </w:tcBorders>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42,022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38,738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3,284</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41,992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5,115</w:t>
            </w:r>
          </w:p>
        </w:tc>
        <w:tc>
          <w:tcPr>
            <w:tcW w:w="0" w:type="dxa"/>
            <w:vAlign w:val="bottom"/>
          </w:tcPr>
          <w:p>
            <w:pPr>
              <w:spacing w:after="0"/>
              <w:rPr>
                <w:sz w:val="1"/>
                <w:szCs w:val="1"/>
                <w:color w:val="auto"/>
              </w:rPr>
            </w:pPr>
          </w:p>
        </w:tc>
      </w:tr>
      <w:tr>
        <w:trPr>
          <w:trHeight w:val="21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tradenames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347,755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38,738</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309,017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347,725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36,877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310,848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July 4, 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useful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life</w:t>
            </w:r>
          </w:p>
        </w:tc>
        <w:tc>
          <w:tcPr>
            <w:tcW w:w="100" w:type="dxa"/>
            <w:vAlign w:val="bottom"/>
          </w:tcPr>
          <w:p>
            <w:pPr>
              <w:spacing w:after="0"/>
              <w:rPr>
                <w:sz w:val="18"/>
                <w:szCs w:val="18"/>
                <w:color w:val="auto"/>
              </w:rPr>
            </w:pPr>
          </w:p>
        </w:tc>
        <w:tc>
          <w:tcPr>
            <w:tcW w:w="130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Carter's goodwill</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136,570</w:t>
            </w:r>
          </w:p>
        </w:tc>
        <w:tc>
          <w:tcPr>
            <w:tcW w:w="3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136,570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Canadian acquisition</w:t>
            </w:r>
          </w:p>
        </w:tc>
        <w:tc>
          <w:tcPr>
            <w:tcW w:w="1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42,183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42,183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goodwill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178,753</w:t>
            </w:r>
          </w:p>
        </w:tc>
        <w:tc>
          <w:tcPr>
            <w:tcW w:w="3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178,753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Carter's </w:t>
            </w:r>
            <w:r>
              <w:rPr>
                <w:rFonts w:ascii="Times New Roman" w:cs="Times New Roman" w:eastAsia="Times New Roman" w:hAnsi="Times New Roman"/>
                <w:sz w:val="16"/>
                <w:szCs w:val="16"/>
                <w:color w:val="auto"/>
              </w:rPr>
              <w:t>tradename</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220,233</w:t>
            </w:r>
          </w:p>
        </w:tc>
        <w:tc>
          <w:tcPr>
            <w:tcW w:w="3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220,233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OshKosh </w:t>
            </w:r>
            <w:r>
              <w:rPr>
                <w:rFonts w:ascii="Times New Roman" w:cs="Times New Roman" w:eastAsia="Times New Roman" w:hAnsi="Times New Roman"/>
                <w:sz w:val="16"/>
                <w:szCs w:val="16"/>
                <w:color w:val="auto"/>
              </w:rPr>
              <w:t>tradename</w:t>
            </w:r>
          </w:p>
        </w:tc>
        <w:tc>
          <w:tcPr>
            <w:tcW w:w="160" w:type="dxa"/>
            <w:vAlign w:val="bottom"/>
          </w:tcPr>
          <w:p>
            <w:pPr>
              <w:spacing w:after="0"/>
              <w:rPr>
                <w:sz w:val="20"/>
                <w:szCs w:val="20"/>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Indefinite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85,500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85,500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Other tradenames</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2-20 years</w:t>
            </w:r>
          </w:p>
        </w:tc>
        <w:tc>
          <w:tcPr>
            <w:tcW w:w="100" w:type="dxa"/>
            <w:vAlign w:val="bottom"/>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42,036</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34,933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7,103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tradenames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347,769</w:t>
            </w:r>
          </w:p>
        </w:tc>
        <w:tc>
          <w:tcPr>
            <w:tcW w:w="80" w:type="dxa"/>
            <w:vAlign w:val="bottom"/>
            <w:tcBorders>
              <w:top w:val="single" w:sz="8" w:color="auto"/>
            </w:tcBorders>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34,933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312,836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33" w:right="239" w:bottom="1440" w:gutter="0" w:footer="0" w:header="0"/>
          <w:type w:val="continuous"/>
        </w:sectPr>
      </w:pPr>
    </w:p>
    <w:bookmarkStart w:id="9" w:name="page10"/>
    <w:bookmarkEnd w:id="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changes in the carrying values between the comparative periods for goodwill related to the Company's 2011 acquisition of its Canadian business (Bonnie Togs) were solely due to fluctuations in the foreign currency exchange rates between the Canadian and U.S. dollar that were used in the remeasurement process for preparing the Company's consolidated financial statements. The portion of the changes in the carrying values for other trademarks, including the related accumulated amortization, that was not attributable to amortization expense was also impacted by these same foreign currency exchange rate fluctuations.</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recorded approximately $0.8 million and $1.8 million in amortization expense for the fiscal quarter and two fiscal quarters ended July 2, 2016, respectively, and approximately $2.1 million and $4.4 million in amortization expense for the fiscal quarter and two fiscal quarters ended July 4, 2015, respectively. At July 2, 2016, the estimated future amortization expense for these assets is approximately $0.1 million for the remainder of fiscal 2016, $0.2 million for fiscal 2017, $0.2 million for each of fiscal year 2018, 2019 and 2020, and $2.5 million thereafter.</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the second quarter of fiscal 2013, the Company's Board of Directors authorized the repurchase of shares of the Company's stock in an amount up to $300 million, inclusive of amounts remaining under previous authorizations. In the third quarter of fiscal 2013, the Board approved an additional $400 million accelerated share repurchase authorization, which has been completed. On February 24, 2016, the Company's Board of Directors authorized a new $500 million share repurchase program in addition to any amounts remaining under previous authorizations. The total remaining capacity under the outstanding repurchase authorizations as of July 2, 2016 was approximately $394.6 million, based on settled repurchase transactions. The authorizations have no expiration date.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Market Repurchases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and retired shares in open market transactions in the following amounts for the fiscal periods indicated:</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20" w:type="dxa"/>
            <w:vAlign w:val="bottom"/>
          </w:tcPr>
          <w:p>
            <w:pPr>
              <w:spacing w:after="0"/>
              <w:rPr>
                <w:sz w:val="18"/>
                <w:szCs w:val="18"/>
                <w:color w:val="auto"/>
              </w:rPr>
            </w:pPr>
          </w:p>
        </w:tc>
        <w:tc>
          <w:tcPr>
            <w:tcW w:w="3220" w:type="dxa"/>
            <w:vAlign w:val="bottom"/>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47"/>
        </w:trPr>
        <w:tc>
          <w:tcPr>
            <w:tcW w:w="31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31"/>
        </w:trPr>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300" w:type="dxa"/>
            <w:vAlign w:val="bottom"/>
          </w:tcPr>
          <w:p>
            <w:pPr>
              <w:spacing w:after="0"/>
              <w:rPr>
                <w:sz w:val="20"/>
                <w:szCs w:val="20"/>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July 4, 2015</w:t>
            </w: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300" w:type="dxa"/>
            <w:vAlign w:val="bottom"/>
          </w:tcPr>
          <w:p>
            <w:pPr>
              <w:spacing w:after="0"/>
              <w:rPr>
                <w:sz w:val="20"/>
                <w:szCs w:val="20"/>
                <w:color w:val="auto"/>
              </w:rPr>
            </w:pPr>
          </w:p>
        </w:tc>
        <w:tc>
          <w:tcPr>
            <w:tcW w:w="15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July 4, 2015</w:t>
            </w:r>
          </w:p>
        </w:tc>
      </w:tr>
      <w:tr>
        <w:trPr>
          <w:trHeight w:val="33"/>
        </w:trPr>
        <w:tc>
          <w:tcPr>
            <w:tcW w:w="3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shares repurchased</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1,049,483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346,325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1,771,847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504,225</w:t>
            </w: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 cost of shares repurchased -(dollars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0"/>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108,648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34,773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180,209</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48,894</w:t>
            </w:r>
          </w:p>
        </w:tc>
      </w:tr>
      <w:tr>
        <w:trPr>
          <w:trHeight w:val="33"/>
        </w:trPr>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price per share</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103.52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100.40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101.71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96.97</w:t>
            </w:r>
          </w:p>
        </w:tc>
      </w:tr>
      <w:tr>
        <w:trPr>
          <w:trHeight w:val="33"/>
        </w:trPr>
        <w:tc>
          <w:tcPr>
            <w:tcW w:w="3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Future repurchases may occur from time to time in the open market, in privately negotiated transactions, or otherwise. The timing and amount of any repurchases will be determined by the Company's management, based on its evaluation of market conditions, share price, other investment priorities, and other factors.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second fiscal quarter and two fiscal quarters ended July 2, 2016, the Company paid cash dividends per share of $0.33 and $0.66, respectively. In the second fiscal quarter and two fiscal quarters ended July 4, 2015, the Company paid cash dividends per share of $0.22 and $0.44, respectively. Future declarations of dividends and the establishment of future record and payment dates are at the discretion of the Company's Board of Directors and based on a number of factors, including the Company's future financial performance and other investment priorities.</w:t>
      </w:r>
    </w:p>
    <w:p>
      <w:pPr>
        <w:spacing w:after="0" w:line="18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Provisions in the indenture governing the senior notes of The William Carter Company ("TWCC"), a 100% owned subsidiary of the Company, and in TWCC's secured revolving credit facility could have the effect of restricting the Company's ability to</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333" w:right="29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pay future cash dividends on, or make future repurchases of, its common stock. Provisions related to the indenture governing the senior notes are described in the Company's Annual Report on Form 10-K for the 2015 fiscal year ended January 2, 2016.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LONG-TERM DEBT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21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0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January 2, 2016</w:t>
            </w:r>
          </w:p>
        </w:tc>
        <w:tc>
          <w:tcPr>
            <w:tcW w:w="220" w:type="dxa"/>
            <w:vAlign w:val="bottom"/>
          </w:tcPr>
          <w:p>
            <w:pPr>
              <w:spacing w:after="0"/>
              <w:rPr>
                <w:sz w:val="18"/>
                <w:szCs w:val="18"/>
                <w:color w:val="auto"/>
              </w:rPr>
            </w:pPr>
          </w:p>
        </w:tc>
        <w:tc>
          <w:tcPr>
            <w:tcW w:w="13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July 4, 2015</w:t>
            </w:r>
          </w:p>
        </w:tc>
      </w:tr>
      <w:tr>
        <w:trPr>
          <w:trHeight w:val="3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at amounts repayable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3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unamortized issuance-related costs for senior notes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(5,871)</w:t>
            </w:r>
          </w:p>
        </w:tc>
      </w:tr>
      <w:tr>
        <w:trPr>
          <w:trHeight w:val="33"/>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Senior notes, net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394,129</w:t>
            </w:r>
          </w:p>
        </w:tc>
      </w:tr>
      <w:tr>
        <w:trPr>
          <w:trHeight w:val="23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revolving credit facility</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186,298</w:t>
            </w:r>
          </w:p>
        </w:tc>
      </w:tr>
      <w:tr>
        <w:trPr>
          <w:trHeight w:val="33"/>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47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long-term debt,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578,972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580,427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2015, the Company replaced $20.0 million of outstanding borrowings under the then-existing secured revolving credit facility with CAD 25.5 million of borrowings, which approximated $20.3 million. This transaction is reflected on the Company's consolidated statement of cash flows.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Revolving Credit Facility</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previously disclosed in the Company's most recent Annual Report on Form 10-K for the 2015 fiscal year ended January 2, 2016, the secured revolving credit facility was amended and restated in September 2015. The aggregate principal amount of the secured revolving credit facility is $500 million consisting of (i) a $400 million U.S. dollar revolving credit facility (including a $175 million sub-limit for letters of credit and a swing line sub-limit of $50 million) available for borrowings by TWCC and (ii) a $100 million multicurrency revolving credit facility (including a $40 million sub-limit for letters of credit and a swing line sub-limit of $15 million) available for borrowings by TWCC and certain other subsidiaries of TWCC in U.S. dollars, Canadian dollars, Euros, Pounds Sterling, or other currencies agreed to by the applicable lenders. The secured revolving credit facility also provides for incremental facilities in an aggregate amount not to exceed $250 million, either in the form of a commitment increase under the existing revolving credit facility or the incurrence of one or more tranches of term loans (with the aggregate U.S. dollar amount available to the Company not to exceed $200 million and the aggregate multicurrency amount available not to exceed $50 million). The Company's secured revolving credit facility matures September 16, 2020.</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July 2, 2016, the Company had approximately $185.7 million in outstanding borrowings under its secured revolving credit facility, exclusive of $4.8 million of outstanding letters of credit. As of July 2, 2016, approximately $309.4 million was available for future borrowing.</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July 2, 2016, the interest rate margins applicable to the secured revolving credit facility were 1.375% for LIBOR (London Interbank Offered Rate) rate loans (which may be adjusted based on a leverage-based pricing grid ranging from 1.125% to 1.875%) and 0.375% for base rate loans (which may be adjusted based on a leverage-based pricing grid ranging from 0.125% to 0.875%).</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July 2, 2016, U.S. dollar borrowings outstanding under the secured revolving credit facility accrued interest at a LIBOR rate plus the applicable base rate, which was 1.82% on that date, and Canadian dollar borrowings accrued interest at a CDOR (Canadian Dollar Offered Rate) plus the applicable base rate, which was 2.26% on that date.</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disclosed in the Company's most recent Annual Report on Form 10-K for the 2015 fiscal year ended January 2, 2016, the Company's secured revolving credit facility contains covenants, including affirmative and financial covenants. As of July 2, 2016, the Company was in compliance with the financial and other covenants under the secured revolving credit facility.</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333" w:right="2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July 2, 2016, TWCC had outstanding $400 million principal amount of senior notes bearing interest at a fixed rate of 5.25% per annum and maturing on August 15, 2021. The senior notes are unsecured and are fully and unconditionally guaranteed by Carter's, Inc. and certain subsidiaries of TWCC. On the Company's consolidated balance sheet, the senior notes are reported net of certain unamortized issuance-related costs, as described in the following section.</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New Accounting Pronouncement Related to Debt Issuance Costs</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The Company retrospectively adopted the provisions of Accounting Standards Update No.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xml:space="preserve"> ("ASU 2015-03"), at the beginning of fiscal 2016, which requires that debt issuance costs be presented as a direct deduction from the carrying amount of the related debt liability, consistent with the presentation of a debt discount. Prior to the issuance of ASU 2015-03, debt issuance costs were required to be presented as deferred charge assets, separate from the related debt liability. The guidance did not change the recognition and measurement requirements for debt issuance costs. The Company reclassified $5.0 million, $5.5 million, and $5.9 million of unamortized issuance-related debt costs associated with the Company's senior notes from other assets to Long-term debt, net within its consolidated balance sheets as of July 2, 2016, January 2, 2016, and July 4, 2015, respectively. Other than this balance sheet reclassification, the adoption of ASU 2015-03 did not have an impact on the Company's consolidated financial statements. Fees paid to lenders to secure revolving lines of credit continue to be presented as a deferred charge (asset) on the balance sheet.</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as follows:</w:t>
      </w:r>
    </w:p>
    <w:p>
      <w:pPr>
        <w:spacing w:after="0" w:line="187" w:lineRule="exact"/>
        <w:rPr>
          <w:sz w:val="20"/>
          <w:szCs w:val="20"/>
          <w:color w:val="auto"/>
        </w:rPr>
      </w:pPr>
    </w:p>
    <w:tbl>
      <w:tblPr>
        <w:tblLayout w:type="fixed"/>
        <w:tblInd w:w="12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60" w:type="dxa"/>
            <w:vAlign w:val="bottom"/>
          </w:tcPr>
          <w:p>
            <w:pPr>
              <w:spacing w:after="0"/>
              <w:rPr>
                <w:sz w:val="18"/>
                <w:szCs w:val="18"/>
                <w:color w:val="auto"/>
              </w:rPr>
            </w:pPr>
          </w:p>
        </w:tc>
        <w:tc>
          <w:tcPr>
            <w:tcW w:w="270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33"/>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22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4, 2015</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220" w:type="dxa"/>
            <w:vAlign w:val="bottom"/>
          </w:tcPr>
          <w:p>
            <w:pPr>
              <w:spacing w:after="0"/>
              <w:rPr>
                <w:sz w:val="20"/>
                <w:szCs w:val="20"/>
                <w:color w:val="auto"/>
              </w:rPr>
            </w:pPr>
          </w:p>
        </w:tc>
        <w:tc>
          <w:tcPr>
            <w:tcW w:w="12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4, 2015</w:t>
            </w:r>
          </w:p>
        </w:tc>
      </w:tr>
      <w:tr>
        <w:trPr>
          <w:trHeight w:val="33"/>
        </w:trPr>
        <w:tc>
          <w:tcPr>
            <w:tcW w:w="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w:t>
            </w:r>
          </w:p>
        </w:tc>
      </w:tr>
      <w:tr>
        <w:trPr>
          <w:trHeight w:val="203"/>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Restricted stock:</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Time-based awards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w:t>
            </w:r>
          </w:p>
        </w:tc>
      </w:tr>
      <w:tr>
        <w:trPr>
          <w:trHeight w:val="237"/>
        </w:trPr>
        <w:tc>
          <w:tcPr>
            <w:tcW w:w="20" w:type="dxa"/>
            <w:vAlign w:val="bottom"/>
          </w:tcPr>
          <w:p>
            <w:pPr>
              <w:spacing w:after="0"/>
              <w:rPr>
                <w:sz w:val="20"/>
                <w:szCs w:val="20"/>
                <w:color w:val="auto"/>
              </w:rPr>
            </w:pP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Performance-based awards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w:t>
            </w:r>
          </w:p>
        </w:tc>
      </w:tr>
      <w:tr>
        <w:trPr>
          <w:trHeight w:val="33"/>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1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awards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r>
      <w:tr>
        <w:trPr>
          <w:trHeight w:val="244"/>
        </w:trPr>
        <w:tc>
          <w:tcPr>
            <w:tcW w:w="20" w:type="dxa"/>
            <w:vAlign w:val="bottom"/>
          </w:tcPr>
          <w:p>
            <w:pPr>
              <w:spacing w:after="0"/>
              <w:rPr>
                <w:sz w:val="21"/>
                <w:szCs w:val="21"/>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9,560</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EMPLOYEE BENEFIT PLANS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maintains a defined contribution plan and two defined benefit plans. The two defined benefit plans include the OshKosh B'Gosh pension plan and a post-retirement life and medical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OSHKOSH B'GOSH PENSION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periodic pension cost (benefit) included in the statement of operations was comprised of: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4"/>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3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240" w:type="dxa"/>
            <w:vAlign w:val="bottom"/>
          </w:tcPr>
          <w:p>
            <w:pPr>
              <w:spacing w:after="0"/>
              <w:rPr>
                <w:sz w:val="20"/>
                <w:szCs w:val="20"/>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138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July 4, 2015</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300" w:type="dxa"/>
            <w:vAlign w:val="bottom"/>
          </w:tcPr>
          <w:p>
            <w:pPr>
              <w:spacing w:after="0"/>
              <w:rPr>
                <w:sz w:val="20"/>
                <w:szCs w:val="20"/>
                <w:color w:val="auto"/>
              </w:rPr>
            </w:pPr>
          </w:p>
        </w:tc>
        <w:tc>
          <w:tcPr>
            <w:tcW w:w="15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July 4, 2015</w:t>
            </w:r>
          </w:p>
        </w:tc>
      </w:tr>
      <w:tr>
        <w:trPr>
          <w:trHeight w:val="33"/>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cost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center"/>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1,246</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w:t>
            </w:r>
          </w:p>
        </w:tc>
      </w:tr>
      <w:tr>
        <w:trPr>
          <w:trHeight w:val="33"/>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Recognized actuarial loss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322</w:t>
            </w:r>
          </w:p>
        </w:tc>
      </w:tr>
      <w:tr>
        <w:trPr>
          <w:trHeight w:val="244"/>
        </w:trPr>
        <w:tc>
          <w:tcPr>
            <w:tcW w:w="4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periodic pension cost (benefit)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center"/>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33" w:right="239" w:bottom="1440" w:gutter="0" w:footer="0" w:header="0"/>
        </w:sectPr>
      </w:pPr>
    </w:p>
    <w:bookmarkStart w:id="12" w:name="page13"/>
    <w:bookmarkEnd w:id="12"/>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POST-RETIREMENT LIFE AND MEDICAL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post-retirement benefit expense charged to the statement of operations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33"/>
        </w:trPr>
        <w:tc>
          <w:tcPr>
            <w:tcW w:w="4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July 4, 2015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300" w:type="dxa"/>
            <w:vAlign w:val="bottom"/>
          </w:tcPr>
          <w:p>
            <w:pPr>
              <w:spacing w:after="0"/>
              <w:rPr>
                <w:sz w:val="20"/>
                <w:szCs w:val="20"/>
                <w:color w:val="auto"/>
              </w:rPr>
            </w:pPr>
          </w:p>
        </w:tc>
        <w:tc>
          <w:tcPr>
            <w:tcW w:w="15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July 4, 2015</w:t>
            </w:r>
          </w:p>
        </w:tc>
      </w:tr>
      <w:tr>
        <w:trPr>
          <w:trHeight w:val="33"/>
        </w:trPr>
        <w:tc>
          <w:tcPr>
            <w:tcW w:w="4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69"/>
        </w:trPr>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50"/>
        </w:trPr>
        <w:tc>
          <w:tcPr>
            <w:tcW w:w="4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Service cost – benefits attributed to service during the period</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w:t>
            </w:r>
          </w:p>
        </w:tc>
      </w:tr>
      <w:tr>
        <w:trPr>
          <w:trHeight w:val="237"/>
        </w:trPr>
        <w:tc>
          <w:tcPr>
            <w:tcW w:w="4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cost on accumulated post-retirement benefit obligation</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w:t>
            </w:r>
          </w:p>
        </w:tc>
      </w:tr>
      <w:tr>
        <w:trPr>
          <w:trHeight w:val="33"/>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Amortization net actuarial gain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44"/>
        </w:trPr>
        <w:tc>
          <w:tcPr>
            <w:tcW w:w="4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net periodic post-retirement benefit cost</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1"/>
                <w:szCs w:val="21"/>
                <w:color w:val="auto"/>
              </w:rPr>
            </w:pPr>
          </w:p>
        </w:tc>
        <w:tc>
          <w:tcPr>
            <w:tcW w:w="1440" w:type="dxa"/>
            <w:vAlign w:val="bottom"/>
            <w:tcBorders>
              <w:top w:val="single" w:sz="8" w:color="auto"/>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Simplified Measurement Date for Defined Benefit Plan Assets and Obligations</w:t>
      </w:r>
    </w:p>
    <w:p>
      <w:pPr>
        <w:spacing w:after="0" w:line="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The Company adopted the provisions of ASU No. 2015-04, </w:t>
      </w:r>
      <w:r>
        <w:rPr>
          <w:rFonts w:ascii="Times New Roman" w:cs="Times New Roman" w:eastAsia="Times New Roman" w:hAnsi="Times New Roman"/>
          <w:sz w:val="18"/>
          <w:szCs w:val="18"/>
          <w:i w:val="1"/>
          <w:iCs w:val="1"/>
          <w:color w:val="auto"/>
        </w:rPr>
        <w:t>Practical Expedient for the Measurement Date of an Employer's Defined Benefit Obligation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Plan Assets </w:t>
      </w:r>
      <w:r>
        <w:rPr>
          <w:rFonts w:ascii="Times New Roman" w:cs="Times New Roman" w:eastAsia="Times New Roman" w:hAnsi="Times New Roman"/>
          <w:sz w:val="18"/>
          <w:szCs w:val="18"/>
          <w:color w:val="auto"/>
        </w:rPr>
        <w:t>("ASU 2015-04") at the beginning of fiscal 2016. However, the Company is not required to make any such measurements until the end of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ASU 2015-04 allows employers with fiscal year ends that do not coincide with a calendar month end to make an accounting policy election to measure defined benefit plan assets and obligations as of the end of the month closest to their fiscal year end (i.e., on an alternative measurement date). An employer that makes this election must consistently apply the alternative measurement date from year to year and to all of its defined benefit plans. The Company expects to make the accounting policy election to use December 31 as the measurement date for all of its defined benefit plan assets and obligations for fiscal 2016 and subsequent years. Measurement dates for prior periods will not be impacted. Since the Company's current 52-week fiscal year will end on December 31, 2016, it will not be necessary for the Company to utilize an alternate measurement date for fiscal 2016 and thus the initial adoption of ASU 2015-04 in fiscal 2016 will have no impact on the Company's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first quarters of fiscal 2016 and 2015, the IRS and various state tax authorities completed examinations of the Company's income tax returns. As a result, the Company recognized income tax benefits related to prior years of approximately $0.4 million and $1.8 million in the first quarters of fiscal 2016 and 2015, respectively. In most cases, the Company is no longer subject to state and local tax authority examinations for years prior to fiscal 2012.</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of July 2, 2016, the Company had gross unrecognized income tax benefits of approximately $9.8 million, of which $6.9 million, if ultimately recognized, may affect the Company's effective tax rate in the periods settled. The Company has recorded tax positions for which the ultimate deductibility is more likely than not, but for which there is uncertainty about the timing of such deductions.</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Included in the reserves for unrecognized tax benefits at July 2, 2016 were approximately $1.0 million of reserves for which the statute of limitations is expected to expire within the next fiscal year. If these tax benefits are ultimately recognized, such recognition, net of federal income taxes, may affect the annual effective tax rate for fiscal 2016 or fiscal 2017 along with the effective tax rate in the quarter in which the benefits are recognized.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recognizes interest related to unrecognized tax benefits as a component of interest expense and recognizes penalties related to unrecognized tax benefits as a component of income tax expense. During the fiscal quarter and two fiscal quarters ended July 2, 2016 and the fiscal quarter and two fiscal quarters ended July 4, 2015, interest expense recorded on uncertain tax positions was not significant. The Company had approximately $0.8 million, $0.8 million, and $0.9 million of interest accrued on uncertain tax positions as of July 2, 2016, January 2, 2016, and July 4, 2015,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33" w:right="2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Company’s financial assets and liabilities accounted for at fair value on a recurring basis.</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30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July 2, 2016</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7"/>
          </w:tcPr>
          <w:p>
            <w:pPr>
              <w:jc w:val="center"/>
              <w:ind w:right="577"/>
              <w:spacing w:after="0"/>
              <w:rPr>
                <w:sz w:val="20"/>
                <w:szCs w:val="20"/>
                <w:color w:val="auto"/>
              </w:rPr>
            </w:pPr>
            <w:r>
              <w:rPr>
                <w:rFonts w:ascii="Times New Roman" w:cs="Times New Roman" w:eastAsia="Times New Roman" w:hAnsi="Times New Roman"/>
                <w:sz w:val="18"/>
                <w:szCs w:val="18"/>
                <w:b w:val="1"/>
                <w:bCs w:val="1"/>
                <w:color w:val="auto"/>
              </w:rPr>
              <w:t>January 2, 2016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July 4, 2015</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millions)</w:t>
            </w:r>
          </w:p>
        </w:tc>
        <w:tc>
          <w:tcPr>
            <w:tcW w:w="120" w:type="dxa"/>
            <w:vAlign w:val="bottom"/>
          </w:tcPr>
          <w:p>
            <w:pPr>
              <w:spacing w:after="0"/>
              <w:rPr>
                <w:sz w:val="21"/>
                <w:szCs w:val="21"/>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20" w:type="dxa"/>
            <w:vAlign w:val="bottom"/>
          </w:tcPr>
          <w:p>
            <w:pPr>
              <w:spacing w:after="0"/>
              <w:rPr>
                <w:sz w:val="21"/>
                <w:szCs w:val="21"/>
                <w:color w:val="auto"/>
              </w:rPr>
            </w:pP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w w:val="93"/>
              </w:rPr>
              <w:t>Level 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0" w:type="dxa"/>
            <w:vAlign w:val="bottom"/>
          </w:tcPr>
          <w:p>
            <w:pPr>
              <w:spacing w:after="0"/>
              <w:rPr>
                <w:sz w:val="1"/>
                <w:szCs w:val="1"/>
                <w:color w:val="auto"/>
              </w:rPr>
            </w:pPr>
          </w:p>
        </w:tc>
      </w:tr>
      <w:tr>
        <w:trPr>
          <w:trHeight w:val="27"/>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10.9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right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Foreign exchange forward contracts </w:t>
            </w:r>
            <w:r>
              <w:rPr>
                <w:rFonts w:ascii="Times New Roman" w:cs="Times New Roman" w:eastAsia="Times New Roman" w:hAnsi="Times New Roman"/>
                <w:sz w:val="14"/>
                <w:szCs w:val="14"/>
                <w:i w:val="1"/>
                <w:iCs w:val="1"/>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Foreign exchange forward contracts </w:t>
            </w:r>
            <w:r>
              <w:rPr>
                <w:rFonts w:ascii="Times New Roman" w:cs="Times New Roman" w:eastAsia="Times New Roman" w:hAnsi="Times New Roman"/>
                <w:sz w:val="14"/>
                <w:szCs w:val="14"/>
                <w:i w:val="1"/>
                <w:iCs w:val="1"/>
                <w:color w:val="auto"/>
              </w:rPr>
              <w:t>(2)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right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Prepaid expenses and other current assets in the Company's condensed consolidated balance sheet.</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current liabilities in the Company's condensed consolidated balance sheet.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invests in marketable securities, principally equity-based mutual funds, to mitigate the risk associated with the investment return on employee deferrals of compensation.</w:t>
      </w:r>
    </w:p>
    <w:p>
      <w:pPr>
        <w:spacing w:after="0" w:line="16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Gains on the investments in marketable securities were $0.7 million and $0.3 million for the fiscal quarter and two fiscal quarters ended July 2, 2016, respectively. Gains on the investments in marketable securities were not material for the fiscal quarter ended July 4, 2015 and were $0.3 million for the two fiscal quarters ended July 4, 2015. These amounts are included in Other expense (income), net on the Company's consolidated statement of operations included in this Quarterly Report on Form 10-Q.</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FORWARD CONTRACTS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Fair values for unsettled foreign exchange forward contracts are calculated by using readily observable market inputs (market-quoted currency exchange rates in effect between U.S. and Canadian dollars).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July 2, 2016, the notional value of the open foreign currency forward contracts was approximately $20.0 million. These contracts were marked-to-market, or to fair value, resulting in an unrealized loss of approximately $1.3 million at July 2, 2016.</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recorded realized losses of approximately $1.1 million and $0.3 million for foreign currency forward contracts settled during the fiscal quarter and two fiscal quarters ended July 2, 2016, respectively. The Company recorded realized gains of approximately $0.3 million for foreign currency forward contracts settled during the second quarter of fiscal 2015. These amounts are included in Other expense (income), net on the Company's consolidated statement of operations. The Company did not apply hedge accounting treatment on any of these foreign currency forward contracts.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fiscal 2015, the Company had no foreign exchange forward contracts.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contingent consideration liability during the fiscal quarter and first two fiscal quarters of 2015 related to the Company's 2011 acquisition of Bonnie Togs in Canada: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333" w:right="2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34" w:lineRule="exact"/>
        <w:rPr>
          <w:sz w:val="20"/>
          <w:szCs w:val="20"/>
          <w:color w:val="auto"/>
        </w:rPr>
      </w:pPr>
    </w:p>
    <w:tbl>
      <w:tblPr>
        <w:tblLayout w:type="fixed"/>
        <w:tblInd w:w="960" w:type="dxa"/>
        <w:tblCellMar>
          <w:top w:w="0" w:type="dxa"/>
          <w:left w:w="0" w:type="dxa"/>
          <w:bottom w:w="0" w:type="dxa"/>
          <w:right w:w="0" w:type="dxa"/>
        </w:tblCellMar>
      </w:tblPr>
      <w:tr>
        <w:trPr>
          <w:trHeight w:val="212"/>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220" w:type="dxa"/>
            <w:vAlign w:val="bottom"/>
          </w:tcPr>
          <w:p>
            <w:pPr>
              <w:spacing w:after="0"/>
              <w:rPr>
                <w:sz w:val="18"/>
                <w:szCs w:val="18"/>
                <w:color w:val="auto"/>
              </w:rPr>
            </w:pPr>
          </w:p>
        </w:tc>
        <w:tc>
          <w:tcPr>
            <w:tcW w:w="22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33"/>
        </w:trPr>
        <w:tc>
          <w:tcPr>
            <w:tcW w:w="4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1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40" w:type="dxa"/>
            <w:vAlign w:val="bottom"/>
          </w:tcPr>
          <w:p>
            <w:pPr>
              <w:spacing w:after="0"/>
              <w:rPr>
                <w:sz w:val="18"/>
                <w:szCs w:val="18"/>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July 4, 2015</w:t>
            </w:r>
          </w:p>
        </w:tc>
        <w:tc>
          <w:tcPr>
            <w:tcW w:w="220" w:type="dxa"/>
            <w:vAlign w:val="bottom"/>
          </w:tcPr>
          <w:p>
            <w:pPr>
              <w:spacing w:after="0"/>
              <w:rPr>
                <w:sz w:val="18"/>
                <w:szCs w:val="18"/>
                <w:color w:val="auto"/>
              </w:rPr>
            </w:pPr>
          </w:p>
        </w:tc>
        <w:tc>
          <w:tcPr>
            <w:tcW w:w="226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July 4, 2015</w:t>
            </w:r>
          </w:p>
        </w:tc>
      </w:tr>
      <w:tr>
        <w:trPr>
          <w:trHeight w:val="33"/>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the beginning of period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7,711</w:t>
            </w:r>
          </w:p>
        </w:tc>
      </w:tr>
      <w:tr>
        <w:trPr>
          <w:trHeight w:val="23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Accretion</w:t>
            </w:r>
          </w:p>
        </w:tc>
        <w:tc>
          <w:tcPr>
            <w:tcW w:w="240" w:type="dxa"/>
            <w:vAlign w:val="bottom"/>
          </w:tcPr>
          <w:p>
            <w:pPr>
              <w:spacing w:after="0"/>
              <w:rPr>
                <w:sz w:val="20"/>
                <w:szCs w:val="20"/>
                <w:color w:val="auto"/>
              </w:rPr>
            </w:pPr>
          </w:p>
        </w:tc>
        <w:tc>
          <w:tcPr>
            <w:tcW w:w="1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809</w:t>
            </w:r>
          </w:p>
        </w:tc>
      </w:tr>
      <w:tr>
        <w:trPr>
          <w:trHeight w:val="33"/>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r>
      <w:tr>
        <w:trPr>
          <w:trHeight w:val="23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Final contingent adjustment</w:t>
            </w:r>
          </w:p>
        </w:tc>
        <w:tc>
          <w:tcPr>
            <w:tcW w:w="240" w:type="dxa"/>
            <w:vAlign w:val="bottom"/>
          </w:tcPr>
          <w:p>
            <w:pPr>
              <w:spacing w:after="0"/>
              <w:rPr>
                <w:sz w:val="20"/>
                <w:szCs w:val="20"/>
                <w:color w:val="auto"/>
              </w:rPr>
            </w:pPr>
          </w:p>
        </w:tc>
        <w:tc>
          <w:tcPr>
            <w:tcW w:w="1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1,077</w:t>
            </w:r>
          </w:p>
        </w:tc>
      </w:tr>
      <w:tr>
        <w:trPr>
          <w:trHeight w:val="33"/>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the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9,022</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At July 2, 2016 and January 2, 2016, the Company had no remaining contingent consideration liability related to the 2011 acquisition of Bonnie Togs in Canada.</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July 2, 2016, the fair value of the Company's $185.7 million in outstanding borrowings under its secured revolving credit facility approximated carrying value.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fair value of the Company's senior notes at July 2, 2016 was approximately $414 million. The fair value of these senior notes with a notional value and carrying value of $400 million was estimated using a quoted price as provided in the secondary market, which considers the Company's credit risk and market related conditions, and is therefore within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333" w:right="259" w:bottom="1440" w:gutter="0" w:footer="0" w:header="0"/>
        </w:sectPr>
      </w:pPr>
    </w:p>
    <w:bookmarkStart w:id="15" w:name="page16"/>
    <w:bookmarkEnd w:id="1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basic common shares outstanding to diluted common and common equivalent shares outstanding:</w:t>
      </w:r>
    </w:p>
    <w:p>
      <w:pPr>
        <w:sectPr>
          <w:pgSz w:w="11900" w:h="16838" w:orient="portrait"/>
          <w:cols w:equalWidth="0" w:num="1">
            <w:col w:w="11320"/>
          </w:cols>
          <w:pgMar w:left="240" w:top="333" w:right="339" w:bottom="1440" w:gutter="0" w:footer="0" w:header="0"/>
        </w:sectPr>
      </w:pPr>
    </w:p>
    <w:p>
      <w:pPr>
        <w:spacing w:after="0" w:line="17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47625</wp:posOffset>
            </wp:positionV>
            <wp:extent cx="22898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93" w:lineRule="exact"/>
        <w:rPr>
          <w:sz w:val="20"/>
          <w:szCs w:val="20"/>
          <w:color w:val="auto"/>
        </w:rPr>
      </w:pPr>
    </w:p>
    <w:p>
      <w:pPr>
        <w:ind w:left="4420"/>
        <w:spacing w:after="0"/>
        <w:tabs>
          <w:tab w:leader="none" w:pos="6260" w:val="left"/>
        </w:tabs>
        <w:rPr>
          <w:sz w:val="20"/>
          <w:szCs w:val="20"/>
          <w:color w:val="auto"/>
        </w:rPr>
      </w:pPr>
      <w:r>
        <w:rPr>
          <w:rFonts w:ascii="Times New Roman" w:cs="Times New Roman" w:eastAsia="Times New Roman" w:hAnsi="Times New Roman"/>
          <w:sz w:val="16"/>
          <w:szCs w:val="16"/>
          <w:b w:val="1"/>
          <w:bCs w:val="1"/>
          <w:color w:val="auto"/>
        </w:rPr>
        <w:t>July 2, 2016</w:t>
      </w:r>
      <w:r>
        <w:rPr>
          <w:sz w:val="20"/>
          <w:szCs w:val="20"/>
          <w:color w:val="auto"/>
        </w:rPr>
        <w:tab/>
      </w:r>
      <w:r>
        <w:rPr>
          <w:rFonts w:ascii="Times New Roman" w:cs="Times New Roman" w:eastAsia="Times New Roman" w:hAnsi="Times New Roman"/>
          <w:sz w:val="16"/>
          <w:szCs w:val="16"/>
          <w:b w:val="1"/>
          <w:bCs w:val="1"/>
          <w:color w:val="auto"/>
        </w:rPr>
        <w:t>July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38735</wp:posOffset>
            </wp:positionV>
            <wp:extent cx="22898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Two fiscal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38735</wp:posOffset>
            </wp:positionV>
            <wp:extent cx="2255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80"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July 2, 2016</w:t>
      </w:r>
      <w:r>
        <w:rPr>
          <w:sz w:val="20"/>
          <w:szCs w:val="20"/>
          <w:color w:val="auto"/>
        </w:rPr>
        <w:tab/>
      </w:r>
      <w:r>
        <w:rPr>
          <w:rFonts w:ascii="Times New Roman" w:cs="Times New Roman" w:eastAsia="Times New Roman" w:hAnsi="Times New Roman"/>
          <w:sz w:val="16"/>
          <w:szCs w:val="16"/>
          <w:b w:val="1"/>
          <w:bCs w:val="1"/>
          <w:color w:val="auto"/>
        </w:rPr>
        <w:t>July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38735</wp:posOffset>
            </wp:positionV>
            <wp:extent cx="22555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200"/>
          </w:cols>
          <w:pgMar w:left="240" w:top="333" w:right="339" w:bottom="1440" w:gutter="0" w:footer="0" w:header="0"/>
          <w:type w:val="continuous"/>
        </w:sectPr>
      </w:pP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Weighted-average number of common and common</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equivalent shares outstanding:</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9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 number of common shares outstanding</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50,143,568</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52,020,386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50,660,278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52,069,800</w:t>
            </w:r>
          </w:p>
        </w:tc>
        <w:tc>
          <w:tcPr>
            <w:tcW w:w="0" w:type="dxa"/>
            <w:vAlign w:val="bottom"/>
          </w:tcPr>
          <w:p>
            <w:pPr>
              <w:spacing w:after="0"/>
              <w:rPr>
                <w:sz w:val="1"/>
                <w:szCs w:val="1"/>
                <w:color w:val="auto"/>
              </w:rPr>
            </w:pPr>
          </w:p>
        </w:tc>
      </w:tr>
      <w:tr>
        <w:trPr>
          <w:trHeight w:val="237"/>
        </w:trPr>
        <w:tc>
          <w:tcPr>
            <w:tcW w:w="3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Dilutive effect of equity awards</w:t>
            </w: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469,114</w:t>
            </w:r>
          </w:p>
        </w:tc>
        <w:tc>
          <w:tcPr>
            <w:tcW w:w="12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526,016</w:t>
            </w:r>
          </w:p>
        </w:tc>
        <w:tc>
          <w:tcPr>
            <w:tcW w:w="10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468,632</w:t>
            </w:r>
          </w:p>
        </w:tc>
        <w:tc>
          <w:tcPr>
            <w:tcW w:w="10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514,121</w:t>
            </w:r>
          </w:p>
        </w:tc>
        <w:tc>
          <w:tcPr>
            <w:tcW w:w="0" w:type="dxa"/>
            <w:vAlign w:val="bottom"/>
          </w:tcPr>
          <w:p>
            <w:pPr>
              <w:spacing w:after="0"/>
              <w:rPr>
                <w:sz w:val="1"/>
                <w:szCs w:val="1"/>
                <w:color w:val="auto"/>
              </w:rPr>
            </w:pPr>
          </w:p>
        </w:tc>
      </w:tr>
      <w:tr>
        <w:trPr>
          <w:trHeight w:val="33"/>
        </w:trPr>
        <w:tc>
          <w:tcPr>
            <w:tcW w:w="39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 number of common and common equivalent</w:t>
            </w:r>
          </w:p>
        </w:tc>
        <w:tc>
          <w:tcPr>
            <w:tcW w:w="16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50,612,682</w:t>
            </w:r>
          </w:p>
        </w:tc>
        <w:tc>
          <w:tcPr>
            <w:tcW w:w="120" w:type="dxa"/>
            <w:vAlign w:val="bottom"/>
            <w:shd w:val="clear" w:color="auto" w:fill="CCEEFF"/>
          </w:tcPr>
          <w:p>
            <w:pPr>
              <w:spacing w:after="0"/>
              <w:rPr>
                <w:sz w:val="17"/>
                <w:szCs w:val="17"/>
                <w:color w:val="auto"/>
              </w:rPr>
            </w:pPr>
          </w:p>
        </w:tc>
        <w:tc>
          <w:tcPr>
            <w:tcW w:w="19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52,546,402</w:t>
            </w:r>
          </w:p>
        </w:tc>
        <w:tc>
          <w:tcPr>
            <w:tcW w:w="100" w:type="dxa"/>
            <w:vAlign w:val="bottom"/>
            <w:shd w:val="clear" w:color="auto" w:fill="CCEEFF"/>
          </w:tcPr>
          <w:p>
            <w:pPr>
              <w:spacing w:after="0"/>
              <w:rPr>
                <w:sz w:val="17"/>
                <w:szCs w:val="17"/>
                <w:color w:val="auto"/>
              </w:rPr>
            </w:pPr>
          </w:p>
        </w:tc>
        <w:tc>
          <w:tcPr>
            <w:tcW w:w="156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51,128,910</w:t>
            </w:r>
          </w:p>
        </w:tc>
        <w:tc>
          <w:tcPr>
            <w:tcW w:w="100" w:type="dxa"/>
            <w:vAlign w:val="bottom"/>
            <w:shd w:val="clear" w:color="auto" w:fill="CCEEFF"/>
          </w:tcPr>
          <w:p>
            <w:pPr>
              <w:spacing w:after="0"/>
              <w:rPr>
                <w:sz w:val="17"/>
                <w:szCs w:val="17"/>
                <w:color w:val="auto"/>
              </w:rPr>
            </w:pPr>
          </w:p>
        </w:tc>
        <w:tc>
          <w:tcPr>
            <w:tcW w:w="19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52,583,921</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shares outstanding</w:t>
            </w: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428625</wp:posOffset>
            </wp:positionV>
            <wp:extent cx="710057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057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Basic net income per common share (in thousands, except</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per share data):</w:t>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36,198</w:t>
            </w:r>
          </w:p>
        </w:tc>
        <w:tc>
          <w:tcPr>
            <w:tcW w:w="12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36,105</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90,178</w:t>
            </w:r>
          </w:p>
        </w:tc>
        <w:tc>
          <w:tcPr>
            <w:tcW w:w="100" w:type="dxa"/>
            <w:vAlign w:val="bottom"/>
          </w:tcPr>
          <w:p>
            <w:pPr>
              <w:spacing w:after="0"/>
              <w:rPr>
                <w:sz w:val="18"/>
                <w:szCs w:val="18"/>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85,897</w:t>
            </w:r>
          </w:p>
        </w:tc>
      </w:tr>
      <w:tr>
        <w:trPr>
          <w:trHeight w:val="33"/>
        </w:trPr>
        <w:tc>
          <w:tcPr>
            <w:tcW w:w="3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r>
      <w:tr>
        <w:trPr>
          <w:trHeight w:val="284"/>
        </w:trPr>
        <w:tc>
          <w:tcPr>
            <w:tcW w:w="3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35,919</w:t>
            </w:r>
          </w:p>
        </w:tc>
        <w:tc>
          <w:tcPr>
            <w:tcW w:w="12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35,800</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89,458</w:t>
            </w:r>
          </w:p>
        </w:tc>
        <w:tc>
          <w:tcPr>
            <w:tcW w:w="10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85,050</w:t>
            </w:r>
          </w:p>
        </w:tc>
      </w:tr>
      <w:tr>
        <w:trPr>
          <w:trHeight w:val="217"/>
        </w:trPr>
        <w:tc>
          <w:tcPr>
            <w:tcW w:w="3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3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 net income per common share</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0.72</w:t>
            </w:r>
          </w:p>
        </w:tc>
        <w:tc>
          <w:tcPr>
            <w:tcW w:w="120" w:type="dxa"/>
            <w:vAlign w:val="bottom"/>
          </w:tcPr>
          <w:p>
            <w:pPr>
              <w:spacing w:after="0"/>
              <w:rPr>
                <w:sz w:val="20"/>
                <w:szCs w:val="20"/>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20"/>
                <w:szCs w:val="20"/>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r>
      <w:tr>
        <w:trPr>
          <w:trHeight w:val="33"/>
        </w:trPr>
        <w:tc>
          <w:tcPr>
            <w:tcW w:w="3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2"/>
        </w:trPr>
        <w:tc>
          <w:tcPr>
            <w:tcW w:w="3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6"/>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net income per common share (in thousands,</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except per share data):</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36,198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90,178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85,897</w:t>
            </w:r>
          </w:p>
        </w:tc>
      </w:tr>
      <w:tr>
        <w:trPr>
          <w:trHeight w:val="237"/>
        </w:trPr>
        <w:tc>
          <w:tcPr>
            <w:tcW w:w="3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allocated to participating securities</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r>
      <w:tr>
        <w:trPr>
          <w:trHeight w:val="33"/>
        </w:trPr>
        <w:tc>
          <w:tcPr>
            <w:tcW w:w="39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35,920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35,802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89,463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85,057</w:t>
            </w:r>
          </w:p>
        </w:tc>
      </w:tr>
      <w:tr>
        <w:trPr>
          <w:trHeight w:val="20"/>
        </w:trPr>
        <w:tc>
          <w:tcPr>
            <w:tcW w:w="3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3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 net income per common share</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w:t>
            </w:r>
          </w:p>
        </w:tc>
      </w:tr>
      <w:tr>
        <w:trPr>
          <w:trHeight w:val="162"/>
        </w:trPr>
        <w:tc>
          <w:tcPr>
            <w:tcW w:w="3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209"/>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Anti-dilutive shares excluded from dilutive earnings</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0"/>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per share computation</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233,570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178,800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233,570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183,300</w:t>
            </w:r>
          </w:p>
        </w:tc>
      </w:tr>
      <w:tr>
        <w:trPr>
          <w:trHeight w:val="33"/>
        </w:trPr>
        <w:tc>
          <w:tcPr>
            <w:tcW w:w="39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20"/>
          </w:cols>
          <w:pgMar w:left="240" w:top="333" w:right="339" w:bottom="1440" w:gutter="0" w:footer="0" w:header="0"/>
          <w:type w:val="continuous"/>
        </w:sectPr>
      </w:pPr>
    </w:p>
    <w:bookmarkStart w:id="16" w:name="page17"/>
    <w:bookmarkEnd w:id="16"/>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OTHER CURRENT AND LONG-TERM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that exceeded five percent of total current liabilities, at the end of any comparable period, were as follows:</w:t>
      </w:r>
    </w:p>
    <w:p>
      <w:pPr>
        <w:spacing w:after="0" w:line="18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6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220" w:type="dxa"/>
            <w:vAlign w:val="bottom"/>
          </w:tcPr>
          <w:p>
            <w:pPr>
              <w:spacing w:after="0"/>
              <w:rPr>
                <w:sz w:val="18"/>
                <w:szCs w:val="18"/>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2, 2016</w:t>
            </w:r>
          </w:p>
        </w:tc>
        <w:tc>
          <w:tcPr>
            <w:tcW w:w="300" w:type="dxa"/>
            <w:vAlign w:val="bottom"/>
          </w:tcPr>
          <w:p>
            <w:pPr>
              <w:spacing w:after="0"/>
              <w:rPr>
                <w:sz w:val="18"/>
                <w:szCs w:val="18"/>
                <w:color w:val="auto"/>
              </w:rPr>
            </w:pPr>
          </w:p>
        </w:tc>
        <w:tc>
          <w:tcPr>
            <w:tcW w:w="15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July 4, 2015</w:t>
            </w:r>
          </w:p>
        </w:tc>
      </w:tr>
      <w:tr>
        <w:trPr>
          <w:trHeight w:val="33"/>
        </w:trPr>
        <w:tc>
          <w:tcPr>
            <w:tcW w:w="5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bonuses and incentive compensation</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7,400</w:t>
            </w: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employee benefits</w:t>
            </w:r>
          </w:p>
        </w:tc>
        <w:tc>
          <w:tcPr>
            <w:tcW w:w="2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8,253</w:t>
            </w:r>
          </w:p>
        </w:tc>
      </w:tr>
      <w:tr>
        <w:trPr>
          <w:trHeight w:val="33"/>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and deferred rent</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13,160</w:t>
            </w:r>
          </w:p>
        </w:tc>
      </w:tr>
      <w:tr>
        <w:trPr>
          <w:trHeight w:val="33"/>
        </w:trPr>
        <w:tc>
          <w:tcPr>
            <w:tcW w:w="5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that exceeded five percent of total liabilities, at the end of any comparable period, were as follows:</w:t>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80" w:type="dxa"/>
            <w:vAlign w:val="bottom"/>
          </w:tcPr>
          <w:p>
            <w:pPr>
              <w:spacing w:after="0"/>
              <w:rPr>
                <w:sz w:val="18"/>
                <w:szCs w:val="18"/>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January 2, 2016</w:t>
            </w:r>
          </w:p>
        </w:tc>
        <w:tc>
          <w:tcPr>
            <w:tcW w:w="300" w:type="dxa"/>
            <w:vAlign w:val="bottom"/>
          </w:tcPr>
          <w:p>
            <w:pPr>
              <w:spacing w:after="0"/>
              <w:rPr>
                <w:sz w:val="18"/>
                <w:szCs w:val="18"/>
                <w:color w:val="auto"/>
              </w:rPr>
            </w:pPr>
          </w:p>
        </w:tc>
        <w:tc>
          <w:tcPr>
            <w:tcW w:w="15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July 4, 2015</w:t>
            </w:r>
          </w:p>
        </w:tc>
      </w:tr>
      <w:tr>
        <w:trPr>
          <w:trHeight w:val="33"/>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lease incentives</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71,884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70,060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69,804</w:t>
            </w:r>
          </w:p>
        </w:tc>
      </w:tr>
      <w:tr>
        <w:trPr>
          <w:trHeight w:val="33"/>
        </w:trPr>
        <w:tc>
          <w:tcPr>
            <w:tcW w:w="5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240" w:top="333" w:right="419" w:bottom="1440" w:gutter="0" w:footer="0" w:header="0"/>
        </w:sectPr>
      </w:pPr>
    </w:p>
    <w:bookmarkStart w:id="17" w:name="page18"/>
    <w:bookmarkEnd w:id="17"/>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certain information for our reportable segments and unallocated corporate expenses for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2,</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July 4,</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22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2,</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4,</w:t>
            </w: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12"/>
        </w:trPr>
        <w:tc>
          <w:tcPr>
            <w:tcW w:w="18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2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 Net Sales</w:t>
            </w:r>
          </w:p>
        </w:tc>
        <w:tc>
          <w:tcPr>
            <w:tcW w:w="22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22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2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0" w:type="dxa"/>
            <w:vAlign w:val="bottom"/>
          </w:tcPr>
          <w:p>
            <w:pPr>
              <w:spacing w:after="0"/>
              <w:rPr>
                <w:sz w:val="1"/>
                <w:szCs w:val="1"/>
                <w:color w:val="auto"/>
              </w:rPr>
            </w:pPr>
          </w:p>
        </w:tc>
      </w:tr>
      <w:tr>
        <w:trPr>
          <w:trHeight w:val="33"/>
        </w:trPr>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Carter’s Wholesale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205,738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211,730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485,878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481,045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37.1 %</w:t>
            </w:r>
          </w:p>
        </w:tc>
        <w:tc>
          <w:tcPr>
            <w:tcW w:w="0" w:type="dxa"/>
            <w:vAlign w:val="bottom"/>
          </w:tcPr>
          <w:p>
            <w:pPr>
              <w:spacing w:after="0"/>
              <w:rPr>
                <w:sz w:val="1"/>
                <w:szCs w:val="1"/>
                <w:color w:val="auto"/>
              </w:rPr>
            </w:pPr>
          </w:p>
        </w:tc>
      </w:tr>
      <w:tr>
        <w:trPr>
          <w:trHeight w:val="237"/>
        </w:trPr>
        <w:tc>
          <w:tcPr>
            <w:tcW w:w="18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Carter’s Retail (a)</w:t>
            </w:r>
          </w:p>
        </w:tc>
        <w:tc>
          <w:tcPr>
            <w:tcW w:w="2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273,832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246,980</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546,155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504,707</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Carter’s (U.S.)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479,570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458,710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1,032,033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985,752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76.1 %</w:t>
            </w:r>
          </w:p>
        </w:tc>
        <w:tc>
          <w:tcPr>
            <w:tcW w:w="0" w:type="dxa"/>
            <w:vAlign w:val="bottom"/>
          </w:tcPr>
          <w:p>
            <w:pPr>
              <w:spacing w:after="0"/>
              <w:rPr>
                <w:sz w:val="1"/>
                <w:szCs w:val="1"/>
                <w:color w:val="auto"/>
              </w:rPr>
            </w:pPr>
          </w:p>
        </w:tc>
      </w:tr>
      <w:tr>
        <w:trPr>
          <w:trHeight w:val="217"/>
        </w:trPr>
        <w:tc>
          <w:tcPr>
            <w:tcW w:w="18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OshKosh Retail (a)</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78,950</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73,453</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160,716</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146,495</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OshKosh Wholesale</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9,384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14,306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21,298</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30,357</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OshKosh (U.S.)</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88,334</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87,759</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182,014</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176,852</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 (b)</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71,567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66,296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149,509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134,925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net sales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639,471</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612,765</w:t>
            </w:r>
          </w:p>
        </w:tc>
        <w:tc>
          <w:tcPr>
            <w:tcW w:w="1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1,363,556</w:t>
            </w:r>
          </w:p>
        </w:tc>
        <w:tc>
          <w:tcPr>
            <w:tcW w:w="1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1,297,529</w:t>
            </w:r>
          </w:p>
        </w:tc>
        <w:tc>
          <w:tcPr>
            <w:tcW w:w="1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of</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78"/>
        </w:trPr>
        <w:tc>
          <w:tcPr>
            <w:tcW w:w="1840" w:type="dxa"/>
            <w:vAlign w:val="bottom"/>
            <w:gridSpan w:val="3"/>
          </w:tcPr>
          <w:p>
            <w:pPr>
              <w:ind w:left="40"/>
              <w:spacing w:after="0" w:line="178" w:lineRule="exact"/>
              <w:rPr>
                <w:sz w:val="20"/>
                <w:szCs w:val="20"/>
                <w:color w:val="auto"/>
              </w:rPr>
            </w:pPr>
            <w:r>
              <w:rPr>
                <w:rFonts w:ascii="Times New Roman" w:cs="Times New Roman" w:eastAsia="Times New Roman" w:hAnsi="Times New Roman"/>
                <w:sz w:val="16"/>
                <w:szCs w:val="16"/>
                <w:b w:val="1"/>
                <w:bCs w:val="1"/>
                <w:color w:val="auto"/>
              </w:rPr>
              <w:t>Operating income (loss):</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Carter’s Wholesale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39,899</w:t>
            </w:r>
          </w:p>
        </w:tc>
        <w:tc>
          <w:tcPr>
            <w:tcW w:w="13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19.4 %</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40,207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106,104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98,138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0" w:type="dxa"/>
            <w:vAlign w:val="bottom"/>
          </w:tcPr>
          <w:p>
            <w:pPr>
              <w:spacing w:after="0"/>
              <w:rPr>
                <w:sz w:val="1"/>
                <w:szCs w:val="1"/>
                <w:color w:val="auto"/>
              </w:rPr>
            </w:pPr>
          </w:p>
        </w:tc>
      </w:tr>
      <w:tr>
        <w:trPr>
          <w:trHeight w:val="237"/>
        </w:trPr>
        <w:tc>
          <w:tcPr>
            <w:tcW w:w="18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Carter’s Retail (a)</w:t>
            </w:r>
          </w:p>
        </w:tc>
        <w:tc>
          <w:tcPr>
            <w:tcW w:w="3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38,433</w:t>
            </w:r>
          </w:p>
        </w:tc>
        <w:tc>
          <w:tcPr>
            <w:tcW w:w="1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14.0 %</w:t>
            </w:r>
          </w:p>
        </w:tc>
        <w:tc>
          <w:tcPr>
            <w:tcW w:w="3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38,331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79,687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82,824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Carter’s (U.S.)</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78,332</w:t>
            </w:r>
          </w:p>
        </w:tc>
        <w:tc>
          <w:tcPr>
            <w:tcW w:w="13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16.3 %</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78,538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185,791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180,962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0" w:type="dxa"/>
            <w:vAlign w:val="bottom"/>
          </w:tcPr>
          <w:p>
            <w:pPr>
              <w:spacing w:after="0"/>
              <w:rPr>
                <w:sz w:val="1"/>
                <w:szCs w:val="1"/>
                <w:color w:val="auto"/>
              </w:rPr>
            </w:pPr>
          </w:p>
        </w:tc>
      </w:tr>
      <w:tr>
        <w:trPr>
          <w:trHeight w:val="217"/>
        </w:trPr>
        <w:tc>
          <w:tcPr>
            <w:tcW w:w="18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OshKosh Retail (a)</w:t>
            </w: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OshKosh Wholesale</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1,610</w:t>
            </w:r>
          </w:p>
        </w:tc>
        <w:tc>
          <w:tcPr>
            <w:tcW w:w="13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17.2 %</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2,249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3,816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5,228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Total OshKosh (U.S.)</w:t>
            </w: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129</w:t>
            </w:r>
          </w:p>
        </w:tc>
        <w:tc>
          <w:tcPr>
            <w:tcW w:w="1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0.1 %</w:t>
            </w: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2,453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 (b) (c)</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9,105</w:t>
            </w:r>
          </w:p>
        </w:tc>
        <w:tc>
          <w:tcPr>
            <w:tcW w:w="13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12.7 %</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6,236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17,546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12,747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204"/>
        </w:trPr>
        <w:tc>
          <w:tcPr>
            <w:tcW w:w="18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Corporate expenses (d) (e)</w:t>
            </w: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(24,323)</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(23,256)</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(47,636)</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(49,705)</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income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63,243</w:t>
            </w:r>
          </w:p>
        </w:tc>
        <w:tc>
          <w:tcPr>
            <w:tcW w:w="13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9.9 %</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61,952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156,251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146,457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eCommerce results.</w:t>
      </w:r>
    </w:p>
    <w:p>
      <w:pPr>
        <w:spacing w:after="0" w:line="23"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sales include international retail, eCommerce, and wholesale sales. Operating income includes international licensing income.</w:t>
      </w:r>
    </w:p>
    <w:p>
      <w:pPr>
        <w:spacing w:after="0" w:line="5" w:lineRule="exact"/>
        <w:rPr>
          <w:rFonts w:ascii="Times New Roman" w:cs="Times New Roman" w:eastAsia="Times New Roman" w:hAnsi="Times New Roman"/>
          <w:sz w:val="16"/>
          <w:szCs w:val="16"/>
          <w:color w:val="auto"/>
        </w:rPr>
      </w:pPr>
    </w:p>
    <w:p>
      <w:pPr>
        <w:ind w:left="340" w:right="200" w:hanging="332"/>
        <w:spacing w:after="0" w:line="246"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charges associated with the revaluation of the Company's contingent consideration related to the Company's 2011 acquisition of Bonnie Togs of approximately $1.4 million and $1.9 million for the fiscal quarter and two fiscal quarters ended July 4, 2015, respectively.</w:t>
      </w:r>
    </w:p>
    <w:p>
      <w:pPr>
        <w:ind w:left="340" w:right="220" w:hanging="332"/>
        <w:spacing w:after="0" w:line="246"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expenses include expenses related to incentive compensation, stock-based compensation, executive management, severance and relocation, finance, building occupancy, information technology, certain legal fees, consulting, and audit fees.</w:t>
      </w:r>
    </w:p>
    <w:p>
      <w:pPr>
        <w:ind w:left="340" w:right="160" w:hanging="332"/>
        <w:spacing w:after="0" w:line="257"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charges related to the amortization of tradenames of $0.8 million and $1.8 million for the fiscal quarter and two fiscal quarters ended July 2, 2016, respectively, and $2.1 million and $4.4 million for the fiscal quarter and two fiscal quarters ended July 4, 2015, respectively.</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PENDING ADOPTION OF 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which has been codified in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guidance clarifies the principles for recognizing revenue and will be applicable to all contracts with customers regardless of industry-specific or transaction-specific fact patterns. Further, the guidance will require improved disclosures as well as additional disclosures to help users of financial statements better understand the nature, amount, timing, and uncertainty of revenue that is recognized. The standard is effective for the Company beginning in the first quarter of fiscal 2018, including interim periods within that first fiscal year, and early adoption is now permitted for 2017. Upon becoming effective, the Company will apply the amendments in the updated standard either retrospectively to each prior reporting period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33" w:right="2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presented, or retrospectively with the cumulative effect of initially applying the guidance recognized at the date of initial application. The Company is currently evaluating the impact of adopting this guidance on its consolidated financial position, results of operations, and cash flows. Since the original issuance of ASU 2014-09, the FASB has issued several amendments and updates to this guidance, and additional amendments and updates are currently being considered by the FASB.</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Simplified Subsequent Measurement of Inventory</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July 2015, the FASB issued ASU No. 2015-11, </w:t>
      </w:r>
      <w:r>
        <w:rPr>
          <w:rFonts w:ascii="Times New Roman" w:cs="Times New Roman" w:eastAsia="Times New Roman" w:hAnsi="Times New Roman"/>
          <w:sz w:val="18"/>
          <w:szCs w:val="18"/>
          <w:i w:val="1"/>
          <w:iCs w:val="1"/>
          <w:color w:val="auto"/>
        </w:rPr>
        <w:t>Inventory (Topic 330): Simplifying the Measurement of Inventory</w:t>
      </w:r>
      <w:r>
        <w:rPr>
          <w:rFonts w:ascii="Times New Roman" w:cs="Times New Roman" w:eastAsia="Times New Roman" w:hAnsi="Times New Roman"/>
          <w:sz w:val="18"/>
          <w:szCs w:val="18"/>
          <w:color w:val="auto"/>
        </w:rPr>
        <w:t xml:space="preserve"> ("ASU 2015-11"). Upon adoption by an entity, ASU 2015-11 will simplify the subsequent measurement of inventory by replacing the current lower of cost or market test with a lower of cost and net realizable value test. The new guidance applies only to inventories for which cost is determined by methods other than last-in-first-out (LIFO) and the retail inventory method. For inventory within the scope of ASU 2015-11, entities will be required to compare the cost of inventory to only one measure, its net realizable value, and not the three measures required by current guidance ("market," "subject to a floor," and a "ceiling"). When evidence exists that the net realizable value of inventory is less than its cost (due to damage, physical deterioration, obsolescence, changes in price levels or other causes), entities will recognize the difference as a loss in earnings in the period in which it occurs. ASU 2015-11 is effective for public entities for fiscal years beginning after December 15, 2016, and interim periods within the year of adoption. Early adoption is permitted. The Company expects to adopt the provisions of ASU 2015-11 at the beginning of fiscal 2017. At this time, the Company does not believe the adoption of ASU 2015-11 will have a material impact on its consolidated financial condition, results of operations, or cash flows.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Classification of Deferred Taxes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November 2015, the FASB issued ASU No.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xml:space="preserve"> ("ASU 2015-17"). Current GAAP requires the deferred taxes for each tax jurisdiction (or tax-paying component of a jurisdiction) to be presented as a net current asset or liability and net noncurrent asset or liability. This requires a jurisdiction-by-jurisdiction analysis based on the classification of the assets and liabilities to which the underlying temporary differences relate based on the period in which the attribute is expected to be realized. Upon adoption of ASU 2015-17, all deferred tax assets and liabilities will be classified as noncurrent on an entity's balance sheet. As a result, each jurisdiction will have only one net noncurrent deferred tax asset or liability. ASU 2015-17 will not change the existing guidance that prohibits the offsetting of deferred tax liabilities of one jurisdiction against the deferred tax assets of another jurisdiction. ASU 2015-17 is effective for public entities in fiscal years beginning after December 15, 2016, including interim periods in the year of adoption. Early adoption is permitted, and adoption may be applied either prospectively or retrospectively. The Company plans to adopt ASU 2015-17 at the beginning of the first quarter of fiscal 2017. ASU 2015-17 will only involve classification of certain deferred tax assets and liabilities on the Company's consolidated balance sheet and will have no impact on the Company's results of operations or cash flows. The Company does not expect the adoption of ASU 2015-17 will have a material effect on the Company's consolidated balance sheet.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new lease accounting guidance in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The new standard will be effective for the Company at the beginning of fiscal 2019, including interim periods within the year of adoption. The new standard requires a modified retrospective basis, and early adoption is permitted. The Company is still evaluating the potential impacts of ASU 2016-02 on its consolidated financial statements. However, the Company expects that the adoption of ASU 2016-02 will require the Company to recognize right-of-use assets and lease liabilities that will be material to the Company's consolidated balance sheet.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Share-Based Payments to Employees</w:t>
      </w:r>
    </w:p>
    <w:p>
      <w:pPr>
        <w:spacing w:after="0" w:line="225"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2016-09"), which amends ASC Topic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ASU 2016-09 includes provisions intended to simplify various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33" w:right="2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aspects related to how share-based payments are accounted for and presented in the financial statements. All tax benefits and deficiencies related to share-based payments will be recognized and recorded through the statement of operations for all awards settled or expiring after the adoption of ASU 2016-09. Currently, tax benefits in excess of compensation costs ("windfalls") are recorded in equity, and tax deficiencies ("shortfalls") are recorded in equity to the extent of previous windfalls and then to the statement of operations. ASU 2016-09 will also require, either prospectively or retrospectively, that all tax-related cash flows resulting from share-based payments be reported as operating activities on the statement of cash flows, a change from the current requirement to present windfall tax benefits as an inflow from financing activities and an outflow from operating activities on the statement of cash flows. Additionally, ASU 2016-09 will allow entities to make an accounting policy election for the impact of most types of forfeitures on the recognition of expense for share-based payment awards by allowing the forfeitures to be either estimated, as is currently required, or recognized when they actually occur. If elected, the change to recognize forfeitures when they occur will be adopted using a modified retrospective approach, with a cumulative effect adjustment recorded to retained earnings. ASU 2016-09 will be effective for the Company at the beginning of fiscal 2017, including interim periods in the year of adoption. Early adoption is permitted in any interim or annual period. The Company is still evaluating the potential impacts of ASU 2016-09 on its consolidated financial statements.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GUARANTOR UNAUDITED CONDENSED CONSOLIDATING FINANCIAL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senior notes constitute debt obligations of its wholly-owned subsidiary, The William Carter Company ("TWCC" or the "Subsidiary Issuer"), are unsecured and are fully and unconditionally guaranteed by Carter’s, Inc. (the "Parent"), by certain of the Parent's current domestic subsidiaries (other than TWCC), and, subject to certain exceptions, future restricted subsidiaries that guarantee the Company’s secured revolving credit facility or certain other debt of the Company or the subsidiary guarantors. Under specific customary conditions, the guarantees are not full and unconditional because subsidiary guarantors can be released and relieved of their obligations under customary circumstances contained in the indenture governing the senior notes. These circumstances include, among others, the following, so long as other applicable provisions of the indentures are adhered to: any sale or other disposition of all or substantially all of the assets of any subsidiary guarantor, any sale or other disposition of capital stock of any subsidiary guarantor, or designation of any restricted subsidiary that is a subsidiary guarantor as an unrestricted subsidiary.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refer to the Company's Annual Report on Form 10-K for the 2015 fiscal year ended January 2, 2016.</w:t>
      </w:r>
    </w:p>
    <w:p>
      <w:pPr>
        <w:spacing w:after="0" w:line="9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The condensed consolidating financial information for the Parent, the Subsidiary Issuer, and the guarantor and non-guarantor subsidiaries has been prepared from the books and records maintained by the Company. The accompanying condensed consolidating financial information has been prepared and presented pursuant to SEC Regulation S-X Rule 3-10. The financial information may not necessarily be indicative of the financial position, results of operations, comprehensive income (loss), and cash flows, had the Parent, Subsidiary Issuer, guarantor or non-guarantor subsidiaries operated as independent entities.</w:t>
      </w:r>
    </w:p>
    <w:p>
      <w:pPr>
        <w:spacing w:after="0" w:line="1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Intercompany revenues and expenses included in the subsidiary records are eliminated in consolidation. As a result of this activity, an amount due to/due from affiliates will exist at any time. The principal elimination entries relate to investments in subsidiaries and intercompany balances and transactions. The Company has accounted for investments in subsidiaries under the equity method. The guarantor subsidiaries are 100% owned directly or indirectly by the Parent and all guarantees are joint, several, and unconditional.</w:t>
      </w:r>
    </w:p>
    <w:p>
      <w:pPr>
        <w:spacing w:after="0" w:line="4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December 2015, as part of a foreign subsidiary restructuring, certain non-guarantor subsidiaries became subsidiaries of certain other non-guarantor subsidiaries. The restructuring did not retroactively impact the prior status of the guarantor and the non-guarantor subsidiaries, and accordingly the condensed consolidating financial information for periods prior to the restructuring have not been adjusted to reflect the restructuring.</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333" w:right="2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2,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159,191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11,233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34,656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205,080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126,501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150,633</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62,988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115,545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344,479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212,739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67,367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587,434</w:t>
            </w: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25,362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46,189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32,816</w:t>
            </w:r>
          </w:p>
        </w:tc>
        <w:tc>
          <w:tcPr>
            <w:tcW w:w="0" w:type="dxa"/>
            <w:vAlign w:val="bottom"/>
          </w:tcPr>
          <w:p>
            <w:pPr>
              <w:spacing w:after="0"/>
              <w:rPr>
                <w:sz w:val="1"/>
                <w:szCs w:val="1"/>
                <w:color w:val="auto"/>
              </w:rPr>
            </w:pPr>
          </w:p>
        </w:tc>
      </w:tr>
      <w:tr>
        <w:trPr>
          <w:trHeight w:val="217"/>
        </w:trPr>
        <w:tc>
          <w:tcPr>
            <w:tcW w:w="2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735,973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388,048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120,635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(222,504)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1,022,152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162,536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191,895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31,603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386,034</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40,970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177,540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Tradenames,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223,517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309,017</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17,749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Intercompany long-term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297,756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long-term note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receivable</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766,702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692,654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119,250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(1,578,606)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766,702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2,067,955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1,083,157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193,544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(2,198,866)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1,912,492</w:t>
            </w: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125,742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44,406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190,366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payables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120,695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61,774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80,595</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253,730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169,680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32,904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270,961</w:t>
            </w: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560,964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580,678</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83,601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128,682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Intercompany long-term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297,756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long-term note payable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68,051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85,078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165,469</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766,702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803,853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683,318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128,586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(1,615,757)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766,702</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766,702</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2,067,955</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1,083,157</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193,544</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(2,198,866)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1,912,492</w:t>
            </w: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equity</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33"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325,771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14,652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40,786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381,209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178,842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23,980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207,570</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52,676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133,092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271,148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184,618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48,960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469,934</w:t>
            </w: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37,815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19,502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34,080</w:t>
            </w:r>
          </w:p>
        </w:tc>
        <w:tc>
          <w:tcPr>
            <w:tcW w:w="0" w:type="dxa"/>
            <w:vAlign w:val="bottom"/>
          </w:tcPr>
          <w:p>
            <w:pPr>
              <w:spacing w:after="0"/>
              <w:rPr>
                <w:sz w:val="1"/>
                <w:szCs w:val="1"/>
                <w:color w:val="auto"/>
              </w:rPr>
            </w:pPr>
          </w:p>
        </w:tc>
      </w:tr>
      <w:tr>
        <w:trPr>
          <w:trHeight w:val="217"/>
        </w:trPr>
        <w:tc>
          <w:tcPr>
            <w:tcW w:w="2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865,399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384,147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104,939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(223,877)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1,130,608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29,351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371,704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38,304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174,874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Tradenames,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310,848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15,620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Intercompany long-term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294,070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long-term note receivable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875,051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652,598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100,146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(1,627,795)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875,051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2,156,580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1,044,850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172,915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(2,245,742)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2,003,654</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93,585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44,951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19,112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157,648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payables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80,908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105,070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241,275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177,221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262,718</w:t>
            </w: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560,541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578,972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84,038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128,838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Intercompany long-term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294,070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Intercompany long-term note payable</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66,813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158,075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875,051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909,843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643,261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109,483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(1,662,587)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875,051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w:t>
            </w:r>
          </w:p>
        </w:tc>
        <w:tc>
          <w:tcPr>
            <w:tcW w:w="2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875,051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2,156,580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1,044,850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172,915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(2,245,742)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2,003,654</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33" w:right="2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4,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211,730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13,007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244,301</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157,145</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57,590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60,737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Finished goods 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322,981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194,245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544,256</w:t>
            </w:r>
          </w:p>
        </w:tc>
        <w:tc>
          <w:tcPr>
            <w:tcW w:w="0" w:type="dxa"/>
            <w:vAlign w:val="bottom"/>
          </w:tcPr>
          <w:p>
            <w:pPr>
              <w:spacing w:after="0"/>
              <w:rPr>
                <w:sz w:val="1"/>
                <w:szCs w:val="1"/>
                <w:color w:val="auto"/>
              </w:rPr>
            </w:pPr>
          </w:p>
        </w:tc>
      </w:tr>
      <w:tr>
        <w:trPr>
          <w:trHeight w:val="216"/>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assets</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47,639</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31,871</w:t>
            </w:r>
          </w:p>
        </w:tc>
        <w:tc>
          <w:tcPr>
            <w:tcW w:w="0" w:type="dxa"/>
            <w:vAlign w:val="bottom"/>
          </w:tcPr>
          <w:p>
            <w:pPr>
              <w:spacing w:after="0"/>
              <w:rPr>
                <w:sz w:val="1"/>
                <w:szCs w:val="1"/>
                <w:color w:val="auto"/>
              </w:rPr>
            </w:pPr>
          </w:p>
        </w:tc>
      </w:tr>
      <w:tr>
        <w:trPr>
          <w:trHeight w:val="217"/>
        </w:trPr>
        <w:tc>
          <w:tcPr>
            <w:tcW w:w="2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769,157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314,398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97,717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(156,060)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1,025,212</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28,538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353,138</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136,570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42,183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178,753</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Tradenames and other intangibles,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312,836</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debt issuance costs, net</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13,759</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long-term receivable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267,160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long-term note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802,939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595,255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(1,413,477)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802,939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2,001,202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847,772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168,482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(1,936,697)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1,883,698</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35,589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145,809</w:t>
            </w:r>
          </w:p>
        </w:tc>
        <w:tc>
          <w:tcPr>
            <w:tcW w:w="0" w:type="dxa"/>
            <w:vAlign w:val="bottom"/>
          </w:tcPr>
          <w:p>
            <w:pPr>
              <w:spacing w:after="0"/>
              <w:rPr>
                <w:sz w:val="1"/>
                <w:szCs w:val="1"/>
                <w:color w:val="auto"/>
              </w:rPr>
            </w:pPr>
          </w:p>
        </w:tc>
      </w:tr>
      <w:tr>
        <w:trPr>
          <w:trHeight w:val="237"/>
        </w:trPr>
        <w:tc>
          <w:tcPr>
            <w:tcW w:w="26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payables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63,369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56,452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35,948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26,485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76,451</w:t>
            </w:r>
          </w:p>
        </w:tc>
        <w:tc>
          <w:tcPr>
            <w:tcW w:w="0" w:type="dxa"/>
            <w:vAlign w:val="bottom"/>
          </w:tcPr>
          <w:p>
            <w:pPr>
              <w:spacing w:after="0"/>
              <w:rPr>
                <w:sz w:val="1"/>
                <w:szCs w:val="1"/>
                <w:color w:val="auto"/>
              </w:rPr>
            </w:pPr>
          </w:p>
        </w:tc>
      </w:tr>
      <w:tr>
        <w:trPr>
          <w:trHeight w:val="217"/>
        </w:trPr>
        <w:tc>
          <w:tcPr>
            <w:tcW w:w="2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186,722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118,526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39,170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(122,158)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222,260</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560,129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20,298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580,427</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79,351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39,879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119,230</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Intercompany long-term liability</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long-term note payable</w:t>
            </w:r>
          </w:p>
        </w:tc>
        <w:tc>
          <w:tcPr>
            <w:tcW w:w="28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70,999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75,133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158,842</w:t>
            </w: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802,939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836,841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514,234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96,304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(1,447,379)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802,939</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802,939</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2,001,202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847,772</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168,482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(1,936,697)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1,883,698</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equity</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333" w:right="25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quarter ended July 2,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361,366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374,806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66,218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639,471</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264,791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220,976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30,976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357,289</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96,575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153,830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35,242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282,182</w:t>
            </w: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40,434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173,924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228,464</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(9,525)</w:t>
            </w:r>
          </w:p>
        </w:tc>
      </w:tr>
      <w:tr>
        <w:trPr>
          <w:trHeight w:val="21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63,198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(15,580)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12,728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2,897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63,243</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6,667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6,803</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516</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36,198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48,558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12,140</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56,102</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15,258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2,743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19,904</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36,198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9,397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36,198</w:t>
            </w:r>
          </w:p>
        </w:tc>
      </w:tr>
      <w:tr>
        <w:trPr>
          <w:trHeight w:val="20"/>
        </w:trPr>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333" w:right="259" w:bottom="1440" w:gutter="0" w:footer="0" w:header="0"/>
        </w:sectPr>
      </w:pPr>
    </w:p>
    <w:bookmarkStart w:id="24" w:name="page25"/>
    <w:bookmarkEnd w:id="2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quarter ended July 4,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0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362,318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351,161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52,638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612,765</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254,299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213,845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27,129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349,870</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108,019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137,316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25,509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262,895</w:t>
            </w: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42,167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157,636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209,296</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(8,353)</w:t>
            </w:r>
          </w:p>
        </w:tc>
      </w:tr>
      <w:tr>
        <w:trPr>
          <w:trHeight w:val="21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72,193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3,840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2,471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61,952</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6,935</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57,608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5,600</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57,074</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20,969</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3,738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36,105</w:t>
            </w:r>
          </w:p>
        </w:tc>
      </w:tr>
      <w:tr>
        <w:trPr>
          <w:trHeight w:val="20"/>
        </w:trPr>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20"/>
          </w:cols>
          <w:pgMar w:left="240" w:top="333"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two fiscal quarters ended July 2,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0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812,562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756,086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122,048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1,363,556</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585,891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432,004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64,067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770,445</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226,671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324,082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57,981</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593,111</w:t>
            </w: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83,021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346,066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45,891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457,460</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(20,600)</w:t>
            </w:r>
          </w:p>
        </w:tc>
      </w:tr>
      <w:tr>
        <w:trPr>
          <w:trHeight w:val="21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159,779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12,090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156,251</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13,542</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r>
      <w:tr>
        <w:trPr>
          <w:trHeight w:val="33"/>
        </w:trPr>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3,709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3,709</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90,178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132,820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8,231</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139,385</w:t>
            </w:r>
          </w:p>
        </w:tc>
      </w:tr>
      <w:tr>
        <w:trPr>
          <w:trHeight w:val="237"/>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40,284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49,207</w:t>
            </w:r>
          </w:p>
        </w:tc>
      </w:tr>
      <w:tr>
        <w:trPr>
          <w:trHeight w:val="33"/>
        </w:trPr>
        <w:tc>
          <w:tcPr>
            <w:tcW w:w="2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90,178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92,536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6,057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90,178</w:t>
            </w:r>
          </w:p>
        </w:tc>
      </w:tr>
      <w:tr>
        <w:trPr>
          <w:trHeight w:val="20"/>
        </w:trPr>
        <w:tc>
          <w:tcPr>
            <w:tcW w:w="2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333" w:right="259" w:bottom="1440" w:gutter="0" w:footer="0" w:header="0"/>
        </w:sectPr>
      </w:pPr>
    </w:p>
    <w:bookmarkStart w:id="26" w:name="page27"/>
    <w:bookmarkEnd w:id="2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two fiscal quarters ended July 4,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0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Issuer</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0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797,604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710,557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99,758</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1,297,529</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552,510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436,760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57,608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750,582</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245,094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273,797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42,150</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546,947</w:t>
            </w: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84,416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420,479</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Royalty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(19,989)</w:t>
            </w:r>
          </w:p>
        </w:tc>
      </w:tr>
      <w:tr>
        <w:trPr>
          <w:trHeight w:val="21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176,058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146,457</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13,627</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33"/>
        </w:trPr>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in subsidiaries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56,759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85,897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133,120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133,062</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49,595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47,165</w:t>
            </w:r>
          </w:p>
        </w:tc>
      </w:tr>
      <w:tr>
        <w:trPr>
          <w:trHeight w:val="33"/>
        </w:trPr>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85,897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83,525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85,897</w:t>
            </w:r>
          </w:p>
        </w:tc>
      </w:tr>
      <w:tr>
        <w:trPr>
          <w:trHeight w:val="20"/>
        </w:trPr>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20"/>
          </w:cols>
          <w:pgMar w:left="240" w:top="33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Comprehensive Income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quarter ended July 2,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36,198</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33,300</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(10,334)</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9,397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(32,363)</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36,198</w:t>
            </w:r>
          </w:p>
        </w:tc>
      </w:tr>
      <w:tr>
        <w:trPr>
          <w:trHeight w:val="216"/>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548</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36,746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33,848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9,945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36,746</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quarter ended July 4,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6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36,105</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33,634</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3,738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(27,370)</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36,105</w:t>
            </w:r>
          </w:p>
        </w:tc>
      </w:tr>
      <w:tr>
        <w:trPr>
          <w:trHeight w:val="216"/>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33"/>
        </w:trPr>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35,861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33,390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3,494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35,861</w:t>
            </w:r>
          </w:p>
        </w:tc>
      </w:tr>
      <w:tr>
        <w:trPr>
          <w:trHeight w:val="20"/>
        </w:trPr>
        <w:tc>
          <w:tcPr>
            <w:tcW w:w="2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33" w:right="2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Comprehensive Income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two fiscal quarters ended July 2,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90,178</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92,536</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(16,830)</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6,057</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(81,763)</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90,178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4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5,834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5,834</w:t>
            </w:r>
          </w:p>
        </w:tc>
      </w:tr>
      <w:tr>
        <w:trPr>
          <w:trHeight w:val="33"/>
        </w:trPr>
        <w:tc>
          <w:tcPr>
            <w:tcW w:w="2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96,012</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98,370</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11,891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96,012</w:t>
            </w:r>
          </w:p>
        </w:tc>
      </w:tr>
      <w:tr>
        <w:trPr>
          <w:trHeight w:val="20"/>
        </w:trPr>
        <w:tc>
          <w:tcPr>
            <w:tcW w:w="2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two fiscal quarters ended July 4,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2"/>
        </w:trPr>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2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85,897</w:t>
            </w: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83,525</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(54,387)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85,897</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0"/>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w:t>
            </w:r>
          </w:p>
        </w:tc>
      </w:tr>
      <w:tr>
        <w:trPr>
          <w:trHeight w:val="33"/>
        </w:trPr>
        <w:tc>
          <w:tcPr>
            <w:tcW w:w="2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79,659</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77,287</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79,659</w:t>
            </w:r>
          </w:p>
        </w:tc>
      </w:tr>
      <w:tr>
        <w:trPr>
          <w:trHeight w:val="20"/>
        </w:trPr>
        <w:tc>
          <w:tcPr>
            <w:tcW w:w="2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333" w:right="2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w:t>
      </w:r>
    </w:p>
    <w:p>
      <w:pPr>
        <w:spacing w:after="0" w:line="2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 (unaudited)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two fiscal quarters ended July 2,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2"/>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provided by (used in)</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4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75,255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85,599</w:t>
            </w:r>
          </w:p>
        </w:tc>
      </w:tr>
      <w:tr>
        <w:trPr>
          <w:trHeight w:val="169"/>
        </w:trPr>
        <w:tc>
          <w:tcPr>
            <w:tcW w:w="3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(49,698)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investing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217,295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property, plant and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equipment</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43"/>
        </w:trPr>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217,295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(49,505)</w:t>
            </w:r>
          </w:p>
        </w:tc>
      </w:tr>
      <w:tr>
        <w:trPr>
          <w:trHeight w:val="393"/>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84"/>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financing activity</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213,888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(33,679)</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(180,209)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(180,209)</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benefit from stock-based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3,684</w:t>
            </w: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Withholdings from vesting of restricted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5,101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5,101</w:t>
            </w:r>
          </w:p>
        </w:tc>
      </w:tr>
      <w:tr>
        <w:trPr>
          <w:trHeight w:val="196"/>
        </w:trPr>
        <w:tc>
          <w:tcPr>
            <w:tcW w:w="3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0"/>
        </w:trPr>
        <w:tc>
          <w:tcPr>
            <w:tcW w:w="3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financing activities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(217,295)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213,888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(213,611)</w:t>
            </w: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1,388</w:t>
            </w: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(176,129)</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 beginning of</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325,771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381,209</w:t>
            </w:r>
          </w:p>
        </w:tc>
      </w:tr>
      <w:tr>
        <w:trPr>
          <w:trHeight w:val="21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159,191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11,233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34,656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205,080</w:t>
            </w:r>
          </w:p>
        </w:tc>
      </w:tr>
      <w:tr>
        <w:trPr>
          <w:trHeight w:val="33"/>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33"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two fiscal quarters ended July 4,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Non-Guarantor</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Consolidating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Subsidiary Issuer</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provided by (used in)</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39,654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27,132</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(50,284)</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investing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79,854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repayment of intercompany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property, plant and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96"/>
        </w:trPr>
        <w:tc>
          <w:tcPr>
            <w:tcW w:w="3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investing activities</w:t>
            </w:r>
          </w:p>
        </w:tc>
        <w:tc>
          <w:tcPr>
            <w:tcW w:w="2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79,854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(50,241)</w:t>
            </w:r>
          </w:p>
        </w:tc>
        <w:tc>
          <w:tcPr>
            <w:tcW w:w="0" w:type="dxa"/>
            <w:vAlign w:val="bottom"/>
          </w:tcPr>
          <w:p>
            <w:pPr>
              <w:spacing w:after="0"/>
              <w:rPr>
                <w:sz w:val="1"/>
                <w:szCs w:val="1"/>
                <w:color w:val="auto"/>
              </w:rPr>
            </w:pPr>
          </w:p>
        </w:tc>
      </w:tr>
      <w:tr>
        <w:trPr>
          <w:trHeight w:val="33"/>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3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financing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52,721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72,037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intercompany loan</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Borrowings under secured revolving credit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facility</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20,349</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on secured revolving credit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facility</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(23,143)</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benefit from stock-based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6,890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(48,894)</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Withholdings from vesting of restricted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4,560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4,560</w:t>
            </w:r>
          </w:p>
        </w:tc>
        <w:tc>
          <w:tcPr>
            <w:tcW w:w="0" w:type="dxa"/>
            <w:vAlign w:val="bottom"/>
          </w:tcPr>
          <w:p>
            <w:pPr>
              <w:spacing w:after="0"/>
              <w:rPr>
                <w:sz w:val="1"/>
                <w:szCs w:val="1"/>
                <w:color w:val="auto"/>
              </w:rPr>
            </w:pPr>
          </w:p>
        </w:tc>
      </w:tr>
      <w:tr>
        <w:trPr>
          <w:trHeight w:val="196"/>
        </w:trPr>
        <w:tc>
          <w:tcPr>
            <w:tcW w:w="3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financing activities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54,890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92,037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(72,615)</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216"/>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increase in cash and cash</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equivalents</w:t>
            </w: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(96,337)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period</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311,078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340,638</w:t>
            </w:r>
          </w:p>
        </w:tc>
        <w:tc>
          <w:tcPr>
            <w:tcW w:w="0" w:type="dxa"/>
            <w:vAlign w:val="bottom"/>
          </w:tcPr>
          <w:p>
            <w:pPr>
              <w:spacing w:after="0"/>
              <w:rPr>
                <w:sz w:val="1"/>
                <w:szCs w:val="1"/>
                <w:color w:val="auto"/>
              </w:rPr>
            </w:pPr>
          </w:p>
        </w:tc>
      </w:tr>
      <w:tr>
        <w:trPr>
          <w:trHeight w:val="21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211,730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13,007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19,564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244,301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33"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the third quarter of fiscal 2016 and fiscal year 2016, or any other future period, assessment of our performance and financial position, and drivers of our sales and earnings growth.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 described under the heading "Risk Factors" in our most recently filed Annual Report on Form 10-K and other reports filed with the Securities and Exchange Commission from time to time.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We are the largest branded marketer in the United States ("U.S.") and in Canada of apparel exclusively for babies and young children. We own two of the most highly recognized and most trusted brand names in the children's apparel industry,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Established in 1865, our </w:t>
      </w:r>
      <w:r>
        <w:rPr>
          <w:rFonts w:ascii="Times New Roman" w:cs="Times New Roman" w:eastAsia="Times New Roman" w:hAnsi="Times New Roman"/>
          <w:sz w:val="18"/>
          <w:szCs w:val="18"/>
          <w:i w:val="1"/>
          <w:iCs w:val="1"/>
          <w:color w:val="auto"/>
        </w:rPr>
        <w:t xml:space="preserve">Carter's </w:t>
      </w:r>
      <w:r>
        <w:rPr>
          <w:rFonts w:ascii="Times New Roman" w:cs="Times New Roman" w:eastAsia="Times New Roman" w:hAnsi="Times New Roman"/>
          <w:sz w:val="18"/>
          <w:szCs w:val="18"/>
          <w:color w:val="auto"/>
        </w:rPr>
        <w:t>brand is recognized and trusted by consumers for high-quality apparel for children sizes newborn to eight. Established in 1895,</w:t>
      </w:r>
      <w:r>
        <w:rPr>
          <w:rFonts w:ascii="Times New Roman" w:cs="Times New Roman" w:eastAsia="Times New Roman" w:hAnsi="Times New Roman"/>
          <w:sz w:val="18"/>
          <w:szCs w:val="18"/>
          <w:i w:val="1"/>
          <w:iCs w:val="1"/>
          <w:color w:val="auto"/>
        </w:rPr>
        <w:t xml:space="preserve"> OshKosh </w:t>
      </w:r>
      <w:r>
        <w:rPr>
          <w:rFonts w:ascii="Times New Roman" w:cs="Times New Roman" w:eastAsia="Times New Roman" w:hAnsi="Times New Roman"/>
          <w:sz w:val="18"/>
          <w:szCs w:val="18"/>
          <w:color w:val="auto"/>
        </w:rPr>
        <w:t>is a well-known brand, trusted by consumers for apparel for children sizes newborn to 14, with a focus on playclothes for toddlers and young children. Given each brand's product category emphasis and brand aesthetic, we believe they provide a complementary product offering. We have extensive experience in the young children's apparel market and focus on delivering products that satisfy our consumers' needs. Our strategy is to market high-quality, essential core products at prices that deliver an attractive value proposition for consumers.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2015 fiscal year ended January 2, 2016.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60" w:right="239" w:bottom="1440" w:gutter="0" w:footer="0" w:header="0"/>
        </w:sectPr>
      </w:pPr>
    </w:p>
    <w:bookmarkStart w:id="32" w:name="page33"/>
    <w:bookmarkEnd w:id="3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(i) selected statement of operations data expressed as a percentage of consolidated net sales and (ii)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retail stores open at the end of each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50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3300" w:type="dxa"/>
            <w:vAlign w:val="bottom"/>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7"/>
        </w:trPr>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12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July 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July 4,</w:t>
            </w:r>
          </w:p>
        </w:tc>
        <w:tc>
          <w:tcPr>
            <w:tcW w:w="176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July 2,</w:t>
            </w:r>
          </w:p>
        </w:tc>
        <w:tc>
          <w:tcPr>
            <w:tcW w:w="15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July 4,</w:t>
            </w:r>
          </w:p>
        </w:tc>
      </w:tr>
      <w:tr>
        <w:trPr>
          <w:trHeight w:val="212"/>
        </w:trPr>
        <w:tc>
          <w:tcPr>
            <w:tcW w:w="5740" w:type="dxa"/>
            <w:vAlign w:val="bottom"/>
            <w:gridSpan w:val="4"/>
          </w:tcPr>
          <w:p>
            <w:pPr>
              <w:ind w:left="5320"/>
              <w:spacing w:after="0"/>
              <w:rPr>
                <w:sz w:val="20"/>
                <w:szCs w:val="20"/>
                <w:color w:val="auto"/>
              </w:rPr>
            </w:pPr>
            <w:r>
              <w:rPr>
                <w:rFonts w:ascii="Times New Roman" w:cs="Times New Roman" w:eastAsia="Times New Roman" w:hAnsi="Times New Roman"/>
                <w:sz w:val="16"/>
                <w:szCs w:val="16"/>
                <w:b w:val="1"/>
                <w:bCs w:val="1"/>
                <w:color w:val="auto"/>
              </w:rPr>
              <w:t>2016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6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5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2015</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18"/>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Carter’s Wholesale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37.1 %</w:t>
            </w:r>
          </w:p>
        </w:tc>
      </w:tr>
      <w:tr>
        <w:trPr>
          <w:trHeight w:val="237"/>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Carter’s Retail</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39.0 %</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Carter’s (U.S.)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76.1 %</w:t>
            </w:r>
          </w:p>
        </w:tc>
      </w:tr>
      <w:tr>
        <w:trPr>
          <w:trHeight w:val="183"/>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OshKosh Retail</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237"/>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OshKosh Wholesale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OshKosh (U.S.)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r>
      <w:tr>
        <w:trPr>
          <w:trHeight w:val="183"/>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r>
      <w:tr>
        <w:trPr>
          <w:trHeight w:val="27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r>
      <w:tr>
        <w:trPr>
          <w:trHeight w:val="183"/>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Consolidated net sales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37"/>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Cost of goods sold</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57.8 %</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3"/>
        </w:trPr>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37"/>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Gross margin</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42.2 %</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32.4 %</w:t>
            </w:r>
          </w:p>
        </w:tc>
      </w:tr>
      <w:tr>
        <w:trPr>
          <w:trHeight w:val="237"/>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Royalty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0"/>
        </w:trPr>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7"/>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37"/>
        </w:trPr>
        <w:tc>
          <w:tcPr>
            <w:tcW w:w="574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n/m</w:t>
            </w:r>
          </w:p>
        </w:tc>
        <w:tc>
          <w:tcPr>
            <w:tcW w:w="164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n/m</w:t>
            </w:r>
          </w:p>
        </w:tc>
        <w:tc>
          <w:tcPr>
            <w:tcW w:w="176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n/m</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n/m</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7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n/m</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n/m</w:t>
            </w:r>
          </w:p>
        </w:tc>
      </w:tr>
      <w:tr>
        <w:trPr>
          <w:trHeight w:val="183"/>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r>
      <w:tr>
        <w:trPr>
          <w:trHeight w:val="250"/>
        </w:trPr>
        <w:tc>
          <w:tcPr>
            <w:tcW w:w="57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r>
      <w:tr>
        <w:trPr>
          <w:trHeight w:val="237"/>
        </w:trPr>
        <w:tc>
          <w:tcPr>
            <w:tcW w:w="57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Number of retail stores at end of period:</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57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Carter’s - U.S.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562</w:t>
            </w: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OshKosh - U.S.</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221</w:t>
            </w:r>
          </w:p>
        </w:tc>
      </w:tr>
      <w:tr>
        <w:trPr>
          <w:trHeight w:val="237"/>
        </w:trPr>
        <w:tc>
          <w:tcPr>
            <w:tcW w:w="40" w:type="dxa"/>
            <w:vAlign w:val="bottom"/>
          </w:tcPr>
          <w:p>
            <w:pPr>
              <w:spacing w:after="0"/>
              <w:rPr>
                <w:sz w:val="20"/>
                <w:szCs w:val="20"/>
                <w:color w:val="auto"/>
              </w:rPr>
            </w:pPr>
          </w:p>
        </w:tc>
        <w:tc>
          <w:tcPr>
            <w:tcW w:w="57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International (all in Canada)</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20"/>
                <w:szCs w:val="20"/>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133</w:t>
            </w: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retail stores</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916</w:t>
            </w: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 rounds to less than 0.1%, therefore not material.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Results may not be additive due to rounding.</w:t>
      </w:r>
    </w:p>
    <w:p>
      <w:pPr>
        <w:spacing w:after="0" w:line="200" w:lineRule="exact"/>
        <w:rPr>
          <w:sz w:val="20"/>
          <w:szCs w:val="20"/>
          <w:color w:val="auto"/>
        </w:rPr>
      </w:pPr>
    </w:p>
    <w:p>
      <w:pPr>
        <w:spacing w:after="0" w:line="221" w:lineRule="exact"/>
        <w:rPr>
          <w:sz w:val="20"/>
          <w:szCs w:val="20"/>
          <w:color w:val="auto"/>
        </w:rPr>
      </w:pPr>
    </w:p>
    <w:p>
      <w:pPr>
        <w:jc w:val="both"/>
        <w:ind w:right="260"/>
        <w:spacing w:after="0" w:line="267" w:lineRule="auto"/>
        <w:rPr>
          <w:sz w:val="20"/>
          <w:szCs w:val="20"/>
          <w:color w:val="auto"/>
        </w:rPr>
      </w:pPr>
      <w:r>
        <w:rPr>
          <w:rFonts w:ascii="Times New Roman" w:cs="Times New Roman" w:eastAsia="Times New Roman" w:hAnsi="Times New Roman"/>
          <w:sz w:val="18"/>
          <w:szCs w:val="18"/>
          <w:color w:val="auto"/>
        </w:rPr>
        <w:t xml:space="preserve">We operate "side-by-side" locations wherein adjacent retail stores for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brands are connected, allowing customers to shop for both brands in a single location. Each "side-by-side" location is counted as one Carter's retail store and one OshKosh retail store. As of July 2, 2016 and July 4, 2015, the U.S. store count data presented in the preceding table included 119 and 74 "side-by-side" locations,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7" w:right="239" w:bottom="1440" w:gutter="0" w:footer="0" w:header="0"/>
        </w:sectPr>
      </w:pPr>
    </w:p>
    <w:bookmarkStart w:id="33" w:name="page34"/>
    <w:bookmarkEnd w:id="3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STORE COUNT DATA</w:t>
            </w:r>
          </w:p>
        </w:tc>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Carter's Retail</w:t>
            </w: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OshKosh Retail</w:t>
            </w: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1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0"/>
        </w:trPr>
        <w:tc>
          <w:tcPr>
            <w:tcW w:w="18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of fiscal 2016:</w:t>
            </w:r>
          </w:p>
        </w:tc>
        <w:tc>
          <w:tcPr>
            <w:tcW w:w="18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Openings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r>
      <w:tr>
        <w:trPr>
          <w:trHeight w:val="237"/>
        </w:trPr>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Closings</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r>
      <w:tr>
        <w:trPr>
          <w:trHeight w:val="33"/>
        </w:trPr>
        <w:tc>
          <w:tcPr>
            <w:tcW w:w="1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two quarters of fiscal 2016:</w:t>
            </w:r>
          </w:p>
        </w:tc>
        <w:tc>
          <w:tcPr>
            <w:tcW w:w="18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Openings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r>
        <w:trPr>
          <w:trHeight w:val="237"/>
        </w:trPr>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Closings</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33"/>
        </w:trPr>
        <w:tc>
          <w:tcPr>
            <w:tcW w:w="1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Approximate projections for fiscal 2016:</w:t>
            </w:r>
          </w:p>
        </w:tc>
        <w:tc>
          <w:tcPr>
            <w:tcW w:w="18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Openings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122</w:t>
            </w:r>
          </w:p>
        </w:tc>
      </w:tr>
      <w:tr>
        <w:trPr>
          <w:trHeight w:val="237"/>
        </w:trPr>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Closings</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3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OshKosh retail store openings included in the above table are in a "side-by-side" format with a Carter's retail store.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 METRICS</w:t>
      </w:r>
    </w:p>
    <w:p>
      <w:pPr>
        <w:spacing w:after="0" w:line="22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Our comparable store sales metrics include sales for all stores and eCommerce websites that were open during the comparable fiscal period, including certain remodeled stores and relocated stores. A store or eCommerce website becomes comparable following 13 consecutive full months of operation. If a store relocates within the same center with no business interruption or material change in square footage, the sales of such store will continue to be included in the comparable store metrics. If a store relocates to another center, or if there is a material change in square footage, such store is treated as a new store. Stores that are closed during the relevant fiscal period are included in the comparable store sales metrics up to and including the last full fiscal month of operations.</w:t>
      </w:r>
    </w:p>
    <w:p>
      <w:pPr>
        <w:spacing w:after="0" w:line="3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SECOND FISCAL QUARTER AND TWO FISCAL QUARTERS ENDED JULY 2, 2016 COMPARED TO SECOND FISCAL QUARTER AND TWO FISCAL QUARTERS ENDED JULY 4, 2015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COMPARABLE RETAIL 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comparable sales for our two U.S. retail segments, Carter's Retail and Oshkosh Retail,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240665</wp:posOffset>
            </wp:positionV>
            <wp:extent cx="5840095"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0095" cy="471805"/>
                    </a:xfrm>
                    <a:prstGeom prst="rect">
                      <a:avLst/>
                    </a:prstGeom>
                    <a:noFill/>
                  </pic:spPr>
                </pic:pic>
              </a:graphicData>
            </a:graphic>
          </wp:anchor>
        </w:drawing>
      </w:r>
    </w:p>
    <w:p>
      <w:pPr>
        <w:spacing w:after="0" w:line="3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38" w:lineRule="exact"/>
        <w:rPr>
          <w:sz w:val="20"/>
          <w:szCs w:val="20"/>
          <w:color w:val="auto"/>
        </w:rPr>
      </w:pPr>
    </w:p>
    <w:tbl>
      <w:tblPr>
        <w:tblLayout w:type="fixed"/>
        <w:tblInd w:w="1120" w:type="dxa"/>
        <w:tblCellMar>
          <w:top w:w="0" w:type="dxa"/>
          <w:left w:w="0" w:type="dxa"/>
          <w:bottom w:w="0" w:type="dxa"/>
          <w:right w:w="0" w:type="dxa"/>
        </w:tblCellMar>
      </w:tblPr>
      <w:tr>
        <w:trPr>
          <w:trHeight w:val="227"/>
        </w:trPr>
        <w:tc>
          <w:tcPr>
            <w:tcW w:w="1940" w:type="dxa"/>
            <w:vAlign w:val="bottom"/>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right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Change for Second Fiscal Quarter from 2015 to</w:t>
            </w:r>
          </w:p>
        </w:tc>
        <w:tc>
          <w:tcPr>
            <w:tcW w:w="3460" w:type="dxa"/>
            <w:vAlign w:val="bottom"/>
            <w:tcBorders>
              <w:top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Change for First Two Fiscal Quarters from 2015</w:t>
            </w:r>
          </w:p>
        </w:tc>
      </w:tr>
      <w:tr>
        <w:trPr>
          <w:trHeight w:val="245"/>
        </w:trPr>
        <w:tc>
          <w:tcPr>
            <w:tcW w:w="194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right w:val="single" w:sz="8" w:color="auto"/>
            </w:tcBorders>
            <w:gridSpan w:val="3"/>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3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3"/>
            <w:shd w:val="clear" w:color="auto" w:fill="CCEEFF"/>
          </w:tcPr>
          <w:p>
            <w:pPr>
              <w:jc w:val="center"/>
              <w:ind w:right="1299"/>
              <w:spacing w:after="0"/>
              <w:rPr>
                <w:sz w:val="20"/>
                <w:szCs w:val="20"/>
                <w:color w:val="auto"/>
              </w:rPr>
            </w:pPr>
            <w:r>
              <w:rPr>
                <w:rFonts w:ascii="Times New Roman" w:cs="Times New Roman" w:eastAsia="Times New Roman" w:hAnsi="Times New Roman"/>
                <w:sz w:val="16"/>
                <w:szCs w:val="16"/>
                <w:b w:val="1"/>
                <w:bCs w:val="1"/>
                <w:color w:val="auto"/>
              </w:rPr>
              <w:t>to 2016</w:t>
            </w:r>
          </w:p>
        </w:tc>
      </w:tr>
      <w:tr>
        <w:trPr>
          <w:trHeight w:val="259"/>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Increase (Decrease)</w:t>
            </w:r>
          </w:p>
        </w:tc>
        <w:tc>
          <w:tcPr>
            <w:tcW w:w="280" w:type="dxa"/>
            <w:vAlign w:val="bottom"/>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660" w:type="dxa"/>
            <w:vAlign w:val="bottom"/>
            <w:tcBorders>
              <w:top w:val="single" w:sz="8" w:color="auto"/>
              <w:right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60" w:type="dxa"/>
            <w:vAlign w:val="bottom"/>
            <w:tcBorders>
              <w:top w:val="single" w:sz="8" w:color="auto"/>
            </w:tcBorders>
          </w:tcPr>
          <w:p>
            <w:pPr>
              <w:spacing w:after="0"/>
              <w:rPr>
                <w:sz w:val="22"/>
                <w:szCs w:val="22"/>
                <w:color w:val="auto"/>
              </w:rPr>
            </w:pPr>
          </w:p>
        </w:tc>
      </w:tr>
      <w:tr>
        <w:trPr>
          <w:trHeight w:val="295"/>
        </w:trPr>
        <w:tc>
          <w:tcPr>
            <w:tcW w:w="19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Carter's Retail</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OshKosh Retail</w:t>
            </w:r>
          </w:p>
        </w:tc>
        <w:tc>
          <w:tcPr>
            <w:tcW w:w="1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Carter's Retail</w:t>
            </w:r>
          </w:p>
        </w:tc>
        <w:tc>
          <w:tcPr>
            <w:tcW w:w="2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OshKosh Retail</w:t>
            </w:r>
          </w:p>
        </w:tc>
      </w:tr>
      <w:tr>
        <w:trPr>
          <w:trHeight w:val="298"/>
        </w:trPr>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Borders>
              <w:top w:val="single" w:sz="8" w:color="auto"/>
              <w:right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Stores</w:t>
            </w:r>
          </w:p>
        </w:tc>
        <w:tc>
          <w:tcPr>
            <w:tcW w:w="1720" w:type="dxa"/>
            <w:vAlign w:val="bottom"/>
            <w:tcBorders>
              <w:bottom w:val="single" w:sz="8" w:color="CCEEFF"/>
            </w:tcBorders>
            <w:gridSpan w:val="2"/>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9"/>
              </w:rPr>
              <w:t>+1.4%</w:t>
            </w:r>
          </w:p>
        </w:tc>
        <w:tc>
          <w:tcPr>
            <w:tcW w:w="2080" w:type="dxa"/>
            <w:vAlign w:val="bottom"/>
            <w:tcBorders>
              <w:bottom w:val="single" w:sz="8" w:color="CCEEFF"/>
              <w:right w:val="single" w:sz="8" w:color="auto"/>
            </w:tcBorders>
            <w:gridSpan w:val="3"/>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(5.8)%</w:t>
            </w:r>
          </w:p>
        </w:tc>
        <w:tc>
          <w:tcPr>
            <w:tcW w:w="1380" w:type="dxa"/>
            <w:vAlign w:val="bottom"/>
            <w:tcBorders>
              <w:bottom w:val="single" w:sz="8" w:color="CCEEFF"/>
            </w:tcBorders>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(1.4)%</w:t>
            </w:r>
          </w:p>
        </w:tc>
        <w:tc>
          <w:tcPr>
            <w:tcW w:w="2080" w:type="dxa"/>
            <w:vAlign w:val="bottom"/>
            <w:tcBorders>
              <w:bottom w:val="single" w:sz="8" w:color="CCEEFF"/>
            </w:tcBorders>
            <w:gridSpan w:val="3"/>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(3.8)%</w:t>
            </w:r>
          </w:p>
        </w:tc>
      </w:tr>
      <w:tr>
        <w:trPr>
          <w:trHeight w:val="237"/>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1720" w:type="dxa"/>
            <w:vAlign w:val="bottom"/>
            <w:gridSpan w:val="2"/>
          </w:tcPr>
          <w:p>
            <w:pPr>
              <w:jc w:val="center"/>
              <w:ind w:left="419"/>
              <w:spacing w:after="0"/>
              <w:rPr>
                <w:sz w:val="20"/>
                <w:szCs w:val="20"/>
                <w:color w:val="auto"/>
              </w:rPr>
            </w:pPr>
            <w:r>
              <w:rPr>
                <w:rFonts w:ascii="Times New Roman" w:cs="Times New Roman" w:eastAsia="Times New Roman" w:hAnsi="Times New Roman"/>
                <w:sz w:val="16"/>
                <w:szCs w:val="16"/>
                <w:color w:val="auto"/>
                <w:w w:val="99"/>
              </w:rPr>
              <w:t>+17.4%</w:t>
            </w:r>
          </w:p>
        </w:tc>
        <w:tc>
          <w:tcPr>
            <w:tcW w:w="2080" w:type="dxa"/>
            <w:vAlign w:val="bottom"/>
            <w:tcBorders>
              <w:right w:val="single" w:sz="8" w:color="auto"/>
            </w:tcBorders>
            <w:gridSpan w:val="3"/>
          </w:tcPr>
          <w:p>
            <w:pPr>
              <w:jc w:val="center"/>
              <w:ind w:left="299"/>
              <w:spacing w:after="0"/>
              <w:rPr>
                <w:sz w:val="20"/>
                <w:szCs w:val="20"/>
                <w:color w:val="auto"/>
              </w:rPr>
            </w:pPr>
            <w:r>
              <w:rPr>
                <w:rFonts w:ascii="Times New Roman" w:cs="Times New Roman" w:eastAsia="Times New Roman" w:hAnsi="Times New Roman"/>
                <w:sz w:val="16"/>
                <w:szCs w:val="16"/>
                <w:color w:val="auto"/>
                <w:w w:val="99"/>
              </w:rPr>
              <w:t>+17.6%</w:t>
            </w:r>
          </w:p>
        </w:tc>
        <w:tc>
          <w:tcPr>
            <w:tcW w:w="138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w w:val="99"/>
              </w:rPr>
              <w:t>+16.3%</w:t>
            </w:r>
          </w:p>
        </w:tc>
        <w:tc>
          <w:tcPr>
            <w:tcW w:w="208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color w:val="auto"/>
                <w:w w:val="99"/>
              </w:rPr>
              <w:t>+18.8%</w:t>
            </w:r>
          </w:p>
        </w:tc>
      </w:tr>
      <w:tr>
        <w:trPr>
          <w:trHeight w:val="33"/>
        </w:trPr>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Borders>
              <w:right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20" w:type="dxa"/>
            <w:vAlign w:val="bottom"/>
            <w:gridSpan w:val="2"/>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9"/>
              </w:rPr>
              <w:t>+4.4%</w:t>
            </w:r>
          </w:p>
        </w:tc>
        <w:tc>
          <w:tcPr>
            <w:tcW w:w="2080" w:type="dxa"/>
            <w:vAlign w:val="bottom"/>
            <w:tcBorders>
              <w:right w:val="single" w:sz="8" w:color="auto"/>
            </w:tcBorders>
            <w:gridSpan w:val="3"/>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(1.3)%</w:t>
            </w:r>
          </w:p>
        </w:tc>
        <w:tc>
          <w:tcPr>
            <w:tcW w:w="1380" w:type="dxa"/>
            <w:vAlign w:val="bottom"/>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+2.1%</w:t>
            </w:r>
          </w:p>
        </w:tc>
        <w:tc>
          <w:tcPr>
            <w:tcW w:w="2080" w:type="dxa"/>
            <w:vAlign w:val="bottom"/>
            <w:gridSpan w:val="3"/>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w w:val="99"/>
              </w:rPr>
              <w:t>+0.7%</w:t>
            </w:r>
          </w:p>
        </w:tc>
      </w:tr>
      <w:tr>
        <w:trPr>
          <w:trHeight w:val="33"/>
        </w:trPr>
        <w:tc>
          <w:tcPr>
            <w:tcW w:w="19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tcBorders>
              <w:right w:val="single" w:sz="8" w:color="auto"/>
            </w:tcBorders>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increase in comparable store sales for Carter's during the second quarter of fiscal 2016, as compared to the second quarter of fiscal 2015, was primarily due to an increase in units per transaction as well as an increase in the number of transactions, partially offset by a lower average price per unit. The decrease in comparable store sales for Carter's during the first two quarters of fiscal 2016 and the decreases in comparable store sales for OshKosh during both periods in fiscal 2016, as compared to the comparable fiscal periods in 2015, were primarily due to a decrease in the number of transactions and a lower average price per unit.</w:t>
      </w:r>
    </w:p>
    <w:p>
      <w:pPr>
        <w:spacing w:after="0" w:line="1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second quarter and the two quarters of fiscal 2016, we believe that total retail comparable sales were negatively impacted by lower demand from international consumers shopping in our U.S. stores and eCommerce websites, likely resulting from the strength of the U.S. dollar relative to other global currencies.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117" w:right="279" w:bottom="1440" w:gutter="0" w:footer="0" w:header="0"/>
        </w:sectPr>
      </w:pPr>
    </w:p>
    <w:bookmarkStart w:id="34" w:name="page35"/>
    <w:bookmarkEnd w:id="3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increases in eCommerce comparable sales for Carter's and OshKosh during both periods in fiscal 2016, as compared to the comparable fiscal periods in 2015, were primarily due to increases in units per transaction as well as an increase in the number of transactions.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NET SALES</w:t>
      </w:r>
    </w:p>
    <w:p>
      <w:pPr>
        <w:spacing w:after="0" w:line="22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In the second quarter of fiscal 2016, consolidated net sales increased $26.7 million, or 4.4%, to $639.5 million from $612.8 million in the second quarter of fiscal 2015. The increase reflected sales growth in both of our U.S. retail segments and in our international segment, partially offset by decreases in both of our U.S. wholesale segments, as presented below. For the first two quarters of fiscal 2016, consolidated net sales increased $66.0 million, or 5.1%, to $1.36 billion from $1.30 billion in the first two quarters of fiscal 2015. The increase reflected sales growth in all of our segments except OshKosh Wholesale, as presented below. Changes in foreign currency exchange rates in the second quarter and first two quarters of fiscal 2016, as compared to the second quarter and first two quarters of fiscal 2015, negatively impacted our consolidated net sales by approximately $2.5 million and $7.0 million, or 0.4% and 0.5%,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segment, and each segment's percentage of consolidated net sales, were as follows:</w:t>
      </w:r>
    </w:p>
    <w:p>
      <w:pPr>
        <w:spacing w:after="0" w:line="390"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Fiscal quarter ended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Two fiscal quarters ended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12"/>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July 4, 2015</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July 2, 2016</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July 4, 2015</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1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8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Carter’s Wholesale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205,738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211,730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485,878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481,045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37"/>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Carter’s Retail</w:t>
            </w:r>
          </w:p>
        </w:tc>
        <w:tc>
          <w:tcPr>
            <w:tcW w:w="1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273,832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246,980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546,155</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504,707</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Total Carter’s (U.S.)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479,570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458,710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1,032,033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985,752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OshKosh Retail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78,950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73,453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160,716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146,495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37"/>
        </w:trPr>
        <w:tc>
          <w:tcPr>
            <w:tcW w:w="18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OshKosh Wholesale</w:t>
            </w:r>
          </w:p>
        </w:tc>
        <w:tc>
          <w:tcPr>
            <w:tcW w:w="1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9,384</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14,306</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21,298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30,357</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Total OshKosh (U.S.)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88,334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87,759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182,014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176,852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7"/>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71,567</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66,296</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149,509</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134,925</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639,471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612,765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1,363,556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1,297,529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CARTER'S WHOLESALE SALES (U.S.)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Carter's Wholesale segment net sales decreased $6.0 million, or 2.8%, in the second quarter of fiscal 2016 to $205.7 million from $211.7 million in the second quarter of fiscal 2015. This decrease in net sales was primarily a result of a 6.3% decrease in the number of units shipped. The decrease in product demand was in part due to timing of orders from customers, partially offset by a 3.5% increase in the average price per unit from a favorable mix of products purchased.</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Carter's Wholesale segment net sales increased $4.8 million, or 1.0%, in the first two quarters of fiscal 2016 to $485.9 million from $481.0 million in the first two quarters of fiscal 2015. This increase in net sales was primarily a result of a 2.0% increase in the average price per unit due to favorable product mix, partially offset by a 1.0% decrease in the number of units shipped.</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CARTER'S RETAIL SALES (U.S.)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Carter's Retail segment net sales increased $26.9 million, or 10.9%, in the second quarter of fiscal 2016 to $273.8 million from $247.0 million in the second quarter of fiscal 2015. This increase in net sales primarily reflected a/an:</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$16.5 million from new stores;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$8.3 million from eCommerce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$2.7 million in comparable store sales; and</w:t>
      </w:r>
    </w:p>
    <w:p>
      <w:pPr>
        <w:sectPr>
          <w:pgSz w:w="11900" w:h="16838" w:orient="portrait"/>
          <w:cols w:equalWidth="0" w:num="1">
            <w:col w:w="11420"/>
          </w:cols>
          <w:pgMar w:left="240" w:top="117"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7" w:right="239" w:bottom="1440" w:gutter="0" w:footer="0" w:header="0"/>
          <w:type w:val="continuous"/>
        </w:sectPr>
      </w:pPr>
    </w:p>
    <w:bookmarkStart w:id="35" w:name="page36"/>
    <w:bookmarkEnd w:id="3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$0.6 million due to the impact of store closings.</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Carter's Retail segment net sales increased $41.4 million, or 8.2%, in the first two quarters of fiscal 2016 to $546.2 million from $504.7 million in the first two quarters of fiscal 2015. This increase in net sales primarily reflected a/an:</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$34.2 million from new stores;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$16.0 million from eCommerce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$5.5 million in comparable store sales;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$1.4 million due to the impact of store closings.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OSHKOSH RETAIL SALES (U.S.)</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OshKosh Retail segment net sales increased $5.5 million, or 7.5%, in the second quarter of fiscal 2016 to $79.0 million from $73.5 million in the second quarter of fiscal 2015. This increase in net sales primarily reflected a/an:</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$8.3 million from new stores;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$2.4 million from eCommerce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$3.3 million in comparable store sales;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$2.0 million due to the impact of store closings.</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OshKosh Retail segment net sales increased $14.2 million, or 9.7%, in the first two quarters of fiscal 2016 to $160.7 million from $146.5 million in the first two quarters of fiscal 2015. This increase in net sales primarily reflected a/an:</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$17.3 million from new stores;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$5.3 million from eCommerce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$4.3 million in comparable store sales;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$3.6 million due to the impact of store closings.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OSHKOSH WHOLESALE SALES (U.S.)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OshKosh Wholesale segment net sales decreased $4.9 million, or 34.4%, in the second quarter of fiscal 2016 to $9.4 million from $14.3 million in the second quarter of fiscal 2015. This decrease was primarily due to a 34.2% decrease in the number of units shipped mainly due to a decline in seasonal bookings.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OshKosh Wholesale segment net sales decreased $9.1 million, or 29.8%, in the first two quarters of fiscal 2016 to $21.3 million from $30.4 million in the first two quarters of fiscal 2015. This decrease was primarily due to a 29.4% decrease in the number of units shipped mainly due to a decline in seasonal bookings.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SALES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International segment net sales increased $5.3 million, or 8.0%, in the second quarter of fiscal 2016 to $71.6 million from $66.3 million in the second quarter of fiscal 2015. Changes in foreign currency exchange rates, primarily between the U.S. dollar and the Canadian dollar, negatively impacted International segment net sales by approximately $2.5 million, or 3.7%, in the second quarter of fiscal 2016 compared to the second quarter of fiscal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$5.3 million increase in net sales in the International segment primarily reflected a/an:</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$5.5 million from our Canadian retail stores;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$3.9 million from eCommerce, primarily driven by our eCommerce website in China;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$4.2 million from our international wholesale businesses.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International segment net sales increased $14.6 million, or 10.8%, in the first two quarters of fiscal 2016 to $149.5 million from $134.9 million in the first two quarters of fiscal 2015. Changes in foreign currency exchange rates, primarily between the 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7" w:right="239" w:bottom="1440" w:gutter="0" w:footer="0" w:header="0"/>
        </w:sectPr>
      </w:pPr>
    </w:p>
    <w:bookmarkStart w:id="36" w:name="page37"/>
    <w:bookmarkEnd w:id="3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dollar and the Canadian dollar, negatively impacted International segment net sales by approximately $7.0 million, or 5.2%, in the first two quarters of fiscal 2016 compared to the first two quarters of fiscal 2015.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$14.6 million increase in net sales in the International segment primarily reflected a/an:</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$11.1 million from our Canadian retail stores;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$7.0 million from eCommerce, primarily driven by our eCommerce website in China;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$3.6 million in our Canada wholesale business due, in part, to the Target Canada bankruptcy that occurred in early 2015.</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Compared to the second quarter of fiscal 2015, our Canadian total retail comparable sales increased 8.0% in the second quarter of fiscal 2016, primarily due to retail stores comparable sales growth of 6.9% and eCommerce comparable sales growth of 27.4%. Compared to the first two quarters of fiscal 2015, our Canadian total retail comparable sales increased 11.3% in the first two quarters of fiscal 2016, primarily due to retail stores comparable sales growth of 9.7% and eCommerce comparable sales growth of 37.4%.</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 AND GROSS PROFIT</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consolidated gross margin increased from 42.9% in the second quarter of fiscal 2015 to 44.1% in the second quarter of fiscal 2016, primarily due to favorable product mix and product costs, partially offset by a more promotional environment and unfavorable foreign exchange effects. Our consolidated gross profit increased $19.3 million, or 7.3%, to $282.2 million in the second quarter of fiscal 2016 from $262.9 million in the second quarter of fiscal 2015, primarily due to the increase in sales and favorable product costs, as previously discussed.</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consolidated gross margin increased from 42.2% in the first two quarters of fiscal 2015 to 43.5% in the first two quarters of fiscal 2016, primarily due to favorable product costs and favorable shifts in the mix of products purchased by customers. Our consolidated gross profit increased $46.2 million, or 8.4%, to $593.1 million in the first two quarters of fiscal 2016 from $546.9 million in the first two quarters of fiscal 2015, primarily due to the increase in sales and favorable product costs, as previously discussed.</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include distribution costs in selling, general, and administrative ("SG&amp;A") expenses. Accordingly, our gross margin and gross profit may not be comparable to other entities that include such distribution costs in their cost of goods sold.</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Consolidated SG&amp;A expenses in the second quarter of fiscal 2016 increased $19.2 million, or 9.2%, to $228.5 million from $209.3 million in the second quarter of fiscal 2015. As a percentage of net sales, SG&amp;A expenses increased from 34.2% in the second quarter of fiscal 2015 to 35.7% in the second quarter of fiscal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SG&amp;A expenses, as a percentage of net sales, in the second quarter of fiscal 2016 primarily reflected a:</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 million increase in expenses related to retail store operations, primarily due to new store openings;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million increase in expenses related to information technology and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increase in expenses related to our domestic and international eCommerce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increase in expenses related to marketing and brand management;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increase in expenses related to other general and administrative expenses;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were partially offset by a:</w:t>
      </w:r>
    </w:p>
    <w:p>
      <w:pPr>
        <w:spacing w:after="0" w:line="225" w:lineRule="exact"/>
        <w:rPr>
          <w:sz w:val="20"/>
          <w:szCs w:val="20"/>
          <w:color w:val="auto"/>
        </w:rPr>
      </w:pPr>
    </w:p>
    <w:p>
      <w:pPr>
        <w:ind w:left="660" w:right="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decrease in amortization of the H.W. Carter &amp; Sons trademarks, and the absence of contingent consideration related to the Bonnie Togs acquisition;</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decrease in performance-based compensation expenses;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decrease in distribution expenses.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117" w:right="279" w:bottom="1440" w:gutter="0" w:footer="0" w:header="0"/>
        </w:sectPr>
      </w:pPr>
    </w:p>
    <w:bookmarkStart w:id="37" w:name="page38"/>
    <w:bookmarkEnd w:id="37"/>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Consolidated SG&amp;A expenses in the first two quarters of fiscal 2016 increased $37.0 million, or 8.8%, to $457.5 million from $420.5 million in the first two quarters of fiscal 2015. As a percentage of net sales, SG&amp;A expenses increased from 32.4% in the first two quarters of fiscal 2015 to 33.5% in the first two quarters of fiscal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SG&amp;A expenses, as a percentage of net sales, in the first two quarters of fiscal 2016 primarily reflected a:</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 million increase in expenses related to retail store operations, primarily due to new store openings;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million increase in expenses related to our domestic and international eCommerce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million increase in expenses related to information technology and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increase in expenses related to marketing and brand management;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increase in expenses related to other general and administrative expenses;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were partially offset by a:</w:t>
      </w:r>
    </w:p>
    <w:p>
      <w:pPr>
        <w:spacing w:after="0" w:line="225" w:lineRule="exact"/>
        <w:rPr>
          <w:sz w:val="20"/>
          <w:szCs w:val="20"/>
          <w:color w:val="auto"/>
        </w:rPr>
      </w:pPr>
    </w:p>
    <w:p>
      <w:pPr>
        <w:ind w:left="660" w:right="10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decrease in amortization of the H.W. Carter &amp; Sons trademarks, and the absence of contingent consideration related to the Bonnie Togs acquisition;</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decrease in performance-based compensation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decrease in insurance and other employee related benefits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decrease in wholesale administrative expenses;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decrease in distribution expenses.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INCOME</w:t>
      </w:r>
    </w:p>
    <w:p>
      <w:pPr>
        <w:spacing w:after="0" w:line="22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We license the use of our </w:t>
      </w:r>
      <w:r>
        <w:rPr>
          <w:rFonts w:ascii="Times New Roman" w:cs="Times New Roman" w:eastAsia="Times New Roman" w:hAnsi="Times New Roman"/>
          <w:sz w:val="18"/>
          <w:szCs w:val="18"/>
          <w:i w:val="1"/>
          <w:iCs w:val="1"/>
          <w:color w:val="auto"/>
        </w:rPr>
        <w:t>Carter's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Just One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Child of 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 B'gosh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OshKosh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Genuine Kids from OshKosh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Precious Firsts</w:t>
      </w:r>
      <w:r>
        <w:rPr>
          <w:rFonts w:ascii="Times New Roman" w:cs="Times New Roman" w:eastAsia="Times New Roman" w:hAnsi="Times New Roman"/>
          <w:sz w:val="18"/>
          <w:szCs w:val="18"/>
          <w:color w:val="auto"/>
        </w:rPr>
        <w:t xml:space="preserve"> brand names. Royalty income from these brands for the second quarter of fiscal 2016 increased $1.2 million, or 14.0%, to $9.5 million from $8.4 million in the second quarter of fiscal 2015. Royalty income from these brands for the first two quarters of fiscal 2016 increased $0.6 million, or 3.1%, to $20.6 million from $20.0 million in the first two quarters of fiscal 2015. The increases in both of the fiscal 2016 periods were driven by sales growth from our domestic licensees, including expanded shoe offerings. We benefited from favorable settlements in the first quarter of fiscal 2015.</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Consolidated operating income increased $1.3 million, or 2.1%, to $63.2 million in the second quarter of fiscal 2016 from $62.0 million in the second quarter of fiscal 2015. Consolidated operating income increased $9.8 million, or 6.7%, to $156.3 million in the first two quarters of fiscal 2016 from $146.5 million in the first two quarters of fiscal 2015. Consolidated operating margin decreased from 10.1% in the second quarter of fiscal 2015 to 9.9% in the second quarter of fiscal 2016. Consolidated operating margin increased from 11.3% in the first two quarters of fiscal 2015 to 11.5% in the first two quarters of fiscal 2016. The tables below summarize the changes in each of our segments' operating results and unallocated corporate expenses between the fiscal periods indicated: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Carter's</w:t>
            </w:r>
          </w:p>
        </w:tc>
        <w:tc>
          <w:tcPr>
            <w:tcW w:w="16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Carter's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OshKosh</w:t>
            </w: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OshKosh</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16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Retail</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Retail</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20"/>
                <w:szCs w:val="20"/>
                <w:color w:val="auto"/>
              </w:rPr>
            </w:pPr>
          </w:p>
        </w:tc>
        <w:tc>
          <w:tcPr>
            <w:tcW w:w="800" w:type="dxa"/>
            <w:vAlign w:val="bottom"/>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 for</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second quarter of fiscal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40,207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38,331</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2,249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6,236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61,952</w:t>
            </w:r>
          </w:p>
        </w:tc>
        <w:tc>
          <w:tcPr>
            <w:tcW w:w="0" w:type="dxa"/>
            <w:vAlign w:val="bottom"/>
          </w:tcPr>
          <w:p>
            <w:pPr>
              <w:spacing w:after="0"/>
              <w:rPr>
                <w:sz w:val="1"/>
                <w:szCs w:val="1"/>
                <w:color w:val="auto"/>
              </w:rPr>
            </w:pPr>
          </w:p>
        </w:tc>
      </w:tr>
      <w:tr>
        <w:trPr>
          <w:trHeight w:val="153"/>
        </w:trPr>
        <w:tc>
          <w:tcPr>
            <w:tcW w:w="254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Favorable (unfavorable) change in the</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second quarter of fiscal 2016</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5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12,603</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3,972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4,019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19,287</w:t>
            </w:r>
          </w:p>
        </w:tc>
        <w:tc>
          <w:tcPr>
            <w:tcW w:w="0" w:type="dxa"/>
            <w:vAlign w:val="bottom"/>
          </w:tcPr>
          <w:p>
            <w:pPr>
              <w:spacing w:after="0"/>
              <w:rPr>
                <w:sz w:val="1"/>
                <w:szCs w:val="1"/>
                <w:color w:val="auto"/>
              </w:rPr>
            </w:pPr>
          </w:p>
        </w:tc>
      </w:tr>
      <w:tr>
        <w:trPr>
          <w:trHeight w:val="237"/>
        </w:trPr>
        <w:tc>
          <w:tcPr>
            <w:tcW w:w="25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Royalty income</w:t>
            </w:r>
          </w:p>
        </w:tc>
        <w:tc>
          <w:tcPr>
            <w:tcW w:w="140" w:type="dxa"/>
            <w:vAlign w:val="bottom"/>
          </w:tcPr>
          <w:p>
            <w:pPr>
              <w:spacing w:after="0"/>
              <w:rPr>
                <w:sz w:val="20"/>
                <w:szCs w:val="20"/>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398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1,172</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SG&amp;A expenses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(12,899)</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(19,168)</w:t>
            </w:r>
          </w:p>
        </w:tc>
        <w:tc>
          <w:tcPr>
            <w:tcW w:w="0" w:type="dxa"/>
            <w:vAlign w:val="bottom"/>
          </w:tcPr>
          <w:p>
            <w:pPr>
              <w:spacing w:after="0"/>
              <w:rPr>
                <w:sz w:val="1"/>
                <w:szCs w:val="1"/>
                <w:color w:val="auto"/>
              </w:rPr>
            </w:pPr>
          </w:p>
        </w:tc>
      </w:tr>
      <w:tr>
        <w:trPr>
          <w:trHeight w:val="194"/>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 for</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39,899</w:t>
            </w:r>
          </w:p>
        </w:tc>
        <w:tc>
          <w:tcPr>
            <w:tcW w:w="12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38,433</w:t>
            </w:r>
          </w:p>
        </w:tc>
        <w:tc>
          <w:tcPr>
            <w:tcW w:w="14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1,610</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(1,481)</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9,105</w:t>
            </w:r>
          </w:p>
        </w:tc>
        <w:tc>
          <w:tcPr>
            <w:tcW w:w="100" w:type="dxa"/>
            <w:vAlign w:val="bottom"/>
          </w:tcPr>
          <w:p>
            <w:pPr>
              <w:spacing w:after="0"/>
              <w:rPr>
                <w:sz w:val="16"/>
                <w:szCs w:val="16"/>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(24,323)</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63,243</w:t>
            </w:r>
          </w:p>
        </w:tc>
        <w:tc>
          <w:tcPr>
            <w:tcW w:w="0" w:type="dxa"/>
            <w:vAlign w:val="bottom"/>
          </w:tcPr>
          <w:p>
            <w:pPr>
              <w:spacing w:after="0"/>
              <w:rPr>
                <w:sz w:val="1"/>
                <w:szCs w:val="1"/>
                <w:color w:val="auto"/>
              </w:rPr>
            </w:pPr>
          </w:p>
        </w:tc>
      </w:tr>
      <w:tr>
        <w:trPr>
          <w:trHeight w:val="265"/>
        </w:trPr>
        <w:tc>
          <w:tcPr>
            <w:tcW w:w="2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second quarter of fiscal 2016</w:t>
            </w:r>
          </w:p>
        </w:tc>
        <w:tc>
          <w:tcPr>
            <w:tcW w:w="140" w:type="dxa"/>
            <w:vAlign w:val="bottom"/>
            <w:tcBorders>
              <w:bottom w:val="single" w:sz="8" w:color="auto"/>
            </w:tcBorders>
            <w:vMerge w:val="continue"/>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880" w:type="dxa"/>
            <w:vAlign w:val="bottom"/>
            <w:tcBorders>
              <w:bottom w:val="single" w:sz="8" w:color="auto"/>
            </w:tcBorders>
            <w:vMerge w:val="continue"/>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11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88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122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vMerge w:val="continue"/>
          </w:tcPr>
          <w:p>
            <w:pPr>
              <w:spacing w:after="0"/>
              <w:rPr>
                <w:sz w:val="23"/>
                <w:szCs w:val="23"/>
                <w:color w:val="auto"/>
              </w:rPr>
            </w:pPr>
          </w:p>
        </w:tc>
        <w:tc>
          <w:tcPr>
            <w:tcW w:w="11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7" w:right="239" w:bottom="1440" w:gutter="0" w:footer="0" w:header="0"/>
        </w:sectPr>
      </w:pPr>
    </w:p>
    <w:bookmarkStart w:id="38" w:name="page39"/>
    <w:bookmarkEnd w:id="3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Carter's</w:t>
            </w:r>
          </w:p>
        </w:tc>
        <w:tc>
          <w:tcPr>
            <w:tcW w:w="16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Carter's</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OshKosh</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OshKosh</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16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Retail</w:t>
            </w: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Retail</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20"/>
                <w:szCs w:val="20"/>
                <w:color w:val="auto"/>
              </w:rPr>
            </w:pPr>
          </w:p>
        </w:tc>
        <w:tc>
          <w:tcPr>
            <w:tcW w:w="800" w:type="dxa"/>
            <w:vAlign w:val="bottom"/>
          </w:tcPr>
          <w:p>
            <w:pPr>
              <w:jc w:val="right"/>
              <w:ind w:right="217"/>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 for two</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quarters of fiscal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98,138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82,824</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5,228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12,747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146,457</w:t>
            </w:r>
          </w:p>
        </w:tc>
        <w:tc>
          <w:tcPr>
            <w:tcW w:w="0" w:type="dxa"/>
            <w:vAlign w:val="bottom"/>
          </w:tcPr>
          <w:p>
            <w:pPr>
              <w:spacing w:after="0"/>
              <w:rPr>
                <w:sz w:val="1"/>
                <w:szCs w:val="1"/>
                <w:color w:val="auto"/>
              </w:rPr>
            </w:pPr>
          </w:p>
        </w:tc>
      </w:tr>
      <w:tr>
        <w:trPr>
          <w:trHeight w:val="153"/>
        </w:trPr>
        <w:tc>
          <w:tcPr>
            <w:tcW w:w="254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Favorable (unfavorable) change in the</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two quarters of fiscal 2016</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5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7,570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22,986</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8,110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10,489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6"/>
                <w:szCs w:val="16"/>
                <w:color w:val="auto"/>
              </w:rPr>
              <w:t>46,164</w:t>
            </w:r>
          </w:p>
        </w:tc>
        <w:tc>
          <w:tcPr>
            <w:tcW w:w="0" w:type="dxa"/>
            <w:vAlign w:val="bottom"/>
          </w:tcPr>
          <w:p>
            <w:pPr>
              <w:spacing w:after="0"/>
              <w:rPr>
                <w:sz w:val="1"/>
                <w:szCs w:val="1"/>
                <w:color w:val="auto"/>
              </w:rPr>
            </w:pPr>
          </w:p>
        </w:tc>
      </w:tr>
      <w:tr>
        <w:trPr>
          <w:trHeight w:val="237"/>
        </w:trPr>
        <w:tc>
          <w:tcPr>
            <w:tcW w:w="25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Royalty income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626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33"/>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SG&amp;A expenses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(26,749)</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2,308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(36,981)</w:t>
            </w:r>
          </w:p>
        </w:tc>
        <w:tc>
          <w:tcPr>
            <w:tcW w:w="0" w:type="dxa"/>
            <w:vAlign w:val="bottom"/>
          </w:tcPr>
          <w:p>
            <w:pPr>
              <w:spacing w:after="0"/>
              <w:rPr>
                <w:sz w:val="1"/>
                <w:szCs w:val="1"/>
                <w:color w:val="auto"/>
              </w:rPr>
            </w:pPr>
          </w:p>
        </w:tc>
      </w:tr>
      <w:tr>
        <w:trPr>
          <w:trHeight w:val="194"/>
        </w:trPr>
        <w:tc>
          <w:tcPr>
            <w:tcW w:w="2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 for two</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106,104</w:t>
            </w:r>
          </w:p>
        </w:tc>
        <w:tc>
          <w:tcPr>
            <w:tcW w:w="12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79,687</w:t>
            </w:r>
          </w:p>
        </w:tc>
        <w:tc>
          <w:tcPr>
            <w:tcW w:w="14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3,816</w:t>
            </w:r>
          </w:p>
        </w:tc>
        <w:tc>
          <w:tcPr>
            <w:tcW w:w="10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(3,266)</w:t>
            </w:r>
          </w:p>
        </w:tc>
        <w:tc>
          <w:tcPr>
            <w:tcW w:w="10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17,546</w:t>
            </w:r>
          </w:p>
        </w:tc>
        <w:tc>
          <w:tcPr>
            <w:tcW w:w="100" w:type="dxa"/>
            <w:vAlign w:val="bottom"/>
          </w:tcPr>
          <w:p>
            <w:pPr>
              <w:spacing w:after="0"/>
              <w:rPr>
                <w:sz w:val="16"/>
                <w:szCs w:val="16"/>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(47,636)</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156,251</w:t>
            </w:r>
          </w:p>
        </w:tc>
        <w:tc>
          <w:tcPr>
            <w:tcW w:w="0" w:type="dxa"/>
            <w:vAlign w:val="bottom"/>
          </w:tcPr>
          <w:p>
            <w:pPr>
              <w:spacing w:after="0"/>
              <w:rPr>
                <w:sz w:val="1"/>
                <w:szCs w:val="1"/>
                <w:color w:val="auto"/>
              </w:rPr>
            </w:pPr>
          </w:p>
        </w:tc>
      </w:tr>
      <w:tr>
        <w:trPr>
          <w:trHeight w:val="265"/>
        </w:trPr>
        <w:tc>
          <w:tcPr>
            <w:tcW w:w="2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quarters of fiscal 2016</w:t>
            </w:r>
          </w:p>
        </w:tc>
        <w:tc>
          <w:tcPr>
            <w:tcW w:w="140" w:type="dxa"/>
            <w:vAlign w:val="bottom"/>
            <w:tcBorders>
              <w:bottom w:val="single" w:sz="8" w:color="auto"/>
            </w:tcBorders>
            <w:vMerge w:val="continue"/>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880" w:type="dxa"/>
            <w:vAlign w:val="bottom"/>
            <w:tcBorders>
              <w:bottom w:val="single" w:sz="8" w:color="auto"/>
            </w:tcBorders>
            <w:vMerge w:val="continue"/>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102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88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vMerge w:val="continue"/>
          </w:tcPr>
          <w:p>
            <w:pPr>
              <w:spacing w:after="0"/>
              <w:rPr>
                <w:sz w:val="23"/>
                <w:szCs w:val="23"/>
                <w:color w:val="auto"/>
              </w:rPr>
            </w:pPr>
          </w:p>
        </w:tc>
        <w:tc>
          <w:tcPr>
            <w:tcW w:w="130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vMerge w:val="continue"/>
          </w:tcPr>
          <w:p>
            <w:pPr>
              <w:spacing w:after="0"/>
              <w:rPr>
                <w:sz w:val="23"/>
                <w:szCs w:val="23"/>
                <w:color w:val="auto"/>
              </w:rPr>
            </w:pPr>
          </w:p>
        </w:tc>
        <w:tc>
          <w:tcPr>
            <w:tcW w:w="11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tables present changes in the operating margin for each of our five operating segments. The primary drivers of these changes are presented in terms of the difference in each driver's margin (based on net sales) between the respective periods, in each case expressed in basis points ("bps"). The first table presents the changes between the second quarter of fiscal 2015 and the second quarter of fiscal 2016. The second table presents the changes between the first two quarters of fiscal 2015 and the first two quarters of fiscal 2016.</w:t>
      </w:r>
    </w:p>
    <w:p>
      <w:pPr>
        <w:spacing w:after="0" w:line="12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Carter's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OshKosh</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Carter's Retail</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OshKosh Retail</w:t>
            </w:r>
          </w:p>
        </w:tc>
        <w:tc>
          <w:tcPr>
            <w:tcW w:w="1460" w:type="dxa"/>
            <w:vAlign w:val="bottom"/>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second</w:t>
            </w: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quarter of fiscal 2015</w:t>
            </w:r>
          </w:p>
        </w:tc>
        <w:tc>
          <w:tcPr>
            <w:tcW w:w="1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153"/>
        </w:trPr>
        <w:tc>
          <w:tcPr>
            <w:tcW w:w="262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Favorable (unfavorable) bps change in</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second quarter of fiscal 2016</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Gross profit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80 bps</w:t>
            </w:r>
          </w:p>
        </w:tc>
        <w:tc>
          <w:tcPr>
            <w:tcW w:w="13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(70) bps</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(350) bps</w:t>
            </w:r>
          </w:p>
        </w:tc>
        <w:tc>
          <w:tcPr>
            <w:tcW w:w="14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170 bps</w:t>
            </w:r>
          </w:p>
        </w:tc>
        <w:tc>
          <w:tcPr>
            <w:tcW w:w="14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220 bps</w:t>
            </w:r>
          </w:p>
        </w:tc>
        <w:tc>
          <w:tcPr>
            <w:tcW w:w="0" w:type="dxa"/>
            <w:vAlign w:val="bottom"/>
          </w:tcPr>
          <w:p>
            <w:pPr>
              <w:spacing w:after="0"/>
              <w:rPr>
                <w:sz w:val="1"/>
                <w:szCs w:val="1"/>
                <w:color w:val="auto"/>
              </w:rPr>
            </w:pPr>
          </w:p>
        </w:tc>
      </w:tr>
      <w:tr>
        <w:trPr>
          <w:trHeight w:val="237"/>
        </w:trPr>
        <w:tc>
          <w:tcPr>
            <w:tcW w:w="26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Royalty income</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30 bps</w:t>
            </w:r>
          </w:p>
        </w:tc>
        <w:tc>
          <w:tcPr>
            <w:tcW w:w="13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10 bps</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760 bps</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60 bps</w:t>
            </w:r>
          </w:p>
        </w:tc>
        <w:tc>
          <w:tcPr>
            <w:tcW w:w="14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(30) bps</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SG&amp;A expenses</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(70) bps</w:t>
            </w:r>
          </w:p>
        </w:tc>
        <w:tc>
          <w:tcPr>
            <w:tcW w:w="136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(90) bps</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(260) bps</w:t>
            </w:r>
          </w:p>
        </w:tc>
        <w:tc>
          <w:tcPr>
            <w:tcW w:w="14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(170) bps</w:t>
            </w:r>
          </w:p>
        </w:tc>
        <w:tc>
          <w:tcPr>
            <w:tcW w:w="14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140 bps</w:t>
            </w:r>
          </w:p>
        </w:tc>
        <w:tc>
          <w:tcPr>
            <w:tcW w:w="0" w:type="dxa"/>
            <w:vAlign w:val="bottom"/>
          </w:tcPr>
          <w:p>
            <w:pPr>
              <w:spacing w:after="0"/>
              <w:rPr>
                <w:sz w:val="1"/>
                <w:szCs w:val="1"/>
                <w:color w:val="auto"/>
              </w:rPr>
            </w:pPr>
          </w:p>
        </w:tc>
      </w:tr>
      <w:tr>
        <w:trPr>
          <w:trHeight w:val="194"/>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second</w:t>
            </w:r>
          </w:p>
        </w:tc>
        <w:tc>
          <w:tcPr>
            <w:tcW w:w="118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w w:val="99"/>
              </w:rPr>
              <w:t>19.4%</w:t>
            </w:r>
          </w:p>
        </w:tc>
        <w:tc>
          <w:tcPr>
            <w:tcW w:w="120" w:type="dxa"/>
            <w:vAlign w:val="bottom"/>
          </w:tcPr>
          <w:p>
            <w:pPr>
              <w:spacing w:after="0"/>
              <w:rPr>
                <w:sz w:val="16"/>
                <w:szCs w:val="16"/>
                <w:color w:val="auto"/>
              </w:rPr>
            </w:pPr>
          </w:p>
        </w:tc>
        <w:tc>
          <w:tcPr>
            <w:tcW w:w="1260" w:type="dxa"/>
            <w:vAlign w:val="bottom"/>
            <w:tcBorders>
              <w:top w:val="single" w:sz="8" w:color="auto"/>
            </w:tcBorders>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14.0%</w:t>
            </w:r>
          </w:p>
        </w:tc>
        <w:tc>
          <w:tcPr>
            <w:tcW w:w="100" w:type="dxa"/>
            <w:vAlign w:val="bottom"/>
          </w:tcPr>
          <w:p>
            <w:pPr>
              <w:spacing w:after="0"/>
              <w:rPr>
                <w:sz w:val="16"/>
                <w:szCs w:val="16"/>
                <w:color w:val="auto"/>
              </w:rPr>
            </w:pPr>
          </w:p>
        </w:tc>
        <w:tc>
          <w:tcPr>
            <w:tcW w:w="118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w w:val="99"/>
              </w:rPr>
              <w:t>17.2%</w:t>
            </w:r>
          </w:p>
        </w:tc>
        <w:tc>
          <w:tcPr>
            <w:tcW w:w="120" w:type="dxa"/>
            <w:vAlign w:val="bottom"/>
          </w:tcPr>
          <w:p>
            <w:pPr>
              <w:spacing w:after="0"/>
              <w:rPr>
                <w:sz w:val="16"/>
                <w:szCs w:val="16"/>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20" w:type="dxa"/>
            <w:vAlign w:val="bottom"/>
          </w:tcPr>
          <w:p>
            <w:pPr>
              <w:spacing w:after="0"/>
              <w:rPr>
                <w:sz w:val="16"/>
                <w:szCs w:val="16"/>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0" w:type="dxa"/>
            <w:vAlign w:val="bottom"/>
          </w:tcPr>
          <w:p>
            <w:pPr>
              <w:spacing w:after="0"/>
              <w:rPr>
                <w:sz w:val="1"/>
                <w:szCs w:val="1"/>
                <w:color w:val="auto"/>
              </w:rPr>
            </w:pPr>
          </w:p>
        </w:tc>
      </w:tr>
      <w:tr>
        <w:trPr>
          <w:trHeight w:val="265"/>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quarter of fiscal 2016</w:t>
            </w:r>
          </w:p>
        </w:tc>
        <w:tc>
          <w:tcPr>
            <w:tcW w:w="118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w:t>
            </w:r>
          </w:p>
        </w:tc>
        <w:tc>
          <w:tcPr>
            <w:tcW w:w="13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(b)</w:t>
            </w: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w:t>
            </w:r>
          </w:p>
        </w:tc>
        <w:tc>
          <w:tcPr>
            <w:tcW w:w="14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(d)</w:t>
            </w:r>
          </w:p>
        </w:tc>
        <w:tc>
          <w:tcPr>
            <w:tcW w:w="146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33"/>
        </w:trPr>
        <w:tc>
          <w:tcPr>
            <w:tcW w:w="26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Carter's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OshKosh</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Wholesale</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Carter's Retail</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OshKosh Retail</w:t>
            </w:r>
          </w:p>
        </w:tc>
        <w:tc>
          <w:tcPr>
            <w:tcW w:w="1460" w:type="dxa"/>
            <w:vAlign w:val="bottom"/>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first two</w:t>
            </w: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quarters of fiscal 2015</w:t>
            </w:r>
          </w:p>
        </w:tc>
        <w:tc>
          <w:tcPr>
            <w:tcW w:w="1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153"/>
        </w:trPr>
        <w:tc>
          <w:tcPr>
            <w:tcW w:w="2620" w:type="dxa"/>
            <w:vAlign w:val="bottom"/>
          </w:tcPr>
          <w:p>
            <w:pPr>
              <w:ind w:left="140"/>
              <w:spacing w:after="0" w:line="153" w:lineRule="exact"/>
              <w:rPr>
                <w:sz w:val="20"/>
                <w:szCs w:val="20"/>
                <w:color w:val="auto"/>
              </w:rPr>
            </w:pPr>
            <w:r>
              <w:rPr>
                <w:rFonts w:ascii="Times New Roman" w:cs="Times New Roman" w:eastAsia="Times New Roman" w:hAnsi="Times New Roman"/>
                <w:sz w:val="14"/>
                <w:szCs w:val="14"/>
                <w:color w:val="auto"/>
              </w:rPr>
              <w:t>Favorable (unfavorable) bps change in</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first two quarters of fiscal 2016</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Gross profit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130 bps</w:t>
            </w: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 bps</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(290) bps</w:t>
            </w:r>
          </w:p>
        </w:tc>
        <w:tc>
          <w:tcPr>
            <w:tcW w:w="14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90 bps</w:t>
            </w:r>
          </w:p>
        </w:tc>
        <w:tc>
          <w:tcPr>
            <w:tcW w:w="14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280 bps</w:t>
            </w:r>
          </w:p>
        </w:tc>
        <w:tc>
          <w:tcPr>
            <w:tcW w:w="0" w:type="dxa"/>
            <w:vAlign w:val="bottom"/>
          </w:tcPr>
          <w:p>
            <w:pPr>
              <w:spacing w:after="0"/>
              <w:rPr>
                <w:sz w:val="1"/>
                <w:szCs w:val="1"/>
                <w:color w:val="auto"/>
              </w:rPr>
            </w:pPr>
          </w:p>
        </w:tc>
      </w:tr>
      <w:tr>
        <w:trPr>
          <w:trHeight w:val="237"/>
        </w:trPr>
        <w:tc>
          <w:tcPr>
            <w:tcW w:w="26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Royalty income</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 bps</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 bps</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550 bps</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20 bps</w:t>
            </w:r>
          </w:p>
        </w:tc>
        <w:tc>
          <w:tcPr>
            <w:tcW w:w="14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rPr>
              <w:t>(30) bps</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SG&amp;A expenses</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20 bps</w:t>
            </w: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(200) bps</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(190) bps</w:t>
            </w:r>
          </w:p>
        </w:tc>
        <w:tc>
          <w:tcPr>
            <w:tcW w:w="14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(120) bps</w:t>
            </w:r>
          </w:p>
        </w:tc>
        <w:tc>
          <w:tcPr>
            <w:tcW w:w="146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rPr>
              <w:t>(20) bps</w:t>
            </w:r>
          </w:p>
        </w:tc>
        <w:tc>
          <w:tcPr>
            <w:tcW w:w="0" w:type="dxa"/>
            <w:vAlign w:val="bottom"/>
          </w:tcPr>
          <w:p>
            <w:pPr>
              <w:spacing w:after="0"/>
              <w:rPr>
                <w:sz w:val="1"/>
                <w:szCs w:val="1"/>
                <w:color w:val="auto"/>
              </w:rPr>
            </w:pPr>
          </w:p>
        </w:tc>
      </w:tr>
      <w:tr>
        <w:trPr>
          <w:trHeight w:val="194"/>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for the first two</w:t>
            </w:r>
          </w:p>
        </w:tc>
        <w:tc>
          <w:tcPr>
            <w:tcW w:w="118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w w:val="99"/>
              </w:rPr>
              <w:t>21.8%</w:t>
            </w:r>
          </w:p>
        </w:tc>
        <w:tc>
          <w:tcPr>
            <w:tcW w:w="120" w:type="dxa"/>
            <w:vAlign w:val="bottom"/>
          </w:tcPr>
          <w:p>
            <w:pPr>
              <w:spacing w:after="0"/>
              <w:rPr>
                <w:sz w:val="16"/>
                <w:szCs w:val="16"/>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14.6%</w:t>
            </w:r>
          </w:p>
        </w:tc>
        <w:tc>
          <w:tcPr>
            <w:tcW w:w="100" w:type="dxa"/>
            <w:vAlign w:val="bottom"/>
          </w:tcPr>
          <w:p>
            <w:pPr>
              <w:spacing w:after="0"/>
              <w:rPr>
                <w:sz w:val="16"/>
                <w:szCs w:val="16"/>
                <w:color w:val="auto"/>
              </w:rPr>
            </w:pPr>
          </w:p>
        </w:tc>
        <w:tc>
          <w:tcPr>
            <w:tcW w:w="1180" w:type="dxa"/>
            <w:vAlign w:val="bottom"/>
            <w:tcBorders>
              <w:top w:val="single" w:sz="8" w:color="auto"/>
            </w:tcBorders>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w w:val="99"/>
              </w:rPr>
              <w:t>17.9%</w:t>
            </w:r>
          </w:p>
        </w:tc>
        <w:tc>
          <w:tcPr>
            <w:tcW w:w="120" w:type="dxa"/>
            <w:vAlign w:val="bottom"/>
          </w:tcPr>
          <w:p>
            <w:pPr>
              <w:spacing w:after="0"/>
              <w:rPr>
                <w:sz w:val="16"/>
                <w:szCs w:val="16"/>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20" w:type="dxa"/>
            <w:vAlign w:val="bottom"/>
          </w:tcPr>
          <w:p>
            <w:pPr>
              <w:spacing w:after="0"/>
              <w:rPr>
                <w:sz w:val="16"/>
                <w:szCs w:val="16"/>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11.7%</w:t>
            </w:r>
          </w:p>
        </w:tc>
        <w:tc>
          <w:tcPr>
            <w:tcW w:w="0" w:type="dxa"/>
            <w:vAlign w:val="bottom"/>
          </w:tcPr>
          <w:p>
            <w:pPr>
              <w:spacing w:after="0"/>
              <w:rPr>
                <w:sz w:val="1"/>
                <w:szCs w:val="1"/>
                <w:color w:val="auto"/>
              </w:rPr>
            </w:pPr>
          </w:p>
        </w:tc>
      </w:tr>
      <w:tr>
        <w:trPr>
          <w:trHeight w:val="265"/>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quarters of fiscal 2016</w:t>
            </w:r>
          </w:p>
        </w:tc>
        <w:tc>
          <w:tcPr>
            <w:tcW w:w="118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(aa)</w:t>
            </w: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(bb)</w:t>
            </w:r>
          </w:p>
        </w:tc>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(cc)</w:t>
            </w:r>
          </w:p>
        </w:tc>
        <w:tc>
          <w:tcPr>
            <w:tcW w:w="14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(dd)</w:t>
            </w:r>
          </w:p>
        </w:tc>
        <w:tc>
          <w:tcPr>
            <w:tcW w:w="146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6"/>
                <w:szCs w:val="16"/>
                <w:color w:val="auto"/>
              </w:rPr>
              <w:t>(ee)</w:t>
            </w:r>
          </w:p>
        </w:tc>
        <w:tc>
          <w:tcPr>
            <w:tcW w:w="0" w:type="dxa"/>
            <w:vAlign w:val="bottom"/>
          </w:tcPr>
          <w:p>
            <w:pPr>
              <w:spacing w:after="0"/>
              <w:rPr>
                <w:sz w:val="1"/>
                <w:szCs w:val="1"/>
                <w:color w:val="auto"/>
              </w:rPr>
            </w:pPr>
          </w:p>
        </w:tc>
      </w:tr>
      <w:tr>
        <w:trPr>
          <w:trHeight w:val="33"/>
        </w:trPr>
        <w:tc>
          <w:tcPr>
            <w:tcW w:w="26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7" w:right="239" w:bottom="1440" w:gutter="0" w:footer="0" w:header="0"/>
        </w:sectPr>
      </w:pPr>
    </w:p>
    <w:bookmarkStart w:id="39" w:name="page40"/>
    <w:bookmarkEnd w:id="3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right="60" w:firstLine="8"/>
        <w:spacing w:after="0" w:line="266" w:lineRule="auto"/>
        <w:tabs>
          <w:tab w:leader="none" w:pos="2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Carter's Wholesale segment operating income in the second quarter of fiscal 2016 decreased $0.3 million, or 0.8%, to $39.9 million from $40.2 million in the second quarter of fiscal 2015. The segment's operating margin increased 40 bps from 19.0% in the second quarter of fiscal 2015 to 19.4% in the second quarter of fiscal 2016.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bps increase in gross profit due to favorable product costs and improved pricing;</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increase in royalty income;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bps increase in SG&amp;A expenses, primarily due to a:</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increase in expenses related to information technology; and</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increase in provisions for accounts receivable.</w:t>
      </w:r>
    </w:p>
    <w:p>
      <w:pPr>
        <w:spacing w:after="0" w:line="200" w:lineRule="exact"/>
        <w:rPr>
          <w:sz w:val="20"/>
          <w:szCs w:val="20"/>
          <w:color w:val="auto"/>
        </w:rPr>
      </w:pPr>
    </w:p>
    <w:p>
      <w:pPr>
        <w:spacing w:after="0" w:line="223" w:lineRule="exact"/>
        <w:rPr>
          <w:sz w:val="20"/>
          <w:szCs w:val="20"/>
          <w:color w:val="auto"/>
        </w:rPr>
      </w:pPr>
    </w:p>
    <w:p>
      <w:pPr>
        <w:ind w:firstLine="8"/>
        <w:spacing w:after="0" w:line="266" w:lineRule="auto"/>
        <w:tabs>
          <w:tab w:leader="none" w:pos="3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Carter's Wholesale segment operating income in the first two quarters of fiscal 2016 increased $8.0 million, or 8.1%, to $106.1 million from $98.1 million in the first two quarters of fiscal 2015. The segment's operating margin increased 140 bps from 20.4% in the first two quarters of fiscal 2015 to 21.8% in the first two quarters of fiscal 2016.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 bps increase in gross profit due to favorable product costs and a improved pricing, partially offset by higher inventory related charges; and</w:t>
      </w:r>
    </w:p>
    <w:p>
      <w:pPr>
        <w:spacing w:after="0" w:line="27" w:lineRule="exact"/>
        <w:rPr>
          <w:rFonts w:ascii="Times New Roman" w:cs="Times New Roman" w:eastAsia="Times New Roman" w:hAnsi="Times New Roman"/>
          <w:sz w:val="18"/>
          <w:szCs w:val="18"/>
          <w:color w:val="auto"/>
        </w:rPr>
      </w:pPr>
    </w:p>
    <w:p>
      <w:pPr>
        <w:ind w:left="980" w:right="320" w:hanging="324"/>
        <w:spacing w:after="0" w:line="261"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decrease in SG&amp;A expenses, primarily due to a decrease in distribution and freight expenses, driven by efficiencies at our Braselton, Georgia distribution center.</w:t>
      </w:r>
    </w:p>
    <w:p>
      <w:pPr>
        <w:spacing w:after="0" w:line="180" w:lineRule="exact"/>
        <w:rPr>
          <w:sz w:val="20"/>
          <w:szCs w:val="20"/>
          <w:color w:val="auto"/>
        </w:rPr>
      </w:pPr>
    </w:p>
    <w:p>
      <w:pPr>
        <w:ind w:right="40" w:firstLine="8"/>
        <w:spacing w:after="0" w:line="266"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Carter's Retail segment operating income increased by $0.1 million, or 0.3%, to $38.4 million in the second quarter of fiscal 2016 from $38.3 million in the second quarter of fiscal 2015. This segment's operating margin decreased 150 bps from 15.5% in the second quarter of fiscal 2015 to 14.0% in the second quarter of fiscal 2016.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bps decrease in gross profit primarily due to an increased promotional environment, partially offset by favorable product costs; and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bps increase in SG&amp;A expenses, primarily due to a:</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bps increase in expenses associated with new retail stores;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bps increase in marketing expenses; and</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decrease in distribution and freight expenses.</w:t>
      </w:r>
    </w:p>
    <w:p>
      <w:pPr>
        <w:spacing w:after="0" w:line="207" w:lineRule="exact"/>
        <w:rPr>
          <w:sz w:val="20"/>
          <w:szCs w:val="20"/>
          <w:color w:val="auto"/>
        </w:rPr>
      </w:pPr>
    </w:p>
    <w:p>
      <w:pPr>
        <w:jc w:val="both"/>
        <w:ind w:right="60" w:firstLine="8"/>
        <w:spacing w:after="0" w:line="266" w:lineRule="auto"/>
        <w:tabs>
          <w:tab w:leader="none" w:pos="3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Carter's Retail segment operating income decreased by $3.1 million, or 3.8%, to $79.7 million in the first two quarters of fiscal 2016 from $82.8 million in the first two quarters of fiscal 2015. This segment's operating margin decreased 180 bps from 16.4% in the first two quarters of fiscal 2015 to 14.6% in the first two quarters of fiscal 2016.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bps increase in SG&amp;A expenses, primarily due to a:</w:t>
      </w:r>
    </w:p>
    <w:p>
      <w:pPr>
        <w:spacing w:after="0" w:line="2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 bps increase in expenses associated with new retail stores; and</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bps increase in marketing expenses.</w:t>
      </w:r>
    </w:p>
    <w:p>
      <w:pPr>
        <w:spacing w:after="0" w:line="207" w:lineRule="exact"/>
        <w:rPr>
          <w:sz w:val="20"/>
          <w:szCs w:val="20"/>
          <w:color w:val="auto"/>
        </w:rPr>
      </w:pPr>
    </w:p>
    <w:p>
      <w:pPr>
        <w:ind w:firstLine="8"/>
        <w:spacing w:after="0" w:line="266"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OshKosh Wholesale segment operating income decreased by $0.6 million, or 28.4%, to $1.6 million in the second quarter of fiscal 2016 from $2.2 million in the second quarter of fiscal 2015. This segment's operating margin increased 150 bps from 15.7% in the second quarter of fiscal 2015 to 17.2% in the second quarter of fiscal 2016.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760 bps increase in royalty income primarily due to lower segment net sales;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bps decrease in gross profit primarily due to higher inventory related charges, partially offset by favorable product costs;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 bps increase in SG&amp;A expenses primarily due to a:</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 bps increase in marketing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 bps increase in selling and distribution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increase in provisions for accounts receivable; and</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 bps decrease in performance-based compensation expenses.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117" w:right="279" w:bottom="1440" w:gutter="0" w:footer="0" w:header="0"/>
        </w:sectPr>
      </w:pPr>
    </w:p>
    <w:bookmarkStart w:id="40" w:name="page41"/>
    <w:bookmarkEnd w:id="4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right="80" w:firstLine="8"/>
        <w:spacing w:after="0" w:line="266" w:lineRule="auto"/>
        <w:tabs>
          <w:tab w:leader="none" w:pos="3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OshKosh Wholesale segment operating income decreased by $1.4 million, or 27.0%, to $3.8 million in the first two quarters of fiscal 2016 from $5.2 million in the first two quarters of fiscal 2015. This segment's operating margin increased 70 bps from 17.2% in the first two quarters of fiscal 2015 to 17.9% in the first two quarters of fiscal 2016.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 bps increase in royalty income primarily due to sales growth from our licensees;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 bps decrease in gross profit primarily due to higher inventory related charges, partially offset by favorable product costs;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 bps increase in SG&amp;A expenses primarily due to a/an:</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 bps increase in marketing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bps increase in provisions for accounts receivable;</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bps increase in distribution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bps increase in finance and information technology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increase in customer service costs; and</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bps decrease in performance-based compensation expenses.</w:t>
      </w:r>
    </w:p>
    <w:p>
      <w:pPr>
        <w:spacing w:after="0" w:line="200" w:lineRule="exact"/>
        <w:rPr>
          <w:sz w:val="20"/>
          <w:szCs w:val="20"/>
          <w:color w:val="auto"/>
        </w:rPr>
      </w:pPr>
    </w:p>
    <w:p>
      <w:pPr>
        <w:spacing w:after="0" w:line="223" w:lineRule="exact"/>
        <w:rPr>
          <w:sz w:val="20"/>
          <w:szCs w:val="20"/>
          <w:color w:val="auto"/>
        </w:rPr>
      </w:pPr>
    </w:p>
    <w:p>
      <w:pPr>
        <w:ind w:right="200" w:firstLine="8"/>
        <w:spacing w:after="0" w:line="266"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OshKosh Retail segment operating income increased by $0.3 million, or 18.4%, from an operating loss of $(1.8) million in the second quarter of fiscal 2015 to an operating loss of $(1.5) million in the second quarter of fiscal 2016. The segment's operating margin increased 60 bps from (2.5)% in the second quarter of fiscal 2015 to (1.9)% in the second quarter of fiscal 2016.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 bps increase in gross profit primarily due to favorable product costs, partially offset by an increased promotional environment;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bps increase in royalty income;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 bps increase in SG&amp;A expenses primarily due to a/an:</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 bps increase in expenses associated with new retail stores;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bps decrease in distribution and freight expenses; and</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decrease in performance-based compensation expenses.</w:t>
      </w:r>
    </w:p>
    <w:p>
      <w:pPr>
        <w:spacing w:after="0" w:line="207" w:lineRule="exact"/>
        <w:rPr>
          <w:sz w:val="20"/>
          <w:szCs w:val="20"/>
          <w:color w:val="auto"/>
        </w:rPr>
      </w:pPr>
    </w:p>
    <w:p>
      <w:pPr>
        <w:ind w:firstLine="8"/>
        <w:spacing w:after="0" w:line="266" w:lineRule="auto"/>
        <w:tabs>
          <w:tab w:leader="none" w:pos="3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OshKosh Retail segment operating income decreased by $0.5 million, or 17.7%, from an operating loss of $(2.8) million in the first two quarters of fiscal 2015 to an operating loss of $(3.3) million in the first two quarters of fiscal 2016. The segment's operating margin decreased 10 bps from (1.9)% in the first two quarters of fiscal 2015 to (2.0)% in the first two quarters of fiscal 2016.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bps increase in SG&amp;A expenses primarily due to a/an:</w:t>
      </w:r>
    </w:p>
    <w:p>
      <w:pPr>
        <w:spacing w:after="0" w:line="27"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bps increase in expenses associated with new retail stores;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increase in marketing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bps decrease primarily in distribution and freight expenses;</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decrease in performance-based compensation expenses;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bps increase in gross profit, primarily driven by favorable products costs, partially offset by a lower average price per unit.</w:t>
      </w:r>
    </w:p>
    <w:p>
      <w:pPr>
        <w:spacing w:after="0" w:line="207" w:lineRule="exact"/>
        <w:rPr>
          <w:sz w:val="20"/>
          <w:szCs w:val="20"/>
          <w:color w:val="auto"/>
        </w:rPr>
      </w:pPr>
    </w:p>
    <w:p>
      <w:pPr>
        <w:jc w:val="both"/>
        <w:ind w:right="140" w:firstLine="8"/>
        <w:spacing w:after="0" w:line="266" w:lineRule="auto"/>
        <w:tabs>
          <w:tab w:leader="none" w:pos="2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segment operating income increased by $2.9 million, or 46.0%, to $9.1 million in the second quarter of fiscal 2016 from $6.2 million in the second quarter of 2015. This segment's operating margin increased 330 bps from 9.4% in the second quarter of fiscal 2015 to 12.7% in the second quarter of fiscal 2016.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right="800" w:hanging="324"/>
        <w:spacing w:after="0" w:line="261"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 bps increase in gross profit, primarily driven by growth in higher margin retail store and eCommerce channels, partially offset by unfavorable foreign currency effects;</w:t>
      </w: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 bps decrease in SG&amp;A expenses primarily due to a/an:</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bps absence of accretion expense for contingent consideration related to the Bonnie Togs acquisition;</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increase in expenses associated with new retail stores and China eCommerce; and</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increase in distribution expenses;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decrease in royalty income.</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117" w:right="259" w:bottom="1440" w:gutter="0" w:footer="0" w:header="0"/>
        </w:sectPr>
      </w:pPr>
    </w:p>
    <w:bookmarkStart w:id="41" w:name="page42"/>
    <w:bookmarkEnd w:id="41"/>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ind w:firstLine="8"/>
        <w:spacing w:after="0" w:line="266" w:lineRule="auto"/>
        <w:tabs>
          <w:tab w:leader="none" w:pos="3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segment operating income increased by $4.8 million, or 37.6%, to $17.5 million in the first two quarters of fiscal 2016 from $12.7 million in the first two quarters of 2015. This segment's operating margin increased 230 bps from 9.4% in the first two quarters of fiscal 2015 to 11.7% in the first two quarters of fiscal 2016. The primary drivers of the change in operating margin were a/an:</w:t>
      </w:r>
    </w:p>
    <w:p>
      <w:pPr>
        <w:spacing w:after="0" w:line="176" w:lineRule="exact"/>
        <w:rPr>
          <w:rFonts w:ascii="Times New Roman" w:cs="Times New Roman" w:eastAsia="Times New Roman" w:hAnsi="Times New Roman"/>
          <w:sz w:val="18"/>
          <w:szCs w:val="18"/>
          <w:color w:val="auto"/>
        </w:rPr>
      </w:pPr>
    </w:p>
    <w:p>
      <w:pPr>
        <w:ind w:left="980" w:right="820" w:hanging="324"/>
        <w:spacing w:after="0" w:line="261" w:lineRule="auto"/>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 bps increase in gross profit, primarily driven by growth in higher margin retail store and eCommerce channels, partially offset by unfavorable foreign currency exchange impacts;</w:t>
      </w: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bps decrease in royalty income;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bps increase in SG&amp;A expenses primarily due to a/an:</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bps increase in expenses associated with new retail stores and China eCommerce;</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bps increase in distribution and freight expenses; and</w:t>
      </w:r>
    </w:p>
    <w:p>
      <w:pPr>
        <w:spacing w:after="0" w:line="9"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 bps decrease in in accretion expense for contingent consideration related to the Bonnie Togs acquisition.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Unallocated Corporate Expenses</w:t>
      </w:r>
    </w:p>
    <w:p>
      <w:pPr>
        <w:spacing w:after="0" w:line="22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Unallocated corporate expenses increased by $1.1 million, or 4.6%, in the second quarter of fiscal 2016 compared to the second quarter of fiscal 2015. Unallocated corporate expenses, as a percentage of consolidated net sales, was 3.8% in both periods of of fiscal 2016 and 2015. The increase in corporate expenses primarily reflected a/an:</w:t>
      </w:r>
    </w:p>
    <w:p>
      <w:pPr>
        <w:spacing w:after="0" w:line="176"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$1.2 million in expenses related to information technology and systems;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$1.2 million in expenses related to other general and administrative expenses;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$1.3 million in amortization of the H.W. Carter &amp; Sons tradenames.</w:t>
      </w:r>
    </w:p>
    <w:p>
      <w:pPr>
        <w:spacing w:after="0" w:line="200" w:lineRule="exact"/>
        <w:rPr>
          <w:sz w:val="20"/>
          <w:szCs w:val="20"/>
          <w:color w:val="auto"/>
        </w:rPr>
      </w:pPr>
    </w:p>
    <w:p>
      <w:pPr>
        <w:spacing w:after="0" w:line="22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Unallocated corporate expenses decreased by $2.1 million, or 4.2%, in the first two quarters of fiscal 2016 compared to the first two quarters of fiscal 2015. Unallocated corporate expenses, as a percentage of consolidated net sales, increased from 3.8% in the first two quarters of fiscal 2015 to 3.5% in the first two quarters of fiscal 2016. The decrease in corporate expenses primarily reflected a/an:</w:t>
      </w:r>
    </w:p>
    <w:p>
      <w:pPr>
        <w:spacing w:after="0" w:line="176"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$2.6 million in amortization of the H.W. Carter &amp; Sons tradenames;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$2.2 million in performance-based compensation;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$1.2 million in insurance and other employee related benefits costs;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$2.3 million in expenses related to information technology and systems;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$1.5 million in expenses related to other general and administrative expenses.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and effective interest rate calculations include the amortization of debt issuance costs.</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Interest expense in the second quarter of fiscal 2016 and 2015 was approximately $6.8 million and $6.9 million, respectively. Weighted-average borrowings for the second quarter of fiscal 2016 were approximately $585.7 million with an effective interest rate of 4.54%, compared to weighted-average borrowings for the second quarter of fiscal 2015 of $586.7 million with an effective interest rate of 4.63%.</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Interest expense in the first two quarters of fiscal 2016 and 2015 was approximately $13.5 million and $13.6 million, respectively. Weighted-average borrowings for the first two quarters of fiscal 2016 were approximately $585.2 million with an effective interest rate of 4.58%, compared to weighted-average borrowings for the first two quarters of fiscal 2015 of $586.4 million with an effective interest rate of 4.64%.</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decreases in the effective interest rate for the second quarter and the first two quarters of fiscal 2016 compared to the second quarter and the first two quarters of fiscal 2015 was primarily due to lower interest rates on the U.S. and Canadian borrowings outstanding under our secured revolving credit facility in 2016.</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7" w:right="239" w:bottom="1440" w:gutter="0" w:footer="0" w:header="0"/>
        </w:sectPr>
      </w:pPr>
    </w:p>
    <w:bookmarkStart w:id="42" w:name="page43"/>
    <w:bookmarkEnd w:id="4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expense (income), net is comprised primarily of: 1) unrealized gains and losses from unsettled foreign currency forward contracts and unsettled foreign currency transactions and 2) realized gains and losses on settled foreign currency forward contracts and settled foreign currency transactions. These amounts represented a net loss of $0.5 million and $3.7 million for the second quarter and the first two quarters of fiscal 2016, respectively. These amounts represented a net gain of $1.9 million and a net loss of $0.1 million for the second quarter and the first two quarters of fiscal 2015, respectively.</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Our consolidated effective income tax rate for the second quarter of fiscal 2016 was 35.5% compared to 36.7% for the second quarter of fiscal 2015. Our consolidated effective income tax rate for the first two quarters of fiscal 2016 was 35.3% compared to 35.4% for the first two quarters of fiscal 2015. The lower effective rates both periods in fiscal 2016 were primarily due to expansion of our international business, partially offset by favorable settlements of federal and state tax audits for 2011, 2012, and 2013 during the first quarter of fiscal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full fiscal year 2016, we estimate our consolidated effective income tax rate to be approximately 35.4%.</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27"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Our consolidated net income for the second quarter of fiscal 2016 increased by $0.1 million, or 0.3%, to $36.2 million compared to $36.1 million in the second quarter of fiscal 2015. Our consolidated net income for the first two quarters of fiscal 2016 increased by $4.3 million, or 5.0%, to $90.2 million compared to $85.9 million in the first two quarters of fiscal 2015. The increases were due to the factors previously discussed.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Our primary cash needs are for working capital and capital expenditures. We expect that our primary sources of liquidity will continue to be cash and cash equivalents on hand, cash flow from operations, and borrowings available under our secured revolving credit facility. We expect that these sources will fund our ongoing requirements for the foreseeable future. Further, we do not expect current economic conditions to prevent us from meeting our cash requirements. These sources of liquidity may be affected by events described in our risk factors, as further discussed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2015 fiscal year ended January 2, 2016.</w:t>
      </w:r>
    </w:p>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July 2, 2016, the Company had approximately $205.1 million of cash and cash equivalents in major financial institutions, including approximately $34.7 million in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accounts receivable at July 2, 2016 were $150.6 million compared to $157.1 million at July 4, 2015 and $207.6 million at January 2, 2016. The overall decrease of $6.5 million, or 4.1%, at July 2, 2016 compared to July 4, 2015 primarily reflected a decline in wholesale sales. Due to the seasonal nature of our operations, the net accounts receivable balance at July 2, 2016 is not comparable to the net accounts receivable balance of $207.6 million at January 2, 2016.</w:t>
      </w:r>
    </w:p>
    <w:p>
      <w:pPr>
        <w:spacing w:after="0" w:line="17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Inventories at July 2, 2016 were $587.4 million compared to $544.3 million at July 4, 2015 and $469.9 million at January 2, 2016. The increase of $43.2 million, or 7.9%, at July 2, 2016 compared to July 4, 2015 primarily reflected business growth and the timing of strategic initiatives. Due to the seasonal nature of our operations, the inventories balance at July 2, 2016 is not comparable to the inventories balance of $469.9 million at January 2, 2016.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117" w:right="259" w:bottom="1440" w:gutter="0" w:footer="0" w:header="0"/>
        </w:sectPr>
      </w:pPr>
    </w:p>
    <w:bookmarkStart w:id="43" w:name="page44"/>
    <w:bookmarkEnd w:id="4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first two quarters of fiscal 2016 was $85.6 million compared to net cash provided by operating activities of $27.1 million in the first two quarters of fiscal 2015. This increase in operating cash flow primarily reflected an increase in net income and favorable movements in net working capital.</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Capital expenditures were $49.7 million in the first two quarters of fiscal 2016 compared to $50.3 million in the first two quarters of fiscal 2015, primarily reflecting 2016 expenditures of approximately $29.4 million for our U.S. and international retail store openings and re-modelings, $13.4 million for information technology initiatives, $4.4 million for distribution and office facilities, and $1.3 million for wholesale fixtures.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plan to invest approximately $110 million in total capital expenditures for all of fiscal 2016, primarily for our U.S. and international retail store openings and re-modelings, and information technology initiatives.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$213.6 million in the first two quarters of fiscal 2016 compared to $72.6 million in the first two quarters of fiscal 2015. This increase in fiscal 2016 primarily reflected increases in repurchases of our common stock and higher dividend payments.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REVOLVING CREDIT FACILITY</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secured revolving credit facility, which was amended and restated in September 2015, provides for (i) a $400 million U.S. dollar revolving facility (including a $175 million sub-limit for letters of credit and a swing line sub-limit of $50 million) available for borrowings in U.S. dollars and (ii) a $100 million multicurrency revolving facility (including a $40 million sub-limit for letters of credit and a swing line sub-limit of $15 million) available for borrowings denominated in U.S. dollars, Canadian dollars, Euros, Pounds Sterling, or other currencies agreed to by the applicable lenders. Our secured revolving credit facility also provides for incremental facilities in an aggregate amount not to exceed $250 million, either in the form of a commitment increase under the existing credit facility or the incurrence of one or more tranches of term loans (with the aggregate U.S. dollar amount not to exceed $200 million and the aggregate multicurrency amount not to exceed $50 million). Our secured revolving credit facility matures September 16, 2020.</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July 2, 2016, we had $185.7 million in outstanding borrowings under our secured revolving credit facility, exclusive of $4.8 million of outstanding letters of credit. As of July 2, 2016, approximately $309.4 million was available for future borrowing.</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interest rate margins applicable to our secured revolving credit facility are presently 1.375% for LIBOR rate loans (which may be adjusted based on a leverage-based pricing grid ranging from 1.125% to 1.875%) and 0.375% for base rate loans (which may be adjusted based on a leverage-based pricing grid ranging from 0.125% to 0.875%).</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of July 2, 2016, U.S. dollar borrowings outstanding under the secured revolving credit facility accrued interest at a LIBOR rate plus the applicable base rate, which was equal to 1.82% on that date, and Canadian borrowings accrued interest at a CDOR (Canadian Dollar Offered Rate) plus the applicable base rate, which was 2.26% on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2, 2016, we were in compliance with the financial and other covenants under our secured revolving credit facility.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July 2, 2016, our wholly-owned operating subsidiary The William Carter Company ("TWCC") had $400.0 million principal amount of senior notes outstanding, bearing interest at a fixed rate of 5.25% per annum, and maturing on August 15, 2021. On our consolidated balance sheet, the $400.0 million outstanding is reported net of $5.0 million, $5.5 million and $5.9 million unamortized issuance-related debt costs at July 2, 2016, January 2, 2016 and July 4, 2015, respectively. The senior notes are unsecured and are fully and unconditionally guaranteed by Carter's, Inc. and certain subsidiaries of TWCC.</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20"/>
          </w:cols>
          <w:pgMar w:left="240" w:top="117" w:right="339" w:bottom="1440" w:gutter="0" w:footer="0" w:header="0"/>
        </w:sectPr>
      </w:pPr>
    </w:p>
    <w:bookmarkStart w:id="44" w:name="page45"/>
    <w:bookmarkEnd w:id="4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AND RESULTS OF OPERATIONS (Continued)</w:t>
      </w:r>
    </w:p>
    <w:p>
      <w:pPr>
        <w:spacing w:after="0" w:line="200" w:lineRule="exact"/>
        <w:rPr>
          <w:sz w:val="20"/>
          <w:szCs w:val="20"/>
          <w:color w:val="auto"/>
        </w:rPr>
      </w:pPr>
    </w:p>
    <w:p>
      <w:pPr>
        <w:spacing w:after="0" w:line="25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February 24, 2016, our Board of Directors authorized a new $500 million share repurchase program, in addition to the amounts remaining under previous authorizations. In the first two quarters of fiscal 2016, the Company repurchased and retired 1,771,847 shares in open market transactions for approximately $180.2 million at an average price of $101.71 per share. In the first two quarters of fiscal 2015, the Company repurchased and retired 504,225 shares in open market transactions for approximately $48.9 million, at an average price of $96.97 per share.</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total remaining capacity under all remaining repurchase authorizations as of July 2, 2016 was approximately $394.6 million. Future repurchases may be made in the open market or in privately negotiated transactions, with the level and timing of activity being at management's discretion depending on market conditions, share price, other investment priorities, and other factors. The share repurchase authorizations have no expiration date.</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In the first and second quarters of fiscal 2016, we paid quarterly cash dividends of $0.33 per share in each quarter. In the first and second quarters of fiscal 2015, we paid quarterly cash dividends of $0.22 per share in each quarter. Future declarations of quarterly dividends and the establishment of future record and payment dates are at the discretion of our Board of Directors and will be based on a number of factors, including our future financial performance and other investment priorities.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disclosed in our most recent Annual Report on Form 10-K for the 2015 fiscal year ended January 2, 2016, provisions in our secured revolving credit facility and indenture governing our senior notes could have the effect of restricting our ability to pay future cash dividends on or make future repurchases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sales and profitability due to the timing of certain holidays and key retail shopping periods, which generally have resulted in declines in our net sales and gross profit in the first half of our fiscal year versus the second half. Accordingly, our results of operations during any interim period during the fiscal year may not be indicative of the results we expect for the full fiscal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U.S. GAAP.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18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 xml:space="preserve">Our critical accounting policies and estimates are described under the heading "Critical Accounting Policies and Estimates" in Item 7 of our most recent Annual Report on Form 10-K for the 2015 fiscal year ended January 2, 2016.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 except to update the Company's accounting policy for the measurement date used for defined benefit plan assets and obligations as disclosed in Note 8, </w:t>
      </w:r>
      <w:r>
        <w:rPr>
          <w:rFonts w:ascii="Times New Roman" w:cs="Times New Roman" w:eastAsia="Times New Roman" w:hAnsi="Times New Roman"/>
          <w:sz w:val="17"/>
          <w:szCs w:val="17"/>
          <w:i w:val="1"/>
          <w:iCs w:val="1"/>
          <w:color w:val="auto"/>
        </w:rPr>
        <w:t>Employee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Benefit Plans</w:t>
      </w:r>
      <w:r>
        <w:rPr>
          <w:rFonts w:ascii="Times New Roman" w:cs="Times New Roman" w:eastAsia="Times New Roman" w:hAnsi="Times New Roman"/>
          <w:sz w:val="17"/>
          <w:szCs w:val="17"/>
          <w:color w:val="auto"/>
        </w:rPr>
        <w:t>, to the accompanying unaudited condensed consolidated financial statements contained in Item 1 of this Quarterly Report on Form 10-Q.</w:t>
      </w:r>
    </w:p>
    <w:p>
      <w:pPr>
        <w:spacing w:after="0" w:line="170"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color w:val="auto"/>
        </w:rPr>
        <w:t xml:space="preserve">Additionally, information related to the pending adoption of recently issued accounting standards is provided in Note 15, </w:t>
      </w:r>
      <w:r>
        <w:rPr>
          <w:rFonts w:ascii="Times New Roman" w:cs="Times New Roman" w:eastAsia="Times New Roman" w:hAnsi="Times New Roman"/>
          <w:sz w:val="18"/>
          <w:szCs w:val="18"/>
          <w:i w:val="1"/>
          <w:iCs w:val="1"/>
          <w:color w:val="auto"/>
        </w:rPr>
        <w:t>Pending Adoption of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Pronouncements</w:t>
      </w:r>
      <w:r>
        <w:rPr>
          <w:rFonts w:ascii="Times New Roman" w:cs="Times New Roman" w:eastAsia="Times New Roman" w:hAnsi="Times New Roman"/>
          <w:sz w:val="18"/>
          <w:szCs w:val="18"/>
          <w:color w:val="auto"/>
        </w:rPr>
        <w:t>, to the accompanying unaudited condensed consolidated financial statements contained in Item 1 of this Quarterly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7" w:right="239" w:bottom="1440" w:gutter="0" w:footer="0" w:header="0"/>
        </w:sectPr>
      </w:pPr>
    </w:p>
    <w:bookmarkStart w:id="45" w:name="page46"/>
    <w:bookmarkEnd w:id="4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and Interest Rate Risks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operation of our business, we have market risk exposures including those related to foreign currency and interest rates. We employ various strategies to attempt to minimize or our exposure to these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of future currency fluctuations on our financial position, results of operations, or cash flows for future periods.</w:t>
      </w:r>
    </w:p>
    <w:p>
      <w:pPr>
        <w:spacing w:after="0" w:line="18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Fluctuations in exchange rates, primarily between the U.S. dollar and the Canadian dollar, may affect our results of operations, financial position, and cash flows. Transactions by our Canadian subsidiary may be denominated in a currency other than the entity's functional currency, which is the Canadian dollar. Foreign currency transaction gains and losses also include the impact of non-current intercompany loans with foreign subsidiaries that are marked to market. In our statement of operations, these gains and losses are recorded within Other expense, net.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overall strategy to manage the level of exposure to the risk of foreign currency exchange rate fluctuations, primarily between the U.S. dollar and Canadian dollar, our Canadian subsidiary may use foreign currency forward contracts to hedge purchases that are made in U.S. dollars, primarily for inventory purchases. As part of this strategy, we use foreign currency forward exchange contracts that have maturities of less than 12 months to provide continuing coverage throughout the hedging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operating results are subject to risk from interest rate fluctuations on our secured revolving credit facility, which carries variable interest rates. Our weighted-average variable rate borrowings outstanding as of July 2, 2016 were $185.7 million. An increase or decrease of 1% in the effective interest rate on that amount would increase or decrease our annual pre-tax interest expense by approximately $1.9 million.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July 2,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60" w:right="239" w:bottom="1440" w:gutter="0" w:footer="0" w:header="0"/>
        </w:sectPr>
      </w:pPr>
    </w:p>
    <w:bookmarkStart w:id="46" w:name="page47"/>
    <w:bookmarkEnd w:id="46"/>
    <w:p>
      <w:pPr>
        <w:ind w:right="4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controls over financial reporting during the second quarter of fiscal 2016 that have materially affected, or are reasonably likely to materially affect, the Company's internal control over financial reporting.</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described in our Form 10-K for the 2015 fiscal year ended January 2, 2016.</w:t>
      </w: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20"/>
          </w:cols>
          <w:pgMar w:left="240" w:top="364"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share repurchases during the second quarter of fiscal 2016:</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Approximate</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dollar value of shares</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Total number of</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that may</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Total number</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shares purchased as</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yet be</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of shares</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part of publicly</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purchased</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purchased</w:t>
            </w:r>
          </w:p>
        </w:tc>
        <w:tc>
          <w:tcPr>
            <w:tcW w:w="12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Average price paid</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announced plans or</w:t>
            </w: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under the plans</w:t>
            </w:r>
          </w:p>
        </w:tc>
      </w:tr>
      <w:tr>
        <w:trPr>
          <w:trHeight w:val="226"/>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12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per share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programs (2)</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programs (3)</w:t>
            </w:r>
          </w:p>
        </w:tc>
      </w:tr>
      <w:tr>
        <w:trPr>
          <w:trHeight w:val="29"/>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426"/>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April 3, 2016 through April 30, 2016</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576,310</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$103.92</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576,310</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$443,395,021</w:t>
            </w:r>
          </w:p>
        </w:tc>
      </w:tr>
      <w:tr>
        <w:trPr>
          <w:trHeight w:val="432"/>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May 1, 2016 through May 28, 2016</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242,497</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$102.95</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241,973</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$418,484,953</w:t>
            </w:r>
          </w:p>
        </w:tc>
      </w:tr>
      <w:tr>
        <w:trPr>
          <w:trHeight w:val="432"/>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May 29, 2016 through July 2, 2016</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231,200</w:t>
            </w:r>
          </w:p>
        </w:tc>
        <w:tc>
          <w:tcPr>
            <w:tcW w:w="18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$103.14</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231,200</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$394,638,362</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4"/>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Total</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1,050,007</w:t>
            </w: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1,049,483</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surrendered by our employees to satisfy required tax withholding upon the vesting of restricted stock awards. There were 524 shares surrendered between April 3, 2016 and July 2, 2016.</w:t>
      </w:r>
    </w:p>
    <w:p>
      <w:pPr>
        <w:spacing w:after="0" w:line="16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purchases during the second quarter of fiscal 2016 were made in compliance with all applicable rules and regulations and in accordance with the share repurchase authorizations described in Note 5 to our accompanying unaudited condensed consolidated financial statements included in Item 1 of this Quarterly Report on Form 10-Q.</w:t>
      </w:r>
    </w:p>
    <w:p>
      <w:pPr>
        <w:spacing w:after="0" w:line="176" w:lineRule="exact"/>
        <w:rPr>
          <w:rFonts w:ascii="Times New Roman" w:cs="Times New Roman" w:eastAsia="Times New Roman" w:hAnsi="Times New Roman"/>
          <w:sz w:val="18"/>
          <w:szCs w:val="18"/>
          <w:color w:val="auto"/>
        </w:rPr>
      </w:pPr>
    </w:p>
    <w:p>
      <w:pPr>
        <w:ind w:left="660" w:right="340" w:hanging="328"/>
        <w:spacing w:after="0" w:line="313" w:lineRule="auto"/>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24, 2016, our Board of Directors authorized a new $500 million share repurchase program. The new share repurchase authorization permits us to repurchase shares of our common stock up to $500 million, in addition to any amounts remaining under previous authorizations.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360"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800" w:type="dxa"/>
            <w:vAlign w:val="bottom"/>
          </w:tcPr>
          <w:p>
            <w:pPr>
              <w:spacing w:after="0"/>
              <w:rPr>
                <w:sz w:val="20"/>
                <w:szCs w:val="20"/>
                <w:color w:val="auto"/>
              </w:rPr>
            </w:pPr>
          </w:p>
        </w:tc>
      </w:tr>
      <w:tr>
        <w:trPr>
          <w:trHeight w:val="432"/>
        </w:trPr>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800" w:type="dxa"/>
            <w:vAlign w:val="bottom"/>
          </w:tcPr>
          <w:p>
            <w:pPr>
              <w:spacing w:after="0"/>
              <w:rPr>
                <w:sz w:val="24"/>
                <w:szCs w:val="24"/>
                <w:color w:val="auto"/>
              </w:rPr>
            </w:pPr>
          </w:p>
        </w:tc>
      </w:tr>
      <w:tr>
        <w:trPr>
          <w:trHeight w:val="338"/>
        </w:trPr>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0"/>
        </w:trPr>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529"/>
        </w:trPr>
        <w:tc>
          <w:tcPr>
            <w:tcW w:w="40" w:type="dxa"/>
            <w:vAlign w:val="bottom"/>
          </w:tcPr>
          <w:p>
            <w:pPr>
              <w:spacing w:after="0"/>
              <w:rPr>
                <w:sz w:val="24"/>
                <w:szCs w:val="24"/>
                <w:color w:val="auto"/>
              </w:rPr>
            </w:pPr>
          </w:p>
        </w:tc>
        <w:tc>
          <w:tcPr>
            <w:tcW w:w="12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3.1</w:t>
            </w:r>
          </w:p>
        </w:tc>
        <w:tc>
          <w:tcPr>
            <w:tcW w:w="360" w:type="dxa"/>
            <w:vAlign w:val="bottom"/>
          </w:tcPr>
          <w:p>
            <w:pPr>
              <w:spacing w:after="0"/>
              <w:rPr>
                <w:sz w:val="24"/>
                <w:szCs w:val="24"/>
                <w:color w:val="auto"/>
              </w:rPr>
            </w:pPr>
          </w:p>
        </w:tc>
        <w:tc>
          <w:tcPr>
            <w:tcW w:w="9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Certificate of Incorporation of Carter's, Inc., as amended on May 12, 2006 (incorporated by reference to Carter's, Inc.'s Quarterly</w:t>
            </w:r>
          </w:p>
        </w:tc>
      </w:tr>
      <w:tr>
        <w:trPr>
          <w:trHeight w:val="234"/>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Report on Form 10-Q filed on October 29, 2015).</w:t>
            </w:r>
          </w:p>
        </w:tc>
      </w:tr>
      <w:tr>
        <w:trPr>
          <w:trHeight w:val="252"/>
        </w:trPr>
        <w:tc>
          <w:tcPr>
            <w:tcW w:w="13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7"/>
              </w:rPr>
              <w:t>3.2</w:t>
            </w:r>
          </w:p>
        </w:tc>
        <w:tc>
          <w:tcPr>
            <w:tcW w:w="360" w:type="dxa"/>
            <w:vAlign w:val="bottom"/>
          </w:tcPr>
          <w:p>
            <w:pPr>
              <w:spacing w:after="0"/>
              <w:rPr>
                <w:sz w:val="21"/>
                <w:szCs w:val="21"/>
                <w:color w:val="auto"/>
              </w:rPr>
            </w:pPr>
          </w:p>
        </w:tc>
        <w:tc>
          <w:tcPr>
            <w:tcW w:w="9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Amended and Restated By-Laws of Carter's, Inc. (incorporated by reference to Exhibit 3.2 of Carter's, Inc.'s Current Report on Form</w:t>
            </w:r>
          </w:p>
        </w:tc>
      </w:tr>
      <w:tr>
        <w:trPr>
          <w:trHeight w:val="234"/>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8-K filed on August 26, 2015).</w:t>
            </w:r>
          </w:p>
        </w:tc>
      </w:tr>
      <w:tr>
        <w:trPr>
          <w:trHeight w:val="270"/>
        </w:trPr>
        <w:tc>
          <w:tcPr>
            <w:tcW w:w="13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23"/>
                <w:szCs w:val="23"/>
                <w:color w:val="auto"/>
              </w:rPr>
            </w:pPr>
          </w:p>
        </w:tc>
        <w:tc>
          <w:tcPr>
            <w:tcW w:w="9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Rule 13a-15(e)/15d-15(e) and 13a-15(f)/15d-15(f) Certification.</w:t>
            </w:r>
          </w:p>
        </w:tc>
      </w:tr>
      <w:tr>
        <w:trPr>
          <w:trHeight w:val="270"/>
        </w:trPr>
        <w:tc>
          <w:tcPr>
            <w:tcW w:w="130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23"/>
                <w:szCs w:val="23"/>
                <w:color w:val="auto"/>
              </w:rPr>
            </w:pPr>
          </w:p>
        </w:tc>
        <w:tc>
          <w:tcPr>
            <w:tcW w:w="9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Rule 13a-15(e)/15d-15(e) and 13a-15(f)/15d-15(f) Certification.</w:t>
            </w:r>
          </w:p>
        </w:tc>
      </w:tr>
      <w:tr>
        <w:trPr>
          <w:trHeight w:val="270"/>
        </w:trPr>
        <w:tc>
          <w:tcPr>
            <w:tcW w:w="13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9"/>
              </w:rPr>
              <w:t>32</w:t>
            </w:r>
          </w:p>
        </w:tc>
        <w:tc>
          <w:tcPr>
            <w:tcW w:w="360" w:type="dxa"/>
            <w:vAlign w:val="bottom"/>
          </w:tcPr>
          <w:p>
            <w:pPr>
              <w:spacing w:after="0"/>
              <w:rPr>
                <w:sz w:val="23"/>
                <w:szCs w:val="23"/>
                <w:color w:val="auto"/>
              </w:rPr>
            </w:pPr>
          </w:p>
        </w:tc>
        <w:tc>
          <w:tcPr>
            <w:tcW w:w="9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Section 1350 Certification.</w:t>
            </w:r>
          </w:p>
        </w:tc>
      </w:tr>
      <w:tr>
        <w:trPr>
          <w:trHeight w:val="270"/>
        </w:trPr>
        <w:tc>
          <w:tcPr>
            <w:tcW w:w="130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6"/>
              </w:rPr>
              <w:t>101</w:t>
            </w:r>
          </w:p>
        </w:tc>
        <w:tc>
          <w:tcPr>
            <w:tcW w:w="360" w:type="dxa"/>
            <w:vAlign w:val="bottom"/>
          </w:tcPr>
          <w:p>
            <w:pPr>
              <w:spacing w:after="0"/>
              <w:rPr>
                <w:sz w:val="23"/>
                <w:szCs w:val="23"/>
                <w:color w:val="auto"/>
              </w:rPr>
            </w:pPr>
          </w:p>
        </w:tc>
        <w:tc>
          <w:tcPr>
            <w:tcW w:w="9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Interactive Data File.</w:t>
            </w:r>
          </w:p>
        </w:tc>
      </w:tr>
      <w:tr>
        <w:trPr>
          <w:trHeight w:val="702"/>
        </w:trPr>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60" w:type="dxa"/>
            <w:vAlign w:val="bottom"/>
            <w:gridSpan w:val="3"/>
          </w:tcPr>
          <w:p>
            <w:pPr>
              <w:ind w:left="3960"/>
              <w:spacing w:after="0"/>
              <w:rPr>
                <w:sz w:val="20"/>
                <w:szCs w:val="20"/>
                <w:color w:val="auto"/>
              </w:rPr>
            </w:pPr>
            <w:r>
              <w:rPr>
                <w:rFonts w:ascii="Times New Roman" w:cs="Times New Roman" w:eastAsia="Times New Roman" w:hAnsi="Times New Roman"/>
                <w:sz w:val="18"/>
                <w:szCs w:val="18"/>
                <w:color w:val="auto"/>
              </w:rPr>
              <w:t>47</w:t>
            </w:r>
          </w:p>
        </w:tc>
      </w:tr>
    </w:tbl>
    <w:p>
      <w:pPr>
        <w:sectPr>
          <w:pgSz w:w="11900" w:h="16838" w:orient="portrait"/>
          <w:cols w:equalWidth="0" w:num="1">
            <w:col w:w="11320"/>
          </w:cols>
          <w:pgMar w:left="240" w:top="360" w:right="339" w:bottom="1440" w:gutter="0" w:footer="0" w:header="0"/>
        </w:sectPr>
      </w:pPr>
    </w:p>
    <w:bookmarkStart w:id="49" w:name="page50"/>
    <w:bookmarkEnd w:id="49"/>
    <w:p>
      <w:pPr>
        <w:ind w:left="508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their behalf by the undersigned, thereunto duly authorized.</w:t>
      </w:r>
    </w:p>
    <w:p>
      <w:pPr>
        <w:spacing w:after="0" w:line="37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300"/>
        <w:spacing w:after="0"/>
        <w:tabs>
          <w:tab w:leader="none" w:pos="6140" w:val="left"/>
        </w:tabs>
        <w:rPr>
          <w:sz w:val="20"/>
          <w:szCs w:val="20"/>
          <w:color w:val="auto"/>
        </w:rPr>
      </w:pPr>
      <w:r>
        <w:rPr>
          <w:rFonts w:ascii="Times New Roman" w:cs="Times New Roman" w:eastAsia="Times New Roman" w:hAnsi="Times New Roman"/>
          <w:sz w:val="18"/>
          <w:szCs w:val="18"/>
          <w:color w:val="auto"/>
        </w:rPr>
        <w:t>July 27, 2016</w:t>
      </w:r>
      <w:r>
        <w:rPr>
          <w:sz w:val="20"/>
          <w:szCs w:val="20"/>
          <w:color w:val="auto"/>
        </w:rPr>
        <w:tab/>
      </w:r>
      <w:r>
        <w:rPr>
          <w:rFonts w:ascii="Times New Roman" w:cs="Times New Roman" w:eastAsia="Times New Roman" w:hAnsi="Times New Roman"/>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34290</wp:posOffset>
            </wp:positionV>
            <wp:extent cx="26073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color w:val="auto"/>
        </w:rPr>
        <w:t>Michael D. Casey</w:t>
      </w:r>
    </w:p>
    <w:p>
      <w:pPr>
        <w:spacing w:after="0" w:line="61"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300"/>
        <w:spacing w:after="0"/>
        <w:tabs>
          <w:tab w:leader="none" w:pos="5740" w:val="left"/>
        </w:tabs>
        <w:rPr>
          <w:sz w:val="20"/>
          <w:szCs w:val="20"/>
          <w:color w:val="auto"/>
        </w:rPr>
      </w:pPr>
      <w:r>
        <w:rPr>
          <w:rFonts w:ascii="Times New Roman" w:cs="Times New Roman" w:eastAsia="Times New Roman" w:hAnsi="Times New Roman"/>
          <w:sz w:val="18"/>
          <w:szCs w:val="18"/>
          <w:color w:val="auto"/>
        </w:rPr>
        <w:t>July 27, 2016</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34290</wp:posOffset>
            </wp:positionV>
            <wp:extent cx="26073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84"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61"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6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500"/>
          </w:cols>
          <w:pgMar w:left="240" w:top="585" w:right="115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 Casey, certify that:</w:t>
      </w:r>
    </w:p>
    <w:p>
      <w:pPr>
        <w:spacing w:after="0" w:line="25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252"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300" w:right="300" w:firstLine="5"/>
        <w:spacing w:after="0" w:line="266" w:lineRule="auto"/>
        <w:tabs>
          <w:tab w:leader="none" w:pos="154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300" w:right="40" w:firstLine="5"/>
        <w:spacing w:after="0" w:line="266" w:lineRule="auto"/>
        <w:tabs>
          <w:tab w:leader="none" w:pos="15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right="160" w:firstLine="5"/>
        <w:spacing w:after="0" w:line="313" w:lineRule="auto"/>
        <w:tabs>
          <w:tab w:leader="none" w:pos="154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jc w:val="both"/>
        <w:ind w:left="1300" w:right="80" w:firstLine="5"/>
        <w:spacing w:after="0" w:line="266" w:lineRule="auto"/>
        <w:tabs>
          <w:tab w:leader="none" w:pos="15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380" w:firstLine="5"/>
        <w:spacing w:after="0" w:line="282" w:lineRule="auto"/>
        <w:tabs>
          <w:tab w:leader="none" w:pos="154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80" w:firstLine="5"/>
        <w:spacing w:after="0" w:line="282" w:lineRule="auto"/>
        <w:tabs>
          <w:tab w:leader="none" w:pos="15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60"/>
        <w:spacing w:after="0"/>
        <w:tabs>
          <w:tab w:leader="none" w:pos="6980" w:val="left"/>
        </w:tabs>
        <w:rPr>
          <w:sz w:val="20"/>
          <w:szCs w:val="20"/>
          <w:color w:val="auto"/>
        </w:rPr>
      </w:pPr>
      <w:r>
        <w:rPr>
          <w:rFonts w:ascii="Times New Roman" w:cs="Times New Roman" w:eastAsia="Times New Roman" w:hAnsi="Times New Roman"/>
          <w:sz w:val="18"/>
          <w:szCs w:val="18"/>
          <w:color w:val="auto"/>
        </w:rPr>
        <w:t>July 27, 2016</w:t>
      </w:r>
      <w:r>
        <w:rPr>
          <w:sz w:val="20"/>
          <w:szCs w:val="20"/>
          <w:color w:val="auto"/>
        </w:rPr>
        <w:tab/>
      </w:r>
      <w:r>
        <w:rPr>
          <w:rFonts w:ascii="Times New Roman" w:cs="Times New Roman" w:eastAsia="Times New Roman" w:hAnsi="Times New Roman"/>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18351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5150" cy="17145"/>
                    </a:xfrm>
                    <a:prstGeom prst="rect">
                      <a:avLst/>
                    </a:prstGeom>
                    <a:noFill/>
                  </pic:spPr>
                </pic:pic>
              </a:graphicData>
            </a:graphic>
          </wp:anchor>
        </w:drawing>
      </w:r>
    </w:p>
    <w:p>
      <w:pPr>
        <w:spacing w:after="0" w:line="7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color w:val="auto"/>
        </w:rPr>
        <w:t>Michael D. Casey</w:t>
      </w:r>
    </w:p>
    <w:p>
      <w:pPr>
        <w:spacing w:after="0" w:line="61"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337"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Westenberger, certify that:</w:t>
      </w:r>
    </w:p>
    <w:p>
      <w:pPr>
        <w:spacing w:after="0" w:line="25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Carter’s, Inc.;</w:t>
      </w:r>
    </w:p>
    <w:p>
      <w:pPr>
        <w:spacing w:after="0" w:line="252"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300" w:right="300" w:firstLine="5"/>
        <w:spacing w:after="0" w:line="266" w:lineRule="auto"/>
        <w:tabs>
          <w:tab w:leader="none" w:pos="15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300" w:right="40" w:firstLine="5"/>
        <w:spacing w:after="0" w:line="266" w:lineRule="auto"/>
        <w:tabs>
          <w:tab w:leader="none" w:pos="155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300" w:right="160" w:firstLine="5"/>
        <w:spacing w:after="0" w:line="313" w:lineRule="auto"/>
        <w:tabs>
          <w:tab w:leader="none" w:pos="154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Times New Roman" w:cs="Times New Roman" w:eastAsia="Times New Roman" w:hAnsi="Times New Roman"/>
          <w:sz w:val="17"/>
          <w:szCs w:val="17"/>
          <w:color w:val="auto"/>
        </w:rPr>
      </w:pPr>
    </w:p>
    <w:p>
      <w:pPr>
        <w:jc w:val="both"/>
        <w:ind w:left="1300" w:right="80" w:firstLine="5"/>
        <w:spacing w:after="0" w:line="266" w:lineRule="auto"/>
        <w:tabs>
          <w:tab w:leader="none" w:pos="155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380" w:firstLine="5"/>
        <w:spacing w:after="0" w:line="282" w:lineRule="auto"/>
        <w:tabs>
          <w:tab w:leader="none" w:pos="15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80" w:firstLine="5"/>
        <w:spacing w:after="0" w:line="282" w:lineRule="auto"/>
        <w:tabs>
          <w:tab w:leader="none" w:pos="155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960"/>
        <w:spacing w:after="0"/>
        <w:tabs>
          <w:tab w:leader="none" w:pos="6420" w:val="left"/>
        </w:tabs>
        <w:rPr>
          <w:sz w:val="20"/>
          <w:szCs w:val="20"/>
          <w:color w:val="auto"/>
        </w:rPr>
      </w:pPr>
      <w:r>
        <w:rPr>
          <w:rFonts w:ascii="Times New Roman" w:cs="Times New Roman" w:eastAsia="Times New Roman" w:hAnsi="Times New Roman"/>
          <w:sz w:val="18"/>
          <w:szCs w:val="18"/>
          <w:color w:val="auto"/>
        </w:rPr>
        <w:t>July 27, 2016</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21697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8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6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420"/>
          </w:cols>
          <w:pgMar w:left="240" w:top="243"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Each of the undersigned in the capacity indicated hereby certifies that, to his knowledge, this Report on Form 10-Q for the fiscal quarter ended July 2, 2016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60"/>
        <w:spacing w:after="0"/>
        <w:tabs>
          <w:tab w:leader="none" w:pos="6580" w:val="left"/>
        </w:tabs>
        <w:rPr>
          <w:sz w:val="20"/>
          <w:szCs w:val="20"/>
          <w:color w:val="auto"/>
        </w:rPr>
      </w:pPr>
      <w:r>
        <w:rPr>
          <w:rFonts w:ascii="Times New Roman" w:cs="Times New Roman" w:eastAsia="Times New Roman" w:hAnsi="Times New Roman"/>
          <w:sz w:val="18"/>
          <w:szCs w:val="18"/>
          <w:color w:val="auto"/>
        </w:rPr>
        <w:t>July 27, 2016</w:t>
      </w:r>
      <w:r>
        <w:rPr>
          <w:sz w:val="20"/>
          <w:szCs w:val="20"/>
          <w:color w:val="auto"/>
        </w:rPr>
        <w:tab/>
      </w:r>
      <w:r>
        <w:rPr>
          <w:rFonts w:ascii="Times New Roman" w:cs="Times New Roman" w:eastAsia="Times New Roman" w:hAnsi="Times New Roman"/>
          <w:sz w:val="18"/>
          <w:szCs w:val="18"/>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28473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84"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color w:val="auto"/>
        </w:rPr>
        <w:t>Michael D. Casey</w:t>
      </w:r>
    </w:p>
    <w:p>
      <w:pPr>
        <w:spacing w:after="0" w:line="61"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660"/>
        <w:spacing w:after="0"/>
        <w:tabs>
          <w:tab w:leader="none" w:pos="6180" w:val="left"/>
        </w:tabs>
        <w:rPr>
          <w:sz w:val="20"/>
          <w:szCs w:val="20"/>
          <w:color w:val="auto"/>
        </w:rPr>
      </w:pPr>
      <w:r>
        <w:rPr>
          <w:rFonts w:ascii="Times New Roman" w:cs="Times New Roman" w:eastAsia="Times New Roman" w:hAnsi="Times New Roman"/>
          <w:sz w:val="18"/>
          <w:szCs w:val="18"/>
          <w:color w:val="auto"/>
        </w:rPr>
        <w:t>July 27, 2016</w:t>
      </w:r>
      <w:r>
        <w:rPr>
          <w:sz w:val="20"/>
          <w:szCs w:val="20"/>
          <w:color w:val="auto"/>
        </w:rPr>
        <w:tab/>
      </w:r>
      <w:r>
        <w:rPr>
          <w:rFonts w:ascii="Times New Roman" w:cs="Times New Roman" w:eastAsia="Times New Roman" w:hAnsi="Times New Roman"/>
          <w:sz w:val="17"/>
          <w:szCs w:val="17"/>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28473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7340" cy="17145"/>
                    </a:xfrm>
                    <a:prstGeom prst="rect">
                      <a:avLst/>
                    </a:prstGeom>
                    <a:noFill/>
                  </pic:spPr>
                </pic:pic>
              </a:graphicData>
            </a:graphic>
          </wp:anchor>
        </w:drawing>
      </w:r>
    </w:p>
    <w:p>
      <w:pPr>
        <w:spacing w:after="0" w:line="8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Richard F. Westenberger</w:t>
      </w:r>
    </w:p>
    <w:p>
      <w:pPr>
        <w:spacing w:after="0" w:line="6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16">
    <w:nsid w:val="6763845E"/>
    <w:multiLevelType w:val="hybridMultilevel"/>
    <w:lvl w:ilvl="0">
      <w:lvlJc w:val="left"/>
      <w:lvlText w:val="(%1)"/>
      <w:numFmt w:val="lowerLetter"/>
      <w:start w:val="27"/>
    </w:lvl>
    <w:lvl w:ilvl="1">
      <w:lvlJc w:val="left"/>
      <w:lvlText w:val="•"/>
      <w:numFmt w:val="bullet"/>
      <w:start w:val="1"/>
    </w:lvl>
  </w:abstractNum>
  <w:abstractNum w:abstractNumId="17">
    <w:nsid w:val="75A2A8D4"/>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18">
    <w:nsid w:val="8EDBDAB"/>
    <w:multiLevelType w:val="hybridMultilevel"/>
    <w:lvl w:ilvl="0">
      <w:lvlJc w:val="left"/>
      <w:lvlText w:val="(%1)"/>
      <w:numFmt w:val="lowerLetter"/>
      <w:start w:val="28"/>
    </w:lvl>
    <w:lvl w:ilvl="1">
      <w:lvlJc w:val="left"/>
      <w:lvlText w:val="•"/>
      <w:numFmt w:val="bullet"/>
      <w:start w:val="1"/>
    </w:lvl>
    <w:lvl w:ilvl="2">
      <w:lvlJc w:val="left"/>
      <w:lvlText w:val="•"/>
      <w:numFmt w:val="bullet"/>
      <w:start w:val="1"/>
    </w:lvl>
  </w:abstractNum>
  <w:abstractNum w:abstractNumId="19">
    <w:nsid w:val="79838CB2"/>
    <w:multiLevelType w:val="hybridMultilevel"/>
    <w:lvl w:ilvl="0">
      <w:lvlJc w:val="left"/>
      <w:lvlText w:val="(%1)"/>
      <w:numFmt w:val="lowerLetter"/>
      <w:start w:val="3"/>
    </w:lvl>
    <w:lvl w:ilvl="1">
      <w:lvlJc w:val="left"/>
      <w:lvlText w:val="•"/>
      <w:numFmt w:val="bullet"/>
      <w:start w:val="1"/>
    </w:lvl>
    <w:lvl w:ilvl="2">
      <w:lvlJc w:val="left"/>
      <w:lvlText w:val="•"/>
      <w:numFmt w:val="bullet"/>
      <w:start w:val="1"/>
    </w:lvl>
  </w:abstractNum>
  <w:abstractNum w:abstractNumId="20">
    <w:nsid w:val="4353D0CD"/>
    <w:multiLevelType w:val="hybridMultilevel"/>
    <w:lvl w:ilvl="0">
      <w:lvlJc w:val="left"/>
      <w:lvlText w:val="(%1)"/>
      <w:numFmt w:val="lowerLetter"/>
      <w:start w:val="29"/>
    </w:lvl>
    <w:lvl w:ilvl="1">
      <w:lvlJc w:val="left"/>
      <w:lvlText w:val="•"/>
      <w:numFmt w:val="bullet"/>
      <w:start w:val="1"/>
    </w:lvl>
    <w:lvl w:ilvl="2">
      <w:lvlJc w:val="left"/>
      <w:lvlText w:val="•"/>
      <w:numFmt w:val="bullet"/>
      <w:start w:val="1"/>
    </w:lvl>
  </w:abstractNum>
  <w:abstractNum w:abstractNumId="21">
    <w:nsid w:val="B03E0C6"/>
    <w:multiLevelType w:val="hybridMultilevel"/>
    <w:lvl w:ilvl="0">
      <w:lvlJc w:val="left"/>
      <w:lvlText w:val="(%1)"/>
      <w:numFmt w:val="lowerLetter"/>
      <w:start w:val="4"/>
    </w:lvl>
    <w:lvl w:ilvl="1">
      <w:lvlJc w:val="left"/>
      <w:lvlText w:val="•"/>
      <w:numFmt w:val="bullet"/>
      <w:start w:val="1"/>
    </w:lvl>
    <w:lvl w:ilvl="2">
      <w:lvlJc w:val="left"/>
      <w:lvlText w:val="•"/>
      <w:numFmt w:val="bullet"/>
      <w:start w:val="1"/>
    </w:lvl>
  </w:abstractNum>
  <w:abstractNum w:abstractNumId="22">
    <w:nsid w:val="189A769B"/>
    <w:multiLevelType w:val="hybridMultilevel"/>
    <w:lvl w:ilvl="0">
      <w:lvlJc w:val="left"/>
      <w:lvlText w:val="(%1)"/>
      <w:numFmt w:val="lowerLetter"/>
      <w:start w:val="30"/>
    </w:lvl>
    <w:lvl w:ilvl="1">
      <w:lvlJc w:val="left"/>
      <w:lvlText w:val="•"/>
      <w:numFmt w:val="bullet"/>
      <w:start w:val="1"/>
    </w:lvl>
    <w:lvl w:ilvl="2">
      <w:lvlJc w:val="left"/>
      <w:lvlText w:val="•"/>
      <w:numFmt w:val="bullet"/>
      <w:start w:val="1"/>
    </w:lvl>
  </w:abstractNum>
  <w:abstractNum w:abstractNumId="23">
    <w:nsid w:val="54E49EB4"/>
    <w:multiLevelType w:val="hybridMultilevel"/>
    <w:lvl w:ilvl="0">
      <w:lvlJc w:val="left"/>
      <w:lvlText w:val="(%1)"/>
      <w:numFmt w:val="lowerLetter"/>
      <w:start w:val="5"/>
    </w:lvl>
    <w:lvl w:ilvl="1">
      <w:lvlJc w:val="left"/>
      <w:lvlText w:val="•"/>
      <w:numFmt w:val="bullet"/>
      <w:start w:val="1"/>
    </w:lvl>
    <w:lvl w:ilvl="2">
      <w:lvlJc w:val="left"/>
      <w:lvlText w:val="•"/>
      <w:numFmt w:val="bullet"/>
      <w:start w:val="1"/>
    </w:lvl>
  </w:abstractNum>
  <w:abstractNum w:abstractNumId="24">
    <w:nsid w:val="71F32454"/>
    <w:multiLevelType w:val="hybridMultilevel"/>
    <w:lvl w:ilvl="0">
      <w:lvlJc w:val="left"/>
      <w:lvlText w:val="(%1)"/>
      <w:numFmt w:val="lowerLetter"/>
      <w:start w:val="31"/>
    </w:lvl>
    <w:lvl w:ilvl="1">
      <w:lvlJc w:val="left"/>
      <w:lvlText w:val="•"/>
      <w:numFmt w:val="bullet"/>
      <w:start w:val="1"/>
    </w:lvl>
    <w:lvl w:ilvl="2">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2019-12-29T11:16:47Z</dcterms:created>
  <dcterms:modified xsi:type="dcterms:W3CDTF">2019-12-29T11:16:47Z</dcterms:modified>
</cp:coreProperties>
</file>