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jc w:val="center"/>
        <w:ind w:left="4200" w:right="1200" w:hanging="2871"/>
        <w:spacing w:after="0" w:line="482" w:lineRule="auto"/>
        <w:tabs>
          <w:tab w:leader="none" w:pos="1678" w:val="left"/>
        </w:tabs>
        <w:numPr>
          <w:ilvl w:val="1"/>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 For the quarterly period ended July 3, 2021</w:t>
      </w:r>
    </w:p>
    <w:p>
      <w:pPr>
        <w:ind w:left="5500"/>
        <w:spacing w:after="0"/>
        <w:rPr>
          <w:rFonts w:ascii="MS PGothic" w:cs="MS PGothic" w:eastAsia="MS PGothic" w:hAnsi="MS PGothic"/>
          <w:sz w:val="20"/>
          <w:szCs w:val="20"/>
          <w:color w:val="auto"/>
        </w:rPr>
      </w:pPr>
      <w:r>
        <w:rPr>
          <w:rFonts w:ascii="Arial" w:cs="Arial" w:eastAsia="Arial" w:hAnsi="Arial"/>
          <w:sz w:val="16"/>
          <w:szCs w:val="16"/>
          <w:b w:val="1"/>
          <w:bCs w:val="1"/>
          <w:color w:val="auto"/>
        </w:rPr>
        <w:t>OR</w:t>
      </w:r>
    </w:p>
    <w:p>
      <w:pPr>
        <w:spacing w:after="0" w:line="234" w:lineRule="exact"/>
        <w:rPr>
          <w:rFonts w:ascii="MS PGothic" w:cs="MS PGothic" w:eastAsia="MS PGothic" w:hAnsi="MS PGothic"/>
          <w:sz w:val="20"/>
          <w:szCs w:val="20"/>
          <w:color w:val="auto"/>
        </w:rPr>
      </w:pPr>
    </w:p>
    <w:p>
      <w:pPr>
        <w:ind w:left="3660" w:right="1160" w:hanging="2366"/>
        <w:spacing w:after="0" w:line="445" w:lineRule="auto"/>
        <w:tabs>
          <w:tab w:leader="none" w:pos="1709"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 __________</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Commission file number: 001-31829</w:t>
      </w:r>
    </w:p>
    <w:p>
      <w:pPr>
        <w:spacing w:after="0" w:line="16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CARTER’S, INC.</w:t>
      </w:r>
    </w:p>
    <w:p>
      <w:pPr>
        <w:spacing w:after="0" w:line="19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20"/>
          </w:cols>
          <w:pgMar w:left="320" w:top="1057" w:right="459" w:bottom="1440" w:gutter="0" w:footer="0" w:header="0"/>
        </w:sectPr>
      </w:pPr>
    </w:p>
    <w:p>
      <w:pPr>
        <w:spacing w:after="0" w:line="239"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980"/>
        <w:spacing w:after="0"/>
        <w:rPr>
          <w:sz w:val="20"/>
          <w:szCs w:val="20"/>
          <w:color w:val="auto"/>
        </w:rPr>
      </w:pPr>
      <w:r>
        <w:rPr>
          <w:rFonts w:ascii="Arial" w:cs="Arial" w:eastAsia="Arial" w:hAnsi="Arial"/>
          <w:sz w:val="15"/>
          <w:szCs w:val="15"/>
          <w:color w:val="auto"/>
        </w:rPr>
        <w:t>(State or other jurisdiction of</w:t>
      </w:r>
    </w:p>
    <w:p>
      <w:pPr>
        <w:spacing w:after="0" w:line="44" w:lineRule="exact"/>
        <w:rPr>
          <w:sz w:val="24"/>
          <w:szCs w:val="24"/>
          <w:color w:val="auto"/>
        </w:rPr>
      </w:pPr>
    </w:p>
    <w:p>
      <w:pPr>
        <w:ind w:left="19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13-3912933</w:t>
      </w:r>
    </w:p>
    <w:p>
      <w:pPr>
        <w:spacing w:after="0" w:line="36" w:lineRule="exact"/>
        <w:rPr>
          <w:sz w:val="24"/>
          <w:szCs w:val="24"/>
          <w:color w:val="auto"/>
        </w:rPr>
      </w:pPr>
    </w:p>
    <w:p>
      <w:pPr>
        <w:jc w:val="center"/>
        <w:ind w:right="1680"/>
        <w:spacing w:after="0"/>
        <w:rPr>
          <w:sz w:val="20"/>
          <w:szCs w:val="20"/>
          <w:color w:val="auto"/>
        </w:rPr>
      </w:pPr>
      <w:r>
        <w:rPr>
          <w:rFonts w:ascii="Arial" w:cs="Arial" w:eastAsia="Arial" w:hAnsi="Arial"/>
          <w:sz w:val="15"/>
          <w:szCs w:val="15"/>
          <w:color w:val="auto"/>
        </w:rPr>
        <w:t>(I.R.S. Employer Identification No.)</w:t>
      </w:r>
    </w:p>
    <w:p>
      <w:pPr>
        <w:spacing w:after="0" w:line="404" w:lineRule="exact"/>
        <w:rPr>
          <w:sz w:val="24"/>
          <w:szCs w:val="24"/>
          <w:color w:val="auto"/>
        </w:rPr>
      </w:pPr>
    </w:p>
    <w:p>
      <w:pPr>
        <w:sectPr>
          <w:pgSz w:w="11900" w:h="16838" w:orient="portrait"/>
          <w:cols w:equalWidth="0" w:num="2">
            <w:col w:w="6360" w:space="720"/>
            <w:col w:w="4040"/>
          </w:cols>
          <w:pgMar w:left="320" w:top="1057" w:right="459" w:bottom="1440" w:gutter="0" w:footer="0" w:header="0"/>
          <w:type w:val="continuous"/>
        </w:sectPr>
      </w:pP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Phipps Tower,</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3438 Peachtree Road NE, Suite 1800</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Atlanta, Georgia 30326</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8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(678) 791-1000</w:t>
      </w:r>
    </w:p>
    <w:p>
      <w:pPr>
        <w:spacing w:after="0" w:line="121"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410" w:type="dxa"/>
        <w:tblCellMar>
          <w:top w:w="0" w:type="dxa"/>
          <w:left w:w="0" w:type="dxa"/>
          <w:bottom w:w="0" w:type="dxa"/>
          <w:right w:w="0" w:type="dxa"/>
        </w:tblCellMar>
      </w:tblPr>
      <w:tr>
        <w:trPr>
          <w:trHeight w:val="227"/>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9"/>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5"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7" w:right="45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Arial" w:cs="Arial" w:eastAsia="Arial" w:hAnsi="Arial"/>
          <w:sz w:val="18"/>
          <w:szCs w:val="18"/>
          <w:color w:val="auto"/>
        </w:rPr>
        <w:t xml:space="preserve"> No x</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 of July 23, 2021, there were 44,011,080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643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9660" w:type="dxa"/>
            <w:vAlign w:val="bottom"/>
            <w:gridSpan w:val="29"/>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560" w:type="dxa"/>
            <w:vAlign w:val="bottom"/>
            <w:tcBorders>
              <w:bottom w:val="single" w:sz="8" w:color="auto"/>
            </w:tcBorders>
            <w:gridSpan w:val="5"/>
          </w:tcPr>
          <w:p>
            <w:pPr>
              <w:ind w:left="58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gridSpan w:val="29"/>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Item 1</w:t>
              </w:r>
            </w:hyperlink>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rPr>
              <w:t>Unaudited Condensed Consolidated Balance Sheets as of July 3, 2021, January 2, 2021 and June 27, 2020</w:t>
            </w:r>
          </w:p>
        </w:tc>
        <w:tc>
          <w:tcPr>
            <w:tcW w:w="820" w:type="dxa"/>
            <w:vAlign w:val="bottom"/>
            <w:gridSpan w:val="3"/>
          </w:tcPr>
          <w:p>
            <w:pPr>
              <w:jc w:val="center"/>
              <w:ind w:left="658"/>
              <w:spacing w:after="0" w:line="17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w w:val="93"/>
              </w:rPr>
              <w:t>Unaudited Condensed Consolidated Statements of Operations for the fiscal quarter and two fiscal quarters ended July 3,</w:t>
            </w:r>
          </w:p>
        </w:tc>
        <w:tc>
          <w:tcPr>
            <w:tcW w:w="820" w:type="dxa"/>
            <w:vAlign w:val="bottom"/>
            <w:gridSpan w:val="3"/>
            <w:vMerge w:val="restart"/>
            <w:shd w:val="clear" w:color="auto" w:fill="CCEEFF"/>
          </w:tcPr>
          <w:p>
            <w:pPr>
              <w:jc w:val="center"/>
              <w:ind w:left="658"/>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0000FF"/>
            </w:tcBorders>
            <w:gridSpan w:val="9"/>
            <w:shd w:val="clear" w:color="auto" w:fill="CCEEFF"/>
          </w:tcPr>
          <w:p>
            <w:pPr>
              <w:spacing w:after="0" w:line="142" w:lineRule="exact"/>
              <w:rPr>
                <w:sz w:val="20"/>
                <w:szCs w:val="20"/>
                <w:color w:val="auto"/>
              </w:rPr>
            </w:pPr>
            <w:r>
              <w:rPr>
                <w:rFonts w:ascii="Arial" w:cs="Arial" w:eastAsia="Arial" w:hAnsi="Arial"/>
                <w:sz w:val="16"/>
                <w:szCs w:val="16"/>
                <w:color w:val="0000FF"/>
                <w:w w:val="88"/>
              </w:rPr>
              <w:t>2021 and June 27, 2020</w:t>
            </w:r>
          </w:p>
        </w:tc>
        <w:tc>
          <w:tcPr>
            <w:tcW w:w="6240" w:type="dxa"/>
            <w:vAlign w:val="bottom"/>
            <w:tcBorders>
              <w:top w:val="single" w:sz="8" w:color="0000FF"/>
            </w:tcBorders>
            <w:gridSpan w:val="1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6"/>
              </w:rPr>
              <w:t>Unaudited Condensed Consolidated Statements of Comprehensive Income (Loss) for the fiscal quarter and two fiscal</w:t>
            </w:r>
          </w:p>
        </w:tc>
        <w:tc>
          <w:tcPr>
            <w:tcW w:w="820" w:type="dxa"/>
            <w:vAlign w:val="bottom"/>
            <w:gridSpan w:val="3"/>
            <w:vMerge w:val="restart"/>
          </w:tcPr>
          <w:p>
            <w:pPr>
              <w:jc w:val="center"/>
              <w:ind w:left="658"/>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3</w:t>
              </w:r>
            </w:hyperlink>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quarters ended July 3, 2021 and June 27, 2020</w:t>
            </w: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w w:val="94"/>
              </w:rPr>
              <w:t>Unaudited Condensed Consolidated Statements of Changes in Stockholders’ Equity for the fiscal quarters ended July 3,</w:t>
            </w:r>
          </w:p>
        </w:tc>
        <w:tc>
          <w:tcPr>
            <w:tcW w:w="820" w:type="dxa"/>
            <w:vAlign w:val="bottom"/>
            <w:gridSpan w:val="3"/>
            <w:vMerge w:val="restart"/>
            <w:shd w:val="clear" w:color="auto" w:fill="CCEEFF"/>
          </w:tcPr>
          <w:p>
            <w:pPr>
              <w:jc w:val="center"/>
              <w:ind w:left="658"/>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4</w:t>
              </w:r>
            </w:hyperlink>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3600" w:type="dxa"/>
            <w:vAlign w:val="bottom"/>
            <w:tcBorders>
              <w:top w:val="single" w:sz="8" w:color="0000FF"/>
            </w:tcBorders>
            <w:gridSpan w:val="13"/>
            <w:shd w:val="clear" w:color="auto" w:fill="CCEEFF"/>
          </w:tcPr>
          <w:p>
            <w:pPr>
              <w:spacing w:after="0" w:line="142" w:lineRule="exact"/>
              <w:rPr>
                <w:sz w:val="20"/>
                <w:szCs w:val="20"/>
                <w:color w:val="auto"/>
              </w:rPr>
            </w:pPr>
            <w:r>
              <w:rPr>
                <w:rFonts w:ascii="Arial" w:cs="Arial" w:eastAsia="Arial" w:hAnsi="Arial"/>
                <w:sz w:val="16"/>
                <w:szCs w:val="16"/>
                <w:color w:val="0000FF"/>
                <w:w w:val="91"/>
              </w:rPr>
              <w:t>2021, April 3, 2021, June 27, 2020 and March 28, 2020</w:t>
            </w:r>
          </w:p>
        </w:tc>
        <w:tc>
          <w:tcPr>
            <w:tcW w:w="4140" w:type="dxa"/>
            <w:vAlign w:val="bottom"/>
            <w:tcBorders>
              <w:top w:val="single" w:sz="8" w:color="0000FF"/>
            </w:tcBorders>
            <w:gridSpan w:val="7"/>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1"/>
              </w:rPr>
              <w:t>Unaudited Condensed Consolidated Statements of Cash Flows for the two fiscal quarters ended July 3, 2021 and June 27,</w:t>
            </w:r>
          </w:p>
        </w:tc>
        <w:tc>
          <w:tcPr>
            <w:tcW w:w="820" w:type="dxa"/>
            <w:vAlign w:val="bottom"/>
            <w:gridSpan w:val="3"/>
            <w:vMerge w:val="restart"/>
          </w:tcPr>
          <w:p>
            <w:pPr>
              <w:jc w:val="center"/>
              <w:ind w:left="658"/>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5</w:t>
              </w:r>
            </w:hyperlink>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2020</w:t>
            </w: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Notes to the Unaudited Condensed Consolidated Financial Statements</w:t>
              </w:r>
            </w:hyperlink>
          </w:p>
        </w:tc>
        <w:tc>
          <w:tcPr>
            <w:tcW w:w="820" w:type="dxa"/>
            <w:vAlign w:val="bottom"/>
            <w:gridSpan w:val="3"/>
            <w:shd w:val="clear" w:color="auto" w:fill="CCEEFF"/>
          </w:tcPr>
          <w:p>
            <w:pPr>
              <w:jc w:val="center"/>
              <w:ind w:left="658"/>
              <w:spacing w:after="0" w:line="175" w:lineRule="exact"/>
              <w:rPr>
                <w:rFonts w:ascii="Arial" w:cs="Arial" w:eastAsia="Arial" w:hAnsi="Arial"/>
                <w:sz w:val="16"/>
                <w:szCs w:val="16"/>
                <w:color w:val="0000FF"/>
                <w:w w:val="89"/>
              </w:rPr>
            </w:pPr>
            <w:hyperlink w:anchor="page8">
              <w:r>
                <w:rPr>
                  <w:rFonts w:ascii="Arial" w:cs="Arial" w:eastAsia="Arial" w:hAnsi="Arial"/>
                  <w:sz w:val="16"/>
                  <w:szCs w:val="16"/>
                  <w:color w:val="0000FF"/>
                  <w:w w:val="89"/>
                </w:rPr>
                <w:t>6</w:t>
              </w:r>
            </w:hyperlink>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Item 2</w:t>
              </w:r>
            </w:hyperlink>
          </w:p>
        </w:tc>
        <w:tc>
          <w:tcPr>
            <w:tcW w:w="8000" w:type="dxa"/>
            <w:vAlign w:val="bottom"/>
            <w:gridSpan w:val="23"/>
          </w:tcPr>
          <w:p>
            <w:pPr>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Management’s Discussion and Analysis of Financial Condition and Results of Operations</w:t>
              </w:r>
            </w:hyperlink>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19">
              <w:r>
                <w:rPr>
                  <w:rFonts w:ascii="Arial" w:cs="Arial" w:eastAsia="Arial" w:hAnsi="Arial"/>
                  <w:sz w:val="16"/>
                  <w:szCs w:val="16"/>
                  <w:color w:val="0000FF"/>
                  <w:w w:val="89"/>
                </w:rPr>
                <w:t>16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2">
              <w:r>
                <w:rPr>
                  <w:rFonts w:ascii="Arial" w:cs="Arial" w:eastAsia="Arial" w:hAnsi="Arial"/>
                  <w:sz w:val="16"/>
                  <w:szCs w:val="16"/>
                  <w:color w:val="0000FF"/>
                  <w:w w:val="89"/>
                </w:rPr>
                <w:t>Item 3</w:t>
              </w:r>
            </w:hyperlink>
          </w:p>
        </w:tc>
        <w:tc>
          <w:tcPr>
            <w:tcW w:w="640" w:type="dxa"/>
            <w:vAlign w:val="bottom"/>
            <w:gridSpan w:val="3"/>
            <w:shd w:val="clear" w:color="auto" w:fill="CCEEFF"/>
          </w:tcPr>
          <w:p>
            <w:pPr>
              <w:spacing w:after="0"/>
              <w:rPr>
                <w:sz w:val="15"/>
                <w:szCs w:val="15"/>
                <w:color w:val="auto"/>
              </w:rPr>
            </w:pPr>
          </w:p>
        </w:tc>
        <w:tc>
          <w:tcPr>
            <w:tcW w:w="3880" w:type="dxa"/>
            <w:vAlign w:val="bottom"/>
            <w:gridSpan w:val="14"/>
            <w:shd w:val="clear" w:color="auto" w:fill="CCEEFF"/>
          </w:tcPr>
          <w:p>
            <w:pPr>
              <w:spacing w:after="0" w:line="175" w:lineRule="exact"/>
              <w:rPr>
                <w:rFonts w:ascii="Arial" w:cs="Arial" w:eastAsia="Arial" w:hAnsi="Arial"/>
                <w:sz w:val="16"/>
                <w:szCs w:val="16"/>
                <w:color w:val="0000FF"/>
                <w:w w:val="92"/>
              </w:rPr>
            </w:pPr>
            <w:hyperlink w:anchor="page32">
              <w:r>
                <w:rPr>
                  <w:rFonts w:ascii="Arial" w:cs="Arial" w:eastAsia="Arial" w:hAnsi="Arial"/>
                  <w:sz w:val="16"/>
                  <w:szCs w:val="16"/>
                  <w:color w:val="0000FF"/>
                  <w:w w:val="92"/>
                </w:rPr>
                <w:t>Quantitative and Qualitative Disclosures about Market Risk</w:t>
              </w:r>
            </w:hyperlink>
          </w:p>
        </w:tc>
        <w:tc>
          <w:tcPr>
            <w:tcW w:w="4120" w:type="dxa"/>
            <w:vAlign w:val="bottom"/>
            <w:gridSpan w:val="9"/>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2">
              <w:r>
                <w:rPr>
                  <w:rFonts w:ascii="Arial" w:cs="Arial" w:eastAsia="Arial" w:hAnsi="Arial"/>
                  <w:sz w:val="16"/>
                  <w:szCs w:val="16"/>
                  <w:color w:val="0000FF"/>
                  <w:w w:val="89"/>
                </w:rPr>
                <w:t>29</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rFonts w:ascii="Arial" w:cs="Arial" w:eastAsia="Arial" w:hAnsi="Arial"/>
                <w:sz w:val="16"/>
                <w:szCs w:val="16"/>
                <w:color w:val="0000FF"/>
                <w:w w:val="89"/>
              </w:rPr>
            </w:pPr>
            <w:hyperlink w:anchor="page33">
              <w:r>
                <w:rPr>
                  <w:rFonts w:ascii="Arial" w:cs="Arial" w:eastAsia="Arial" w:hAnsi="Arial"/>
                  <w:sz w:val="16"/>
                  <w:szCs w:val="16"/>
                  <w:color w:val="0000FF"/>
                  <w:w w:val="89"/>
                </w:rPr>
                <w:t>Item 4</w:t>
              </w:r>
            </w:hyperlink>
          </w:p>
        </w:tc>
        <w:tc>
          <w:tcPr>
            <w:tcW w:w="640" w:type="dxa"/>
            <w:vAlign w:val="bottom"/>
            <w:gridSpan w:val="3"/>
          </w:tcPr>
          <w:p>
            <w:pPr>
              <w:spacing w:after="0"/>
              <w:rPr>
                <w:sz w:val="15"/>
                <w:szCs w:val="15"/>
                <w:color w:val="auto"/>
              </w:rPr>
            </w:pPr>
          </w:p>
        </w:tc>
        <w:tc>
          <w:tcPr>
            <w:tcW w:w="3880" w:type="dxa"/>
            <w:vAlign w:val="bottom"/>
            <w:gridSpan w:val="14"/>
          </w:tcPr>
          <w:p>
            <w:pP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Controls and Procedures</w:t>
              </w:r>
            </w:hyperlink>
          </w:p>
        </w:tc>
        <w:tc>
          <w:tcPr>
            <w:tcW w:w="412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3">
              <w:r>
                <w:rPr>
                  <w:rFonts w:ascii="Arial" w:cs="Arial" w:eastAsia="Arial" w:hAnsi="Arial"/>
                  <w:sz w:val="16"/>
                  <w:szCs w:val="16"/>
                  <w:color w:val="0000FF"/>
                  <w:w w:val="89"/>
                </w:rPr>
                <w:t>30</w:t>
              </w:r>
            </w:hyperlink>
          </w:p>
        </w:tc>
        <w:tc>
          <w:tcPr>
            <w:tcW w:w="0" w:type="dxa"/>
            <w:vAlign w:val="bottom"/>
          </w:tcPr>
          <w:p>
            <w:pPr>
              <w:spacing w:after="0"/>
              <w:rPr>
                <w:sz w:val="1"/>
                <w:szCs w:val="1"/>
                <w:color w:val="auto"/>
              </w:rPr>
            </w:pPr>
          </w:p>
        </w:tc>
      </w:tr>
      <w:tr>
        <w:trPr>
          <w:trHeight w:val="55"/>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2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38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29"/>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Item 1</w:t>
              </w:r>
            </w:hyperlink>
          </w:p>
        </w:tc>
        <w:tc>
          <w:tcPr>
            <w:tcW w:w="640" w:type="dxa"/>
            <w:vAlign w:val="bottom"/>
            <w:gridSpan w:val="3"/>
            <w:shd w:val="clear" w:color="auto" w:fill="CCEEFF"/>
          </w:tcPr>
          <w:p>
            <w:pPr>
              <w:spacing w:after="0"/>
              <w:rPr>
                <w:sz w:val="15"/>
                <w:szCs w:val="15"/>
                <w:color w:val="auto"/>
              </w:rPr>
            </w:pPr>
          </w:p>
        </w:tc>
        <w:tc>
          <w:tcPr>
            <w:tcW w:w="1200" w:type="dxa"/>
            <w:vAlign w:val="bottom"/>
            <w:gridSpan w:val="7"/>
            <w:shd w:val="clear" w:color="auto" w:fill="CCEEFF"/>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Legal Proceedings</w:t>
              </w:r>
            </w:hyperlink>
          </w:p>
        </w:tc>
        <w:tc>
          <w:tcPr>
            <w:tcW w:w="6800" w:type="dxa"/>
            <w:vAlign w:val="bottom"/>
            <w:gridSpan w:val="16"/>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Item 1A</w:t>
              </w:r>
            </w:hyperlink>
          </w:p>
        </w:tc>
        <w:tc>
          <w:tcPr>
            <w:tcW w:w="8000" w:type="dxa"/>
            <w:vAlign w:val="bottom"/>
            <w:gridSpan w:val="23"/>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Risk Factors</w:t>
              </w:r>
            </w:hyperlink>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Item 2</w:t>
              </w:r>
            </w:hyperlink>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Unregistered Sales of Equity Securities and Use of Proceeds</w:t>
              </w:r>
            </w:hyperlink>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Item 3</w:t>
              </w:r>
            </w:hyperlink>
          </w:p>
        </w:tc>
        <w:tc>
          <w:tcPr>
            <w:tcW w:w="640" w:type="dxa"/>
            <w:vAlign w:val="bottom"/>
            <w:gridSpan w:val="3"/>
          </w:tcPr>
          <w:p>
            <w:pPr>
              <w:spacing w:after="0"/>
              <w:rPr>
                <w:sz w:val="15"/>
                <w:szCs w:val="15"/>
                <w:color w:val="auto"/>
              </w:rPr>
            </w:pPr>
          </w:p>
        </w:tc>
        <w:tc>
          <w:tcPr>
            <w:tcW w:w="3900" w:type="dxa"/>
            <w:vAlign w:val="bottom"/>
            <w:gridSpan w:val="15"/>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Defaults upon Senior Securities</w:t>
              </w:r>
            </w:hyperlink>
          </w:p>
        </w:tc>
        <w:tc>
          <w:tcPr>
            <w:tcW w:w="4100" w:type="dxa"/>
            <w:vAlign w:val="bottom"/>
            <w:gridSpan w:val="8"/>
          </w:tcPr>
          <w:p>
            <w:pPr>
              <w:spacing w:after="0"/>
              <w:rPr>
                <w:sz w:val="15"/>
                <w:szCs w:val="15"/>
                <w:color w:val="auto"/>
              </w:rPr>
            </w:pPr>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Item 4</w:t>
              </w:r>
            </w:hyperlink>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Mine Safety Disclosures</w:t>
              </w:r>
            </w:hyperlink>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Item 5</w:t>
              </w:r>
            </w:hyperlink>
          </w:p>
        </w:tc>
        <w:tc>
          <w:tcPr>
            <w:tcW w:w="640" w:type="dxa"/>
            <w:vAlign w:val="bottom"/>
            <w:gridSpan w:val="3"/>
          </w:tcPr>
          <w:p>
            <w:pPr>
              <w:spacing w:after="0"/>
              <w:rPr>
                <w:sz w:val="15"/>
                <w:szCs w:val="15"/>
                <w:color w:val="auto"/>
              </w:rPr>
            </w:pPr>
          </w:p>
        </w:tc>
        <w:tc>
          <w:tcPr>
            <w:tcW w:w="1580" w:type="dxa"/>
            <w:vAlign w:val="bottom"/>
            <w:gridSpan w:val="10"/>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Other Information</w:t>
              </w:r>
            </w:hyperlink>
          </w:p>
        </w:tc>
        <w:tc>
          <w:tcPr>
            <w:tcW w:w="6420" w:type="dxa"/>
            <w:vAlign w:val="bottom"/>
            <w:gridSpan w:val="13"/>
          </w:tcPr>
          <w:p>
            <w:pPr>
              <w:spacing w:after="0"/>
              <w:rPr>
                <w:sz w:val="15"/>
                <w:szCs w:val="15"/>
                <w:color w:val="auto"/>
              </w:rPr>
            </w:pPr>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Item 6</w:t>
              </w:r>
            </w:hyperlink>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Exhibits</w:t>
              </w:r>
            </w:hyperlink>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Signatures</w:t>
              </w:r>
            </w:hyperlink>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Certifications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4"/>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80" w:type="dxa"/>
            <w:vAlign w:val="bottom"/>
            <w:tcBorders>
              <w:top w:val="single" w:sz="8" w:color="CCEEFF"/>
              <w:bottom w:val="single" w:sz="8" w:color="9A9A9A"/>
            </w:tcBorders>
          </w:tcPr>
          <w:p>
            <w:pPr>
              <w:spacing w:after="0"/>
              <w:rPr>
                <w:sz w:val="24"/>
                <w:szCs w:val="24"/>
                <w:color w:val="auto"/>
              </w:rPr>
            </w:pPr>
          </w:p>
        </w:tc>
        <w:tc>
          <w:tcPr>
            <w:tcW w:w="104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July 3, 2021</w:t>
            </w:r>
          </w:p>
        </w:tc>
        <w:tc>
          <w:tcPr>
            <w:tcW w:w="24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5"/>
                <w:szCs w:val="15"/>
                <w:b w:val="1"/>
                <w:bCs w:val="1"/>
                <w:color w:val="auto"/>
              </w:rPr>
              <w:t>January 2, 2021</w:t>
            </w:r>
          </w:p>
        </w:tc>
        <w:tc>
          <w:tcPr>
            <w:tcW w:w="280" w:type="dxa"/>
            <w:vAlign w:val="bottom"/>
          </w:tcPr>
          <w:p>
            <w:pPr>
              <w:spacing w:after="0"/>
              <w:rPr>
                <w:sz w:val="17"/>
                <w:szCs w:val="17"/>
                <w:color w:val="auto"/>
              </w:rPr>
            </w:pPr>
          </w:p>
        </w:tc>
        <w:tc>
          <w:tcPr>
            <w:tcW w:w="158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27, 2020</w:t>
            </w:r>
          </w:p>
        </w:tc>
        <w:tc>
          <w:tcPr>
            <w:tcW w:w="0" w:type="dxa"/>
            <w:vAlign w:val="bottom"/>
          </w:tcPr>
          <w:p>
            <w:pPr>
              <w:spacing w:after="0"/>
              <w:rPr>
                <w:sz w:val="1"/>
                <w:szCs w:val="1"/>
                <w:color w:val="auto"/>
              </w:rPr>
            </w:pPr>
          </w:p>
        </w:tc>
      </w:tr>
      <w:tr>
        <w:trPr>
          <w:trHeight w:val="187"/>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3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1,120,901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1,102,323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1,000,581</w:t>
            </w:r>
          </w:p>
        </w:tc>
        <w:tc>
          <w:tcPr>
            <w:tcW w:w="0" w:type="dxa"/>
            <w:vAlign w:val="bottom"/>
          </w:tcPr>
          <w:p>
            <w:pPr>
              <w:spacing w:after="0"/>
              <w:rPr>
                <w:sz w:val="1"/>
                <w:szCs w:val="1"/>
                <w:color w:val="auto"/>
              </w:rPr>
            </w:pPr>
          </w:p>
        </w:tc>
      </w:tr>
      <w:tr>
        <w:trPr>
          <w:trHeight w:val="149"/>
        </w:trPr>
        <w:tc>
          <w:tcPr>
            <w:tcW w:w="5400" w:type="dxa"/>
            <w:vAlign w:val="bottom"/>
          </w:tcPr>
          <w:p>
            <w:pPr>
              <w:ind w:left="120"/>
              <w:spacing w:after="0" w:line="149" w:lineRule="exact"/>
              <w:rPr>
                <w:sz w:val="20"/>
                <w:szCs w:val="20"/>
                <w:color w:val="auto"/>
              </w:rPr>
            </w:pPr>
            <w:r>
              <w:rPr>
                <w:rFonts w:ascii="Arial" w:cs="Arial" w:eastAsia="Arial" w:hAnsi="Arial"/>
                <w:sz w:val="15"/>
                <w:szCs w:val="15"/>
                <w:color w:val="auto"/>
                <w:w w:val="92"/>
              </w:rPr>
              <w:t>Accounts receivable, net of allowance for credit losses of $7,130, $5,940, and $9,242,</w:t>
            </w:r>
          </w:p>
        </w:tc>
        <w:tc>
          <w:tcPr>
            <w:tcW w:w="320" w:type="dxa"/>
            <w:vAlign w:val="bottom"/>
          </w:tcPr>
          <w:p>
            <w:pPr>
              <w:spacing w:after="0"/>
              <w:rPr>
                <w:sz w:val="12"/>
                <w:szCs w:val="12"/>
                <w:color w:val="auto"/>
              </w:rPr>
            </w:pPr>
          </w:p>
        </w:tc>
        <w:tc>
          <w:tcPr>
            <w:tcW w:w="1540" w:type="dxa"/>
            <w:vAlign w:val="bottom"/>
            <w:vMerge w:val="restart"/>
          </w:tcPr>
          <w:p>
            <w:pPr>
              <w:jc w:val="right"/>
              <w:ind w:right="4"/>
              <w:spacing w:after="0"/>
              <w:rPr>
                <w:sz w:val="20"/>
                <w:szCs w:val="20"/>
                <w:color w:val="auto"/>
              </w:rPr>
            </w:pPr>
            <w:r>
              <w:rPr>
                <w:rFonts w:ascii="Arial" w:cs="Arial" w:eastAsia="Arial" w:hAnsi="Arial"/>
                <w:sz w:val="15"/>
                <w:szCs w:val="15"/>
                <w:color w:val="auto"/>
              </w:rPr>
              <w:t>163,957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restart"/>
          </w:tcPr>
          <w:p>
            <w:pPr>
              <w:jc w:val="right"/>
              <w:ind w:right="4"/>
              <w:spacing w:after="0"/>
              <w:rPr>
                <w:sz w:val="20"/>
                <w:szCs w:val="20"/>
                <w:color w:val="auto"/>
              </w:rPr>
            </w:pPr>
            <w:r>
              <w:rPr>
                <w:rFonts w:ascii="Arial" w:cs="Arial" w:eastAsia="Arial" w:hAnsi="Arial"/>
                <w:sz w:val="15"/>
                <w:szCs w:val="15"/>
                <w:color w:val="auto"/>
              </w:rPr>
              <w:t>186,512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165,578</w:t>
            </w:r>
          </w:p>
        </w:tc>
        <w:tc>
          <w:tcPr>
            <w:tcW w:w="0" w:type="dxa"/>
            <w:vAlign w:val="bottom"/>
          </w:tcPr>
          <w:p>
            <w:pPr>
              <w:spacing w:after="0"/>
              <w:rPr>
                <w:sz w:val="1"/>
                <w:szCs w:val="1"/>
                <w:color w:val="auto"/>
              </w:rPr>
            </w:pPr>
          </w:p>
        </w:tc>
      </w:tr>
      <w:tr>
        <w:trPr>
          <w:trHeight w:val="198"/>
        </w:trPr>
        <w:tc>
          <w:tcPr>
            <w:tcW w:w="5400" w:type="dxa"/>
            <w:vAlign w:val="bottom"/>
          </w:tcPr>
          <w:p>
            <w:pPr>
              <w:ind w:left="120"/>
              <w:spacing w:after="0"/>
              <w:rPr>
                <w:sz w:val="20"/>
                <w:szCs w:val="20"/>
                <w:color w:val="auto"/>
              </w:rPr>
            </w:pPr>
            <w:r>
              <w:rPr>
                <w:rFonts w:ascii="Arial" w:cs="Arial" w:eastAsia="Arial" w:hAnsi="Arial"/>
                <w:sz w:val="15"/>
                <w:szCs w:val="15"/>
                <w:color w:val="auto"/>
              </w:rPr>
              <w:t>respectively</w:t>
            </w:r>
          </w:p>
        </w:tc>
        <w:tc>
          <w:tcPr>
            <w:tcW w:w="3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00" w:type="dxa"/>
            <w:vAlign w:val="bottom"/>
            <w:shd w:val="clear" w:color="auto" w:fill="CCEEFF"/>
          </w:tcPr>
          <w:p>
            <w:pPr>
              <w:ind w:left="120"/>
              <w:spacing w:after="0" w:line="153" w:lineRule="exact"/>
              <w:rPr>
                <w:sz w:val="20"/>
                <w:szCs w:val="20"/>
                <w:color w:val="auto"/>
              </w:rPr>
            </w:pPr>
            <w:r>
              <w:rPr>
                <w:rFonts w:ascii="Arial" w:cs="Arial" w:eastAsia="Arial" w:hAnsi="Arial"/>
                <w:sz w:val="15"/>
                <w:szCs w:val="15"/>
                <w:color w:val="auto"/>
              </w:rPr>
              <w:t>Finished goods inventories, net of inventory reserves of $15,726, $14,206, and</w:t>
            </w:r>
          </w:p>
        </w:tc>
        <w:tc>
          <w:tcPr>
            <w:tcW w:w="32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619,617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599,262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672,205</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$32,092, respectively</w:t>
            </w:r>
          </w:p>
        </w:tc>
        <w:tc>
          <w:tcPr>
            <w:tcW w:w="32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66,549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57,927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51,180</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current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1,971,024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1,946,024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1,889,544</w:t>
            </w: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5"/>
                <w:szCs w:val="15"/>
                <w:color w:val="auto"/>
              </w:rPr>
              <w:t>Property, plant, and equipment, net of accumulated depreciation of $545,702,</w:t>
            </w:r>
          </w:p>
        </w:tc>
        <w:tc>
          <w:tcPr>
            <w:tcW w:w="320" w:type="dxa"/>
            <w:vAlign w:val="bottom"/>
          </w:tcPr>
          <w:p>
            <w:pPr>
              <w:spacing w:after="0"/>
              <w:rPr>
                <w:sz w:val="12"/>
                <w:szCs w:val="12"/>
                <w:color w:val="auto"/>
              </w:rPr>
            </w:pPr>
          </w:p>
        </w:tc>
        <w:tc>
          <w:tcPr>
            <w:tcW w:w="1540" w:type="dxa"/>
            <w:vAlign w:val="bottom"/>
            <w:vMerge w:val="restart"/>
          </w:tcPr>
          <w:p>
            <w:pPr>
              <w:jc w:val="right"/>
              <w:ind w:right="4"/>
              <w:spacing w:after="0"/>
              <w:rPr>
                <w:sz w:val="20"/>
                <w:szCs w:val="20"/>
                <w:color w:val="auto"/>
              </w:rPr>
            </w:pPr>
            <w:r>
              <w:rPr>
                <w:rFonts w:ascii="Arial" w:cs="Arial" w:eastAsia="Arial" w:hAnsi="Arial"/>
                <w:sz w:val="15"/>
                <w:szCs w:val="15"/>
                <w:color w:val="auto"/>
              </w:rPr>
              <w:t>231,944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restart"/>
          </w:tcPr>
          <w:p>
            <w:pPr>
              <w:jc w:val="right"/>
              <w:ind w:right="4"/>
              <w:spacing w:after="0"/>
              <w:rPr>
                <w:sz w:val="20"/>
                <w:szCs w:val="20"/>
                <w:color w:val="auto"/>
              </w:rPr>
            </w:pPr>
            <w:r>
              <w:rPr>
                <w:rFonts w:ascii="Arial" w:cs="Arial" w:eastAsia="Arial" w:hAnsi="Arial"/>
                <w:sz w:val="15"/>
                <w:szCs w:val="15"/>
                <w:color w:val="auto"/>
              </w:rPr>
              <w:t>262,345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287,941</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$583,980, and $559,142, respectively</w:t>
            </w:r>
          </w:p>
        </w:tc>
        <w:tc>
          <w:tcPr>
            <w:tcW w:w="3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527,121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593,008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648,505</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Tradenames, net</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307,768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307,893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308,017</w:t>
            </w:r>
          </w:p>
        </w:tc>
        <w:tc>
          <w:tcPr>
            <w:tcW w:w="0" w:type="dxa"/>
            <w:vAlign w:val="bottom"/>
          </w:tcPr>
          <w:p>
            <w:pPr>
              <w:spacing w:after="0"/>
              <w:rPr>
                <w:sz w:val="1"/>
                <w:szCs w:val="1"/>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213,195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211,776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208,573</w:t>
            </w:r>
          </w:p>
        </w:tc>
        <w:tc>
          <w:tcPr>
            <w:tcW w:w="0" w:type="dxa"/>
            <w:vAlign w:val="bottom"/>
          </w:tcPr>
          <w:p>
            <w:pPr>
              <w:spacing w:after="0"/>
              <w:rPr>
                <w:sz w:val="1"/>
                <w:szCs w:val="1"/>
                <w:color w:val="auto"/>
              </w:rPr>
            </w:pPr>
          </w:p>
        </w:tc>
      </w:tr>
      <w:tr>
        <w:trPr>
          <w:trHeight w:val="199"/>
        </w:trPr>
        <w:tc>
          <w:tcPr>
            <w:tcW w:w="5400" w:type="dxa"/>
            <w:vAlign w:val="bottom"/>
          </w:tcPr>
          <w:p>
            <w:pPr>
              <w:spacing w:after="0"/>
              <w:rPr>
                <w:sz w:val="20"/>
                <w:szCs w:val="20"/>
                <w:color w:val="auto"/>
              </w:rPr>
            </w:pPr>
            <w:r>
              <w:rPr>
                <w:rFonts w:ascii="Arial" w:cs="Arial" w:eastAsia="Arial" w:hAnsi="Arial"/>
                <w:sz w:val="15"/>
                <w:szCs w:val="15"/>
                <w:color w:val="auto"/>
              </w:rPr>
              <w:t>Customer relationships, net</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35,777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37,510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38,950</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29,097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34,024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31,104</w:t>
            </w:r>
          </w:p>
        </w:tc>
        <w:tc>
          <w:tcPr>
            <w:tcW w:w="0" w:type="dxa"/>
            <w:vAlign w:val="bottom"/>
          </w:tcPr>
          <w:p>
            <w:pPr>
              <w:spacing w:after="0"/>
              <w:rPr>
                <w:sz w:val="1"/>
                <w:szCs w:val="1"/>
                <w:color w:val="auto"/>
              </w:rPr>
            </w:pPr>
          </w:p>
        </w:tc>
      </w:tr>
      <w:tr>
        <w:trPr>
          <w:trHeight w:val="200"/>
        </w:trPr>
        <w:tc>
          <w:tcPr>
            <w:tcW w:w="5400" w:type="dxa"/>
            <w:vAlign w:val="bottom"/>
          </w:tcPr>
          <w:p>
            <w:pPr>
              <w:ind w:left="54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3,315,926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3,392,580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3,412,634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120"/>
              <w:spacing w:after="0"/>
              <w:rPr>
                <w:sz w:val="20"/>
                <w:szCs w:val="20"/>
                <w:color w:val="auto"/>
              </w:rPr>
            </w:pPr>
            <w:r>
              <w:rPr>
                <w:rFonts w:ascii="Arial" w:cs="Arial" w:eastAsia="Arial" w:hAnsi="Arial"/>
                <w:sz w:val="15"/>
                <w:szCs w:val="15"/>
                <w:color w:val="auto"/>
              </w:rPr>
              <w:t>Accounts payable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356,826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472,140</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458,075</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operating lease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158,270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185,152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163,665</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current liabilities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113,240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135,240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80,634</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current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628,336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792,532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702,374</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990,437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989,530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1,232,649</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Deferred income taxes</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58,150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52,770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63,850</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Long-term operating lease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484,881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554,497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620,063</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56,618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65,218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60,420</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 liabilities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2,218,422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2,454,547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2,679,356</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 Note 14</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5"/>
                <w:szCs w:val="15"/>
                <w:color w:val="auto"/>
                <w:w w:val="93"/>
              </w:rPr>
              <w:t>Preferred stock; par value $0.01 per share; 100,000 shares authorized; none issued or</w:t>
            </w:r>
          </w:p>
        </w:tc>
        <w:tc>
          <w:tcPr>
            <w:tcW w:w="320" w:type="dxa"/>
            <w:vAlign w:val="bottom"/>
            <w:vMerge w:val="restart"/>
          </w:tcPr>
          <w:p>
            <w:pPr>
              <w:jc w:val="right"/>
              <w:ind w:right="144"/>
              <w:spacing w:after="0"/>
              <w:rPr>
                <w:sz w:val="20"/>
                <w:szCs w:val="20"/>
                <w:color w:val="auto"/>
              </w:rPr>
            </w:pPr>
            <w:r>
              <w:rPr>
                <w:rFonts w:ascii="Arial" w:cs="Arial" w:eastAsia="Arial" w:hAnsi="Arial"/>
                <w:sz w:val="15"/>
                <w:szCs w:val="15"/>
                <w:color w:val="auto"/>
                <w:w w:val="95"/>
              </w:rPr>
              <w:t>$</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jc w:val="right"/>
              <w:ind w:right="64"/>
              <w:spacing w:after="0"/>
              <w:rPr>
                <w:sz w:val="20"/>
                <w:szCs w:val="20"/>
                <w:color w:val="auto"/>
              </w:rPr>
            </w:pPr>
            <w:r>
              <w:rPr>
                <w:rFonts w:ascii="Arial" w:cs="Arial" w:eastAsia="Arial" w:hAnsi="Arial"/>
                <w:sz w:val="15"/>
                <w:szCs w:val="15"/>
                <w:color w:val="auto"/>
                <w:w w:val="95"/>
              </w:rPr>
              <w:t>$</w:t>
            </w: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outstanding at July 3, 2021, January 2, 2021, and June 27, 2020</w:t>
            </w:r>
          </w:p>
        </w:tc>
        <w:tc>
          <w:tcPr>
            <w:tcW w:w="32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8"/>
              </w:rPr>
              <w:t>Common stock, voting; par value $0.01 per share; 150,000,000 shares authorized;</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2"/>
              </w:rPr>
              <w:t>44,011,080, 43,780,075, and 43,636,176 shares issued and outstanding at July 3, 2021,</w:t>
            </w:r>
          </w:p>
        </w:tc>
        <w:tc>
          <w:tcPr>
            <w:tcW w:w="32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January 2, 2021, and June 27, 2020, respectively</w:t>
            </w:r>
          </w:p>
        </w:tc>
        <w:tc>
          <w:tcPr>
            <w:tcW w:w="32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31,521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17,752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5,539</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(45,045)</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Retained earnings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1,092,806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952,603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772,348</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 stockholders’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1,097,504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938,033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733,278</w:t>
            </w:r>
          </w:p>
        </w:tc>
        <w:tc>
          <w:tcPr>
            <w:tcW w:w="0" w:type="dxa"/>
            <w:vAlign w:val="bottom"/>
          </w:tcPr>
          <w:p>
            <w:pPr>
              <w:spacing w:after="0"/>
              <w:rPr>
                <w:sz w:val="1"/>
                <w:szCs w:val="1"/>
                <w:color w:val="auto"/>
              </w:rPr>
            </w:pPr>
          </w:p>
        </w:tc>
      </w:tr>
      <w:tr>
        <w:trPr>
          <w:trHeight w:val="200"/>
        </w:trPr>
        <w:tc>
          <w:tcPr>
            <w:tcW w:w="5400" w:type="dxa"/>
            <w:vAlign w:val="bottom"/>
          </w:tcPr>
          <w:p>
            <w:pPr>
              <w:ind w:left="660"/>
              <w:spacing w:after="0"/>
              <w:rPr>
                <w:sz w:val="20"/>
                <w:szCs w:val="20"/>
                <w:color w:val="auto"/>
              </w:rPr>
            </w:pPr>
            <w:r>
              <w:rPr>
                <w:rFonts w:ascii="Arial" w:cs="Arial" w:eastAsia="Arial" w:hAnsi="Arial"/>
                <w:sz w:val="15"/>
                <w:szCs w:val="15"/>
                <w:color w:val="auto"/>
              </w:rPr>
              <w:t>Total liabilities and stockholders’ equity</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3,315,926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3,392,580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3,412,634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660"/>
              <w:spacing w:after="0"/>
              <w:rPr>
                <w:sz w:val="20"/>
                <w:szCs w:val="20"/>
                <w:color w:val="auto"/>
              </w:rPr>
            </w:pPr>
            <w:r>
              <w:rPr>
                <w:rFonts w:ascii="Arial" w:cs="Arial" w:eastAsia="Arial" w:hAnsi="Arial"/>
                <w:sz w:val="16"/>
                <w:szCs w:val="16"/>
                <w:b w:val="1"/>
                <w:bCs w:val="1"/>
                <w:color w:val="auto"/>
              </w:rPr>
              <w:t>Fiscal quarter ended</w:t>
            </w:r>
          </w:p>
        </w:tc>
        <w:tc>
          <w:tcPr>
            <w:tcW w:w="220" w:type="dxa"/>
            <w:vAlign w:val="bottom"/>
          </w:tcPr>
          <w:p>
            <w:pPr>
              <w:spacing w:after="0"/>
              <w:rPr>
                <w:sz w:val="18"/>
                <w:szCs w:val="18"/>
                <w:color w:val="auto"/>
              </w:rPr>
            </w:pPr>
          </w:p>
        </w:tc>
        <w:tc>
          <w:tcPr>
            <w:tcW w:w="30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Two fiscal quarters ended</w:t>
            </w:r>
          </w:p>
        </w:tc>
      </w:tr>
      <w:tr>
        <w:trPr>
          <w:trHeight w:val="210"/>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 2021</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June 27, 2020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3, 2021</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June 27, 2020</w:t>
            </w:r>
          </w:p>
        </w:tc>
      </w:tr>
      <w:tr>
        <w:trPr>
          <w:trHeight w:val="212"/>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746,400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514,885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1,533,761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1,169,357</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379,793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284,073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781,524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687,445</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Adverse purchase commitments (inventory and raw materials),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18,134</w:t>
            </w:r>
          </w:p>
        </w:tc>
      </w:tr>
      <w:tr>
        <w:trPr>
          <w:trHeight w:val="207"/>
        </w:trPr>
        <w:tc>
          <w:tcPr>
            <w:tcW w:w="4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368,707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235,515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760,667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463,778</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267,770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218,149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539,697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487,986</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Intangible asset impairment</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26,500</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(57,524)</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30,643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24,176</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w:t>
            </w:r>
          </w:p>
        </w:tc>
      </w:tr>
      <w:tr>
        <w:trPr>
          <w:trHeight w:val="21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(86,218)</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(15,680)</w:t>
            </w:r>
          </w:p>
        </w:tc>
      </w:tr>
      <w:tr>
        <w:trPr>
          <w:trHeight w:val="23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660"/>
              <w:spacing w:after="0"/>
              <w:rPr>
                <w:sz w:val="20"/>
                <w:szCs w:val="20"/>
                <w:color w:val="auto"/>
              </w:rPr>
            </w:pPr>
            <w:r>
              <w:rPr>
                <w:rFonts w:ascii="Arial" w:cs="Arial" w:eastAsia="Arial" w:hAnsi="Arial"/>
                <w:sz w:val="16"/>
                <w:szCs w:val="16"/>
                <w:b w:val="1"/>
                <w:bCs w:val="1"/>
                <w:color w:val="auto"/>
              </w:rPr>
              <w:t>Fiscal quarter ended</w:t>
            </w:r>
          </w:p>
        </w:tc>
        <w:tc>
          <w:tcPr>
            <w:tcW w:w="24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Two fiscal quarters ended</w:t>
            </w:r>
          </w:p>
        </w:tc>
      </w:tr>
      <w:tr>
        <w:trPr>
          <w:trHeight w:val="210"/>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June 27, 2020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June 27, 2020</w:t>
            </w:r>
          </w:p>
        </w:tc>
      </w:tr>
      <w:tr>
        <w:trPr>
          <w:trHeight w:val="212"/>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(70,538)</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(9,411)</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163,296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(79,949)</w:t>
            </w: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stock -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74"/>
              </w:rPr>
              <w:t>loss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43,963,103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33,158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132,759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(474,684)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and paid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(91,686)</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28,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43,610,725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716,002</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14,180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12,287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11,737</w:t>
            </w:r>
          </w:p>
        </w:tc>
        <w:tc>
          <w:tcPr>
            <w:tcW w:w="0" w:type="dxa"/>
            <w:vAlign w:val="bottom"/>
          </w:tcPr>
          <w:p>
            <w:pPr>
              <w:spacing w:after="0"/>
              <w:rPr>
                <w:sz w:val="1"/>
                <w:szCs w:val="1"/>
                <w:color w:val="auto"/>
              </w:rPr>
            </w:pPr>
          </w:p>
        </w:tc>
      </w:tr>
      <w:tr>
        <w:trPr>
          <w:trHeight w:val="23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27,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43,636,176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772,348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733,278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 shares</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stock - $</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43,780,075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12,065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192,963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87,422</w:t>
            </w:r>
          </w:p>
        </w:tc>
        <w:tc>
          <w:tcPr>
            <w:tcW w:w="0" w:type="dxa"/>
            <w:vAlign w:val="bottom"/>
          </w:tcPr>
          <w:p>
            <w:pPr>
              <w:spacing w:after="0"/>
              <w:rPr>
                <w:sz w:val="1"/>
                <w:szCs w:val="1"/>
                <w:color w:val="auto"/>
              </w:rPr>
            </w:pPr>
          </w:p>
        </w:tc>
      </w:tr>
      <w:tr>
        <w:trPr>
          <w:trHeight w:val="21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April 3,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43,947,659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1,029,609</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57,274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4,336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7,204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(17,596)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75,874</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Balance at July 3,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44,011,080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(27,263)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1,092,806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1,097,504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5"/>
                <w:szCs w:val="15"/>
                <w:b w:val="1"/>
                <w:bCs w:val="1"/>
                <w:color w:val="auto"/>
              </w:rPr>
              <w:t>Two fiscal quarters ended</w:t>
            </w:r>
          </w:p>
        </w:tc>
      </w:tr>
      <w:tr>
        <w:trPr>
          <w:trHeight w:val="198"/>
        </w:trPr>
        <w:tc>
          <w:tcPr>
            <w:tcW w:w="7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ind w:left="220"/>
              <w:spacing w:after="0"/>
              <w:rPr>
                <w:sz w:val="20"/>
                <w:szCs w:val="20"/>
                <w:color w:val="auto"/>
              </w:rPr>
            </w:pPr>
            <w:r>
              <w:rPr>
                <w:rFonts w:ascii="Arial" w:cs="Arial" w:eastAsia="Arial" w:hAnsi="Arial"/>
                <w:sz w:val="15"/>
                <w:szCs w:val="15"/>
                <w:b w:val="1"/>
                <w:bCs w:val="1"/>
                <w:color w:val="auto"/>
              </w:rPr>
              <w:t>July 3, 2021</w:t>
            </w:r>
          </w:p>
        </w:tc>
        <w:tc>
          <w:tcPr>
            <w:tcW w:w="280" w:type="dxa"/>
            <w:vAlign w:val="bottom"/>
          </w:tcPr>
          <w:p>
            <w:pPr>
              <w:spacing w:after="0"/>
              <w:rPr>
                <w:sz w:val="17"/>
                <w:szCs w:val="17"/>
                <w:color w:val="auto"/>
              </w:rPr>
            </w:pPr>
          </w:p>
        </w:tc>
        <w:tc>
          <w:tcPr>
            <w:tcW w:w="158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27, 2020</w:t>
            </w:r>
          </w:p>
        </w:tc>
      </w:tr>
      <w:tr>
        <w:trPr>
          <w:trHeight w:val="18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157,799</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(70,538)</w:t>
            </w:r>
          </w:p>
        </w:tc>
      </w:tr>
      <w:tr>
        <w:trPr>
          <w:trHeight w:val="206"/>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Depreciation of property, plant, and equipment</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44,613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43,774</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1,858</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Provisions for excess and obsolete inventory</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23,058</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 impairment</w:t>
            </w:r>
          </w:p>
        </w:tc>
        <w:tc>
          <w:tcPr>
            <w:tcW w:w="3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17,742</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Intangible asset impairments</w:t>
            </w:r>
          </w:p>
        </w:tc>
        <w:tc>
          <w:tcPr>
            <w:tcW w:w="3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26,500</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 impairments and loss on disposal of property, plant and equipment, net of recoveries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7,332</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Amortization of debt issuance costs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916</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Stock-based compensation expense</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6,485</w:t>
            </w:r>
          </w:p>
        </w:tc>
      </w:tr>
      <w:tr>
        <w:trPr>
          <w:trHeight w:val="199"/>
        </w:trPr>
        <w:tc>
          <w:tcPr>
            <w:tcW w:w="7400" w:type="dxa"/>
            <w:vAlign w:val="bottom"/>
          </w:tcPr>
          <w:p>
            <w:pPr>
              <w:ind w:left="360"/>
              <w:spacing w:after="0"/>
              <w:rPr>
                <w:sz w:val="20"/>
                <w:szCs w:val="20"/>
                <w:color w:val="auto"/>
              </w:rPr>
            </w:pPr>
            <w:r>
              <w:rPr>
                <w:rFonts w:ascii="Arial" w:cs="Arial" w:eastAsia="Arial" w:hAnsi="Arial"/>
                <w:sz w:val="15"/>
                <w:szCs w:val="15"/>
                <w:color w:val="auto"/>
              </w:rPr>
              <w:t>Unrealized foreign currency exchange loss, net</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1,621</w:t>
            </w:r>
          </w:p>
        </w:tc>
      </w:tr>
      <w:tr>
        <w:trPr>
          <w:trHeight w:val="206"/>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Provisions for doubtful accounts receivable from customers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3,036</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Unrealized (gain) loss on investments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1,904</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income taxes expense (benefit)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(10,559)</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Effect of changes in operating assets and liabilities: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7"/>
        </w:trPr>
        <w:tc>
          <w:tcPr>
            <w:tcW w:w="74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receivable</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80,566</w:t>
            </w:r>
          </w:p>
        </w:tc>
      </w:tr>
      <w:tr>
        <w:trPr>
          <w:trHeight w:val="198"/>
        </w:trPr>
        <w:tc>
          <w:tcPr>
            <w:tcW w:w="7400" w:type="dxa"/>
            <w:vAlign w:val="bottom"/>
          </w:tcPr>
          <w:p>
            <w:pPr>
              <w:ind w:left="480"/>
              <w:spacing w:after="0"/>
              <w:rPr>
                <w:sz w:val="20"/>
                <w:szCs w:val="20"/>
                <w:color w:val="auto"/>
              </w:rPr>
            </w:pPr>
            <w:r>
              <w:rPr>
                <w:rFonts w:ascii="Arial" w:cs="Arial" w:eastAsia="Arial" w:hAnsi="Arial"/>
                <w:sz w:val="15"/>
                <w:szCs w:val="15"/>
                <w:color w:val="auto"/>
              </w:rPr>
              <w:t>Finished goods inventories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(19,663)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(106,922)</w:t>
            </w:r>
          </w:p>
        </w:tc>
      </w:tr>
      <w:tr>
        <w:trPr>
          <w:trHeight w:val="207"/>
        </w:trPr>
        <w:tc>
          <w:tcPr>
            <w:tcW w:w="7400" w:type="dxa"/>
            <w:vAlign w:val="bottom"/>
            <w:shd w:val="clear" w:color="auto" w:fill="CCEEFF"/>
          </w:tcPr>
          <w:p>
            <w:pPr>
              <w:ind w:left="480"/>
              <w:spacing w:after="0" w:line="206" w:lineRule="exact"/>
              <w:rPr>
                <w:sz w:val="20"/>
                <w:szCs w:val="20"/>
                <w:color w:val="auto"/>
              </w:rPr>
            </w:pPr>
            <w:r>
              <w:rPr>
                <w:rFonts w:ascii="Arial" w:cs="Arial" w:eastAsia="Arial" w:hAnsi="Arial"/>
                <w:sz w:val="15"/>
                <w:szCs w:val="15"/>
                <w:color w:val="auto"/>
              </w:rPr>
              <w:t>Prepaid expenses and other assets</w:t>
            </w:r>
            <w:r>
              <w:rPr>
                <w:rFonts w:ascii="Arial" w:cs="Arial" w:eastAsia="Arial" w:hAnsi="Arial"/>
                <w:sz w:val="19"/>
                <w:szCs w:val="19"/>
                <w:color w:val="auto"/>
                <w:vertAlign w:val="superscript"/>
              </w:rPr>
              <w: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(4,156)</w:t>
            </w:r>
          </w:p>
        </w:tc>
      </w:tr>
      <w:tr>
        <w:trPr>
          <w:trHeight w:val="198"/>
        </w:trPr>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5"/>
                <w:szCs w:val="15"/>
                <w:color w:val="auto"/>
              </w:rPr>
              <w:t>Accounts payable and other liabilities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(171,119)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214,796</w:t>
            </w:r>
          </w:p>
        </w:tc>
      </w:tr>
      <w:tr>
        <w:trPr>
          <w:trHeight w:val="196"/>
        </w:trPr>
        <w:tc>
          <w:tcPr>
            <w:tcW w:w="74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237,413</w:t>
            </w:r>
          </w:p>
        </w:tc>
      </w:tr>
      <w:tr>
        <w:trPr>
          <w:trHeight w:val="146"/>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9"/>
        </w:trPr>
        <w:tc>
          <w:tcPr>
            <w:tcW w:w="7400" w:type="dxa"/>
            <w:vAlign w:val="bottom"/>
          </w:tcPr>
          <w:p>
            <w:pPr>
              <w:ind w:left="220"/>
              <w:spacing w:after="0"/>
              <w:rPr>
                <w:sz w:val="20"/>
                <w:szCs w:val="20"/>
                <w:color w:val="auto"/>
              </w:rPr>
            </w:pPr>
            <w:r>
              <w:rPr>
                <w:rFonts w:ascii="Arial" w:cs="Arial" w:eastAsia="Arial" w:hAnsi="Arial"/>
                <w:sz w:val="15"/>
                <w:szCs w:val="15"/>
                <w:color w:val="auto"/>
              </w:rPr>
              <w:t>Capital expenditures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(20,506)</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(16,708)</w:t>
            </w:r>
          </w:p>
        </w:tc>
      </w:tr>
      <w:tr>
        <w:trPr>
          <w:trHeight w:val="206"/>
        </w:trPr>
        <w:tc>
          <w:tcPr>
            <w:tcW w:w="740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Proceeds from sale of investments</w:t>
            </w:r>
            <w:r>
              <w:rPr>
                <w:rFonts w:ascii="Arial" w:cs="Arial" w:eastAsia="Arial" w:hAnsi="Arial"/>
                <w:sz w:val="19"/>
                <w:szCs w:val="19"/>
                <w:color w:val="auto"/>
                <w:vertAlign w:val="superscript"/>
              </w:rPr>
              <w:t>(*)</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1,400</w:t>
            </w:r>
          </w:p>
        </w:tc>
      </w:tr>
      <w:tr>
        <w:trPr>
          <w:trHeight w:val="192"/>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(15,506)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(15,308)</w:t>
            </w:r>
          </w:p>
        </w:tc>
      </w:tr>
      <w:tr>
        <w:trPr>
          <w:trHeight w:val="146"/>
        </w:trPr>
        <w:tc>
          <w:tcPr>
            <w:tcW w:w="7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senior notes due 2025</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Payment of debt issuance costs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(7,639)</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Borrowings under secured revolving credit facility</w:t>
            </w:r>
          </w:p>
        </w:tc>
        <w:tc>
          <w:tcPr>
            <w:tcW w:w="3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644,000</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Payments on secured revolving credit facility</w:t>
            </w:r>
          </w:p>
        </w:tc>
        <w:tc>
          <w:tcPr>
            <w:tcW w:w="3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Repurchases of common stock</w:t>
            </w:r>
          </w:p>
        </w:tc>
        <w:tc>
          <w:tcPr>
            <w:tcW w:w="3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(45,255)</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(17,596)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(26,260)</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Withholdings from vesting of restricted stock</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(4,789)</w:t>
            </w:r>
          </w:p>
        </w:tc>
      </w:tr>
      <w:tr>
        <w:trPr>
          <w:trHeight w:val="198"/>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Proceeds from exercises of stock options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2,916</w:t>
            </w:r>
          </w:p>
        </w:tc>
      </w:tr>
      <w:tr>
        <w:trPr>
          <w:trHeight w:val="196"/>
        </w:trPr>
        <w:tc>
          <w:tcPr>
            <w:tcW w:w="7400" w:type="dxa"/>
            <w:vAlign w:val="bottom"/>
            <w:shd w:val="clear" w:color="auto" w:fill="CCEEFF"/>
          </w:tcPr>
          <w:p>
            <w:pPr>
              <w:ind w:left="560"/>
              <w:spacing w:after="0"/>
              <w:rPr>
                <w:sz w:val="20"/>
                <w:szCs w:val="20"/>
                <w:color w:val="auto"/>
              </w:rPr>
            </w:pPr>
            <w:r>
              <w:rPr>
                <w:rFonts w:ascii="Arial" w:cs="Arial" w:eastAsia="Arial" w:hAnsi="Arial"/>
                <w:sz w:val="15"/>
                <w:szCs w:val="15"/>
                <w:color w:val="auto"/>
              </w:rPr>
              <w:t>Net cash (used in) provided by financing activities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(16,370)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562,973</w:t>
            </w:r>
          </w:p>
        </w:tc>
      </w:tr>
      <w:tr>
        <w:trPr>
          <w:trHeight w:val="146"/>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effect of exchange rate changes on cash and cash equivalents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1,192</w:t>
            </w:r>
          </w:p>
        </w:tc>
      </w:tr>
      <w:tr>
        <w:trPr>
          <w:trHeight w:val="192"/>
        </w:trPr>
        <w:tc>
          <w:tcPr>
            <w:tcW w:w="7400" w:type="dxa"/>
            <w:vAlign w:val="bottom"/>
          </w:tcPr>
          <w:p>
            <w:pPr>
              <w:ind w:left="20"/>
              <w:spacing w:after="0"/>
              <w:rPr>
                <w:sz w:val="20"/>
                <w:szCs w:val="20"/>
                <w:color w:val="auto"/>
              </w:rPr>
            </w:pPr>
            <w:r>
              <w:rPr>
                <w:rFonts w:ascii="Arial" w:cs="Arial" w:eastAsia="Arial" w:hAnsi="Arial"/>
                <w:sz w:val="15"/>
                <w:szCs w:val="15"/>
                <w:color w:val="auto"/>
              </w:rPr>
              <w:t>Net increase in cash and cash equivalents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18,578</w:t>
            </w:r>
          </w:p>
        </w:tc>
        <w:tc>
          <w:tcPr>
            <w:tcW w:w="12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786,270</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1,102,323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214,311</w:t>
            </w: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1,120,901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1,000,581</w:t>
            </w: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340" w:hanging="332"/>
        <w:spacing w:after="0" w:line="273"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Cash flows for the two fiscal quarters ended June 27, 2020 were revised to reflect the reclassification of $1.4 million proceeds from sale of investments from cash flows from operating activities to cash flows from investing activities.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Skip Hop</w:t>
      </w:r>
      <w:r>
        <w:rPr>
          <w:rFonts w:ascii="Arial" w:cs="Arial" w:eastAsia="Arial" w:hAnsi="Arial"/>
          <w:sz w:val="18"/>
          <w:szCs w:val="18"/>
          <w:color w:val="auto"/>
        </w:rPr>
        <w:t>,</w:t>
      </w:r>
      <w:r>
        <w:rPr>
          <w:rFonts w:ascii="Arial" w:cs="Arial" w:eastAsia="Arial" w:hAnsi="Arial"/>
          <w:sz w:val="18"/>
          <w:szCs w:val="18"/>
          <w:i w:val="1"/>
          <w:iCs w:val="1"/>
          <w:color w:val="auto"/>
        </w:rPr>
        <w:t xml:space="preserve">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My First Love</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 and other brands. The Company’s products are sourced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(loss), statement of stockholders’ equity, and cash flows of the Company for the interim periods presented. Except as otherwise disclosed, all such adjustments consist only of those of a normal recurring nature. Operating results for the fiscal quarter ended July 3, 2021 are not necessarily indicative of the results that may be expected for the current fiscal year ending January 1, 2022.</w:t>
      </w:r>
    </w:p>
    <w:p>
      <w:pPr>
        <w:spacing w:after="0" w:line="14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condensed consolidated balance sheet as of January 2, 2021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is closely monitoring the effects of the ongoing coronavirus (“COVID-19”) pandemic and its impact on our business. Additionally, the Company assessed certain accounting matters that generally require consideration of forecasted financial information in context with the information reasonably available to us and the unknown future impacts of COVID-19 as of July 3, 2021 and through the date of this report filing. The accounting matters assessed included, but were not limited to, our allowance for credit losses, inventory reserves, adverse inventory and fabric purchase commitments, stock-based compensation, and the carrying value of our goodwill, indefinite-lived intangible assets, and other long-lived assets. Based on these assessments, in the second quarter and first two quarters of fiscal 2021, the Company recorded a benefit in fabric purchase commitment charges of</w:t>
      </w:r>
    </w:p>
    <w:p>
      <w:pPr>
        <w:spacing w:after="0" w:line="4"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$2.1 million and $8.4 million, respectively, related to better than expected sales of inventory and utilization of fabric that was reserved for in the first quarter of fiscal 2020 due to COVID-19 related disruptions. As of July 3, 2021, the outstanding reserve for adverse inventory and fabric purchase commitments related to COVID-19 disruptions in the first two quarters of fiscal 2020 was not material.</w:t>
      </w:r>
    </w:p>
    <w:p>
      <w:pPr>
        <w:spacing w:after="0" w:line="16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Additional COVID-19 related charges were $1.0 million and $3.2 million in the second quarter of fiscal 2021 and the first two quarters of fiscal 2021, respectively. These charges were primarily related to the costs associated with additional personal protective equipment and cleaning supplies.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second quarter and two quarters ended fiscal 2021 and 2020 were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240"/>
              <w:spacing w:after="0"/>
              <w:rPr>
                <w:sz w:val="20"/>
                <w:szCs w:val="20"/>
                <w:color w:val="auto"/>
              </w:rPr>
            </w:pPr>
            <w:r>
              <w:rPr>
                <w:rFonts w:ascii="Arial" w:cs="Arial" w:eastAsia="Arial" w:hAnsi="Arial"/>
                <w:sz w:val="16"/>
                <w:szCs w:val="16"/>
                <w:b w:val="1"/>
                <w:bCs w:val="1"/>
                <w:color w:val="auto"/>
              </w:rPr>
              <w:t>Fiscal quarter ended July 3, 2021</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Arial" w:cs="Arial" w:eastAsia="Arial" w:hAnsi="Arial"/>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Arial" w:cs="Arial" w:eastAsia="Arial" w:hAnsi="Arial"/>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w w:val="83"/>
              </w:rPr>
              <w:t>Total</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231,630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33,610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265,240</w:t>
            </w: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423,627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57,533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481,160</w:t>
            </w:r>
          </w:p>
        </w:tc>
      </w:tr>
      <w:tr>
        <w:trPr>
          <w:trHeight w:val="234"/>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423,627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231,630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91,143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746,400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6,645</w:t>
            </w:r>
          </w:p>
        </w:tc>
      </w:tr>
    </w:tbl>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6"/>
                <w:szCs w:val="16"/>
                <w:b w:val="1"/>
                <w:bCs w:val="1"/>
                <w:color w:val="auto"/>
                <w:w w:val="92"/>
              </w:rPr>
              <w:t>Two fiscal quarters ended July 3, 2021</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jc w:val="right"/>
              <w:ind w:right="480"/>
              <w:spacing w:after="0" w:line="175" w:lineRule="exact"/>
              <w:rPr>
                <w:sz w:val="20"/>
                <w:szCs w:val="20"/>
                <w:color w:val="auto"/>
              </w:rPr>
            </w:pPr>
            <w:r>
              <w:rPr>
                <w:rFonts w:ascii="Arial" w:cs="Arial" w:eastAsia="Arial" w:hAnsi="Arial"/>
                <w:sz w:val="16"/>
                <w:szCs w:val="16"/>
                <w:b w:val="1"/>
                <w:bCs w:val="1"/>
                <w:color w:val="auto"/>
                <w:w w:val="93"/>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515,007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591,409</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830,694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111,658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942,352</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830,694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515,007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188,060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1,533,761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6,651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14,108</w:t>
            </w:r>
          </w:p>
        </w:tc>
      </w:tr>
    </w:tbl>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200"/>
              <w:spacing w:after="0"/>
              <w:rPr>
                <w:sz w:val="20"/>
                <w:szCs w:val="20"/>
                <w:color w:val="auto"/>
              </w:rPr>
            </w:pPr>
            <w:r>
              <w:rPr>
                <w:rFonts w:ascii="Arial" w:cs="Arial" w:eastAsia="Arial" w:hAnsi="Arial"/>
                <w:sz w:val="16"/>
                <w:szCs w:val="16"/>
                <w:b w:val="1"/>
                <w:bCs w:val="1"/>
                <w:color w:val="auto"/>
              </w:rPr>
              <w:t>Fiscal quarter ended June 27, 2020</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1"/>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151,744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167,285</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316,016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31,584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347,600</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316,016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151,744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514,885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3,588</w:t>
            </w:r>
          </w:p>
        </w:tc>
      </w:tr>
    </w:tbl>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Two fiscal quarters ended June 27, 2020</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403,874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54,272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458,146</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636,733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74,478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711,211</w:t>
            </w:r>
          </w:p>
        </w:tc>
      </w:tr>
      <w:tr>
        <w:trPr>
          <w:trHeight w:val="235"/>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636,733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403,874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1,169,357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10,926</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Arial" w:cs="Arial" w:eastAsia="Arial" w:hAnsi="Arial"/>
                <w:sz w:val="16"/>
                <w:szCs w:val="16"/>
                <w:b w:val="1"/>
                <w:bCs w:val="1"/>
                <w:color w:val="auto"/>
              </w:rPr>
              <w:t>July 3, 2021</w:t>
            </w: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320" w:type="dxa"/>
            <w:vAlign w:val="bottom"/>
          </w:tcPr>
          <w:p>
            <w:pPr>
              <w:spacing w:after="0"/>
              <w:rPr>
                <w:sz w:val="18"/>
                <w:szCs w:val="18"/>
                <w:color w:val="auto"/>
              </w:rPr>
            </w:pPr>
          </w:p>
        </w:tc>
        <w:tc>
          <w:tcPr>
            <w:tcW w:w="164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27, 2020</w:t>
            </w: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from wholesale customers, net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164,591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159,043</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Royalties receivable</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5,371</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allowances and other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15,188</w:t>
            </w: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Total receivables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180,060</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198,878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179,602</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(14,024)</w:t>
            </w:r>
          </w:p>
        </w:tc>
      </w:tr>
      <w:tr>
        <w:trPr>
          <w:trHeight w:val="210"/>
        </w:trPr>
        <w:tc>
          <w:tcPr>
            <w:tcW w:w="51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163,957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186,512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165,578</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allowance for credit losses of $7.1 million $5.9 million, and $9.2 million for the periods ended July 3, 2021, January 2, 2021, and June 27,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3, 2021</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300" w:type="dxa"/>
            <w:vAlign w:val="bottom"/>
          </w:tcPr>
          <w:p>
            <w:pPr>
              <w:spacing w:after="0"/>
              <w:rPr>
                <w:sz w:val="18"/>
                <w:szCs w:val="18"/>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27, 2020</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3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18,049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18,300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15,667</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4"/>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216"/>
        </w:trPr>
        <w:tc>
          <w:tcPr>
            <w:tcW w:w="51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Contract liabilities - non-current</w:t>
            </w:r>
            <w:r>
              <w:rPr>
                <w:rFonts w:ascii="Arial" w:cs="Arial" w:eastAsia="Arial" w:hAnsi="Arial"/>
                <w:sz w:val="21"/>
                <w:szCs w:val="21"/>
                <w:color w:val="auto"/>
                <w:vertAlign w:val="superscript"/>
              </w:rPr>
              <w:t>(3)</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w:t>
            </w:r>
          </w:p>
        </w:tc>
      </w:tr>
      <w:tr>
        <w:trPr>
          <w:trHeight w:val="210"/>
        </w:trPr>
        <w:tc>
          <w:tcPr>
            <w:tcW w:w="5140" w:type="dxa"/>
            <w:vAlign w:val="bottom"/>
          </w:tcPr>
          <w:p>
            <w:pPr>
              <w:ind w:left="360"/>
              <w:spacing w:after="0"/>
              <w:rPr>
                <w:sz w:val="20"/>
                <w:szCs w:val="20"/>
                <w:color w:val="auto"/>
              </w:rPr>
            </w:pPr>
            <w:r>
              <w:rPr>
                <w:rFonts w:ascii="Arial" w:cs="Arial" w:eastAsia="Arial" w:hAnsi="Arial"/>
                <w:sz w:val="16"/>
                <w:szCs w:val="16"/>
                <w:color w:val="auto"/>
              </w:rPr>
              <w:t>Total contract liabilities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24,259</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500" w:right="80" w:hanging="492"/>
        <w:spacing w:after="0" w:line="273"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sheets.</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amount reflects the non-current portion of the Carter’s credit card upfront bonus.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July 3, 2021, the Company’s finance leases were not material to the consolidated balance sheets, consolidated statements of operations, or statements of cash flows.</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second quarter and first two quarters of fiscal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Fiscal quarter ended</w:t>
            </w:r>
          </w:p>
        </w:tc>
        <w:tc>
          <w:tcPr>
            <w:tcW w:w="220" w:type="dxa"/>
            <w:vAlign w:val="bottom"/>
          </w:tcPr>
          <w:p>
            <w:pPr>
              <w:spacing w:after="0"/>
              <w:rPr>
                <w:sz w:val="18"/>
                <w:szCs w:val="18"/>
                <w:color w:val="auto"/>
              </w:rPr>
            </w:pPr>
          </w:p>
        </w:tc>
        <w:tc>
          <w:tcPr>
            <w:tcW w:w="29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Two fiscal quarters ended</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6"/>
              </w:rPr>
              <w:t>June 27,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June 27, 2020</w:t>
            </w:r>
          </w:p>
        </w:tc>
      </w:tr>
      <w:tr>
        <w:trPr>
          <w:trHeight w:val="21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91,950</w:t>
            </w:r>
          </w:p>
        </w:tc>
      </w:tr>
      <w:tr>
        <w:trPr>
          <w:trHeight w:val="216"/>
        </w:trPr>
        <w:tc>
          <w:tcPr>
            <w:tcW w:w="4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35,504</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lease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127,454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short-term leases, which are not material, and operating lease asset impairment charges.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Fiscal quarter ended</w:t>
            </w:r>
          </w:p>
        </w:tc>
      </w:tr>
      <w:tr>
        <w:trPr>
          <w:trHeight w:val="210"/>
        </w:trPr>
        <w:tc>
          <w:tcPr>
            <w:tcW w:w="8040" w:type="dxa"/>
            <w:vAlign w:val="bottom"/>
          </w:tcPr>
          <w:p>
            <w:pPr>
              <w:spacing w:after="0"/>
              <w:rPr>
                <w:sz w:val="18"/>
                <w:szCs w:val="18"/>
                <w:color w:val="auto"/>
              </w:rPr>
            </w:pPr>
          </w:p>
        </w:tc>
        <w:tc>
          <w:tcPr>
            <w:tcW w:w="1640" w:type="dxa"/>
            <w:vAlign w:val="bottom"/>
            <w:gridSpan w:val="2"/>
          </w:tcPr>
          <w:p>
            <w:pPr>
              <w:ind w:left="360"/>
              <w:spacing w:after="0"/>
              <w:rPr>
                <w:sz w:val="20"/>
                <w:szCs w:val="20"/>
                <w:color w:val="auto"/>
              </w:rPr>
            </w:pPr>
            <w:r>
              <w:rPr>
                <w:rFonts w:ascii="Arial" w:cs="Arial" w:eastAsia="Arial" w:hAnsi="Arial"/>
                <w:sz w:val="16"/>
                <w:szCs w:val="16"/>
                <w:b w:val="1"/>
                <w:bCs w:val="1"/>
                <w:color w:val="auto"/>
              </w:rPr>
              <w:t>July 3, 2021</w:t>
            </w:r>
          </w:p>
        </w:tc>
        <w:tc>
          <w:tcPr>
            <w:tcW w:w="1520" w:type="dxa"/>
            <w:vAlign w:val="bottom"/>
          </w:tcPr>
          <w:p>
            <w:pPr>
              <w:ind w:left="300"/>
              <w:spacing w:after="0"/>
              <w:rPr>
                <w:sz w:val="20"/>
                <w:szCs w:val="20"/>
                <w:color w:val="auto"/>
              </w:rPr>
            </w:pPr>
            <w:r>
              <w:rPr>
                <w:rFonts w:ascii="Arial" w:cs="Arial" w:eastAsia="Arial" w:hAnsi="Arial"/>
                <w:sz w:val="16"/>
                <w:szCs w:val="16"/>
                <w:b w:val="1"/>
                <w:bCs w:val="1"/>
                <w:color w:val="auto"/>
              </w:rPr>
              <w:t>June 27, 2020</w:t>
            </w:r>
          </w:p>
        </w:tc>
      </w:tr>
      <w:tr>
        <w:trPr>
          <w:trHeight w:val="212"/>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operating lease term (years)</w:t>
            </w:r>
          </w:p>
        </w:tc>
        <w:tc>
          <w:tcPr>
            <w:tcW w:w="15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5.7</w:t>
            </w: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Weighted average discount rate for operating leases</w:t>
            </w:r>
          </w:p>
        </w:tc>
        <w:tc>
          <w:tcPr>
            <w:tcW w:w="1540" w:type="dxa"/>
            <w:vAlign w:val="bottom"/>
          </w:tcPr>
          <w:p>
            <w:pPr>
              <w:jc w:val="right"/>
              <w:ind w:right="47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520" w:type="dxa"/>
            <w:vAlign w:val="bottom"/>
          </w:tcPr>
          <w:p>
            <w:pPr>
              <w:jc w:val="right"/>
              <w:ind w:right="459"/>
              <w:spacing w:after="0"/>
              <w:rPr>
                <w:sz w:val="20"/>
                <w:szCs w:val="20"/>
                <w:color w:val="auto"/>
              </w:rPr>
            </w:pPr>
            <w:r>
              <w:rPr>
                <w:rFonts w:ascii="Arial" w:cs="Arial" w:eastAsia="Arial" w:hAnsi="Arial"/>
                <w:sz w:val="16"/>
                <w:szCs w:val="16"/>
                <w:color w:val="auto"/>
              </w:rPr>
              <w:t>3.95%</w:t>
            </w:r>
          </w:p>
        </w:tc>
      </w:tr>
    </w:tbl>
    <w:p>
      <w:pPr>
        <w:spacing w:after="0" w:line="2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Cash paid for amounts included in the measurement of operating lease liabilities in the second quarter and two first quarters of fiscal 2021 were $56.8 million and $114.7 million, respectively. Cash paid for amounts included in the measurement of operating lease liabilities in the second quarter and first two quarters of fiscal 2020 were $47.6 million and $97.8 million, respectively. The total cash paid in the second quarter and first two quarters of fiscal 2020 reflects the contractual amounts due to be paid in cash. For the fiscal quarter ended June 27, 2020, the Company deferred cash payments of $35.8 million of these amounts, which are included in the statement of cash flows as part of the change in Accounts payable and other liabilities.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Non-cash transactions to recognize operating assets and liabilities for new leases for the second quarter and first two quarters of fiscal 2021 were $4.3 million and $7.6 million, respectively. Non-cash transactions to recognize operating assets and liabilities for the second quarter and first two quarters of fiscal 2020 were $15.8 million and $45.2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July 3, 2021, the maturities of lease liabilities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Operating leases</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93,535</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159,881</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132,257</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105,945</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76,952</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54,170</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After 2026</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78,074</w:t>
            </w: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700,814</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(57,663)</w:t>
            </w:r>
          </w:p>
        </w:tc>
      </w:tr>
      <w:tr>
        <w:trPr>
          <w:trHeight w:val="213"/>
        </w:trPr>
        <w:tc>
          <w:tcPr>
            <w:tcW w:w="9600" w:type="dxa"/>
            <w:vAlign w:val="bottom"/>
          </w:tcPr>
          <w:p>
            <w:pPr>
              <w:ind w:left="36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643,151</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280" w:hanging="332"/>
        <w:spacing w:after="0" w:line="273"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2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3, 2021</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300" w:type="dxa"/>
            <w:vAlign w:val="bottom"/>
          </w:tcPr>
          <w:p>
            <w:pPr>
              <w:spacing w:after="0"/>
              <w:rPr>
                <w:sz w:val="18"/>
                <w:szCs w:val="18"/>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27, 2020</w:t>
            </w:r>
          </w:p>
        </w:tc>
      </w:tr>
      <w:tr>
        <w:trPr>
          <w:trHeight w:val="213"/>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Cumulative foreign currency translation adjustments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(35,933)</w:t>
            </w: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r>
      <w:tr>
        <w:trPr>
          <w:trHeight w:val="234"/>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accumulated other comprehensive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income taxes of $3.5 million, $3.5 million, and $2.8 million for the period ended July 3, 2021, January 2, 2021, and June 27, 2020, respectively.</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first two quarters of both fiscal 2021 and fiscal 2020, no amounts were reclassified from Accumulated other comprehensive loss to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1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28, 2019</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229,026</w:t>
            </w:r>
          </w:p>
        </w:tc>
      </w:tr>
      <w:tr>
        <w:trPr>
          <w:trHeight w:val="216"/>
        </w:trPr>
        <w:tc>
          <w:tcPr>
            <w:tcW w:w="5240" w:type="dxa"/>
            <w:vAlign w:val="bottom"/>
          </w:tcPr>
          <w:p>
            <w:pPr>
              <w:spacing w:after="0" w:line="216" w:lineRule="exact"/>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r>
      <w:tr>
        <w:trPr>
          <w:trHeight w:val="212"/>
        </w:trPr>
        <w:tc>
          <w:tcPr>
            <w:tcW w:w="5240" w:type="dxa"/>
            <w:vAlign w:val="bottom"/>
          </w:tcPr>
          <w:p>
            <w:pPr>
              <w:spacing w:after="0"/>
              <w:rPr>
                <w:sz w:val="20"/>
                <w:szCs w:val="20"/>
                <w:color w:val="auto"/>
              </w:rPr>
            </w:pPr>
            <w:r>
              <w:rPr>
                <w:rFonts w:ascii="Arial" w:cs="Arial" w:eastAsia="Arial" w:hAnsi="Arial"/>
                <w:sz w:val="16"/>
                <w:szCs w:val="16"/>
                <w:b w:val="1"/>
                <w:bCs w:val="1"/>
                <w:color w:val="auto"/>
              </w:rPr>
              <w:t>Balance at June 27, 2020</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50,185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208,573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16"/>
        </w:trPr>
        <w:tc>
          <w:tcPr>
            <w:tcW w:w="5240" w:type="dxa"/>
            <w:vAlign w:val="bottom"/>
          </w:tcPr>
          <w:p>
            <w:pPr>
              <w:spacing w:after="0" w:line="216" w:lineRule="exact"/>
              <w:rPr>
                <w:sz w:val="20"/>
                <w:szCs w:val="20"/>
                <w:color w:val="auto"/>
              </w:rPr>
            </w:pPr>
            <w:r>
              <w:rPr>
                <w:rFonts w:ascii="Arial" w:cs="Arial" w:eastAsia="Arial" w:hAnsi="Arial"/>
                <w:sz w:val="16"/>
                <w:szCs w:val="16"/>
                <w:b w:val="1"/>
                <w:bCs w:val="1"/>
                <w:color w:val="auto"/>
              </w:rPr>
              <w:t>Balance at January 2, 2021</w:t>
            </w:r>
            <w:r>
              <w:rPr>
                <w:rFonts w:ascii="Arial" w:cs="Arial" w:eastAsia="Arial" w:hAnsi="Arial"/>
                <w:sz w:val="21"/>
                <w:szCs w:val="21"/>
                <w:b w:val="1"/>
                <w:bCs w:val="1"/>
                <w:color w:val="auto"/>
                <w:vertAlign w:val="superscript"/>
              </w:rPr>
              <w:t>(2)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53,388</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211,776</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12"/>
        </w:trPr>
        <w:tc>
          <w:tcPr>
            <w:tcW w:w="5240" w:type="dxa"/>
            <w:vAlign w:val="bottom"/>
          </w:tcPr>
          <w:p>
            <w:pPr>
              <w:spacing w:after="0" w:line="213" w:lineRule="exact"/>
              <w:rPr>
                <w:sz w:val="20"/>
                <w:szCs w:val="20"/>
                <w:color w:val="auto"/>
              </w:rPr>
            </w:pPr>
            <w:r>
              <w:rPr>
                <w:rFonts w:ascii="Arial" w:cs="Arial" w:eastAsia="Arial" w:hAnsi="Arial"/>
                <w:sz w:val="16"/>
                <w:szCs w:val="16"/>
                <w:b w:val="1"/>
                <w:bCs w:val="1"/>
                <w:color w:val="auto"/>
              </w:rPr>
              <w:t>Balance at July 3, 2021</w:t>
            </w:r>
            <w:r>
              <w:rPr>
                <w:rFonts w:ascii="Arial" w:cs="Arial" w:eastAsia="Arial" w:hAnsi="Arial"/>
                <w:sz w:val="21"/>
                <w:szCs w:val="21"/>
                <w:b w:val="1"/>
                <w:bCs w:val="1"/>
                <w:color w:val="auto"/>
                <w:vertAlign w:val="superscript"/>
              </w:rPr>
              <w:t>(2)</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54,807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213,195</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00" w:right="260" w:hanging="492"/>
        <w:spacing w:after="0" w:line="273"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Goodwill for the International reporting unit is net of accumulated impairment losses of $17.7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91"/>
              </w:rPr>
              <w:t>July 3, 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January 2, 2021</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30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average useful</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Net 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amortization</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5-20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1,376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3,911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tradenames</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4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307,768</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13,422</w:t>
            </w:r>
          </w:p>
        </w:tc>
        <w:tc>
          <w:tcPr>
            <w:tcW w:w="4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33,878</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Carter’s Mexico customer relationships</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1,217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customer relationships</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14,639</w:t>
            </w:r>
          </w:p>
        </w:tc>
        <w:tc>
          <w:tcPr>
            <w:tcW w:w="4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35,777</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27, 2020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5"/>
          </w:tcPr>
          <w:p>
            <w:pPr>
              <w:jc w:val="center"/>
              <w:spacing w:after="0" w:line="161" w:lineRule="exact"/>
              <w:rPr>
                <w:sz w:val="20"/>
                <w:szCs w:val="20"/>
                <w:color w:val="auto"/>
              </w:rPr>
            </w:pPr>
            <w:r>
              <w:rPr>
                <w:rFonts w:ascii="Arial" w:cs="Arial" w:eastAsia="Arial" w:hAnsi="Arial"/>
                <w:sz w:val="16"/>
                <w:szCs w:val="16"/>
                <w:b w:val="1"/>
                <w:bCs w:val="1"/>
                <w:color w:val="auto"/>
                <w:w w:val="89"/>
              </w:rPr>
              <w:t>Weighted-average</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2"/>
              </w:rPr>
              <w:t>Gross amount</w:t>
            </w:r>
          </w:p>
        </w:tc>
        <w:tc>
          <w:tcPr>
            <w:tcW w:w="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line="161"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Net 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ind w:right="399"/>
              <w:spacing w:after="0"/>
              <w:rPr>
                <w:sz w:val="20"/>
                <w:szCs w:val="20"/>
                <w:color w:val="auto"/>
              </w:rPr>
            </w:pPr>
            <w:r>
              <w:rPr>
                <w:rFonts w:ascii="Arial" w:cs="Arial" w:eastAsia="Arial" w:hAnsi="Arial"/>
                <w:sz w:val="16"/>
                <w:szCs w:val="16"/>
                <w:b w:val="1"/>
                <w:bCs w:val="1"/>
                <w:color w:val="auto"/>
                <w:w w:val="90"/>
              </w:rPr>
              <w:t>useful life</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center"/>
              <w:ind w:right="399"/>
              <w:spacing w:after="0"/>
              <w:rPr>
                <w:sz w:val="20"/>
                <w:szCs w:val="20"/>
                <w:color w:val="auto"/>
              </w:rPr>
            </w:pPr>
            <w:r>
              <w:rPr>
                <w:rFonts w:ascii="Arial" w:cs="Arial" w:eastAsia="Arial" w:hAnsi="Arial"/>
                <w:sz w:val="16"/>
                <w:szCs w:val="16"/>
                <w:color w:val="auto"/>
                <w:w w:val="98"/>
              </w:rPr>
              <w:t>Indefinite</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line="216" w:lineRule="exact"/>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r>
              <w:rPr>
                <w:rFonts w:ascii="Arial" w:cs="Arial" w:eastAsia="Arial" w:hAnsi="Arial"/>
                <w:sz w:val="21"/>
                <w:szCs w:val="21"/>
                <w:color w:val="auto"/>
                <w:vertAlign w:val="superscript"/>
              </w:rPr>
              <w:t>(1)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4"/>
          </w:tcPr>
          <w:p>
            <w:pPr>
              <w:jc w:val="center"/>
              <w:ind w:right="399"/>
              <w:spacing w:after="0"/>
              <w:rPr>
                <w:sz w:val="20"/>
                <w:szCs w:val="20"/>
                <w:color w:val="auto"/>
              </w:rPr>
            </w:pPr>
            <w:r>
              <w:rPr>
                <w:rFonts w:ascii="Arial" w:cs="Arial" w:eastAsia="Arial" w:hAnsi="Arial"/>
                <w:sz w:val="16"/>
                <w:szCs w:val="16"/>
                <w:color w:val="auto"/>
                <w:w w:val="98"/>
              </w:rPr>
              <w:t>Indefinite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(2)</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center"/>
              <w:ind w:right="399"/>
              <w:spacing w:after="0"/>
              <w:rPr>
                <w:sz w:val="20"/>
                <w:szCs w:val="20"/>
                <w:color w:val="auto"/>
              </w:rPr>
            </w:pPr>
            <w:r>
              <w:rPr>
                <w:rFonts w:ascii="Arial" w:cs="Arial" w:eastAsia="Arial" w:hAnsi="Arial"/>
                <w:sz w:val="16"/>
                <w:szCs w:val="16"/>
                <w:color w:val="auto"/>
                <w:w w:val="98"/>
              </w:rPr>
              <w:t>Indefinite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4"/>
          </w:tcPr>
          <w:p>
            <w:pPr>
              <w:jc w:val="center"/>
              <w:ind w:right="399"/>
              <w:spacing w:after="0"/>
              <w:rPr>
                <w:sz w:val="20"/>
                <w:szCs w:val="20"/>
                <w:color w:val="auto"/>
              </w:rPr>
            </w:pPr>
            <w:r>
              <w:rPr>
                <w:rFonts w:ascii="Arial" w:cs="Arial" w:eastAsia="Arial" w:hAnsi="Arial"/>
                <w:sz w:val="16"/>
                <w:szCs w:val="16"/>
                <w:color w:val="auto"/>
                <w:w w:val="89"/>
              </w:rPr>
              <w:t>5-20 years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tradenames</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308,017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419"/>
              <w:spacing w:after="0"/>
              <w:rPr>
                <w:sz w:val="20"/>
                <w:szCs w:val="20"/>
                <w:color w:val="auto"/>
              </w:rPr>
            </w:pPr>
            <w:r>
              <w:rPr>
                <w:rFonts w:ascii="Arial" w:cs="Arial" w:eastAsia="Arial" w:hAnsi="Arial"/>
                <w:sz w:val="16"/>
                <w:szCs w:val="16"/>
                <w:color w:val="auto"/>
                <w:w w:val="87"/>
              </w:rPr>
              <w:t>15 years</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Carter’s Mexico customer relationships</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3"/>
          </w:tcPr>
          <w:p>
            <w:pPr>
              <w:jc w:val="center"/>
              <w:ind w:right="419"/>
              <w:spacing w:after="0"/>
              <w:rPr>
                <w:sz w:val="20"/>
                <w:szCs w:val="20"/>
                <w:color w:val="auto"/>
              </w:rPr>
            </w:pPr>
            <w:r>
              <w:rPr>
                <w:rFonts w:ascii="Arial" w:cs="Arial" w:eastAsia="Arial" w:hAnsi="Arial"/>
                <w:sz w:val="16"/>
                <w:szCs w:val="16"/>
                <w:color w:val="auto"/>
                <w:w w:val="87"/>
              </w:rPr>
              <w:t>10 years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customer relationships</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50,114</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00" w:right="540" w:hanging="492"/>
        <w:spacing w:after="0" w:line="273" w:lineRule="auto"/>
        <w:tabs>
          <w:tab w:leader="none" w:pos="49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500" w:right="640" w:hanging="492"/>
        <w:spacing w:after="0" w:line="273" w:lineRule="auto"/>
        <w:tabs>
          <w:tab w:leader="none" w:pos="49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Amortization expense for intangible assets subject to amortization was approximately $0.9 million for both second fiscal quarters ended July 3, 2021 and June 27, 2020. Amortization expense was approximately $1.9 million for both the first two quarters of fiscal 2021 and for the first two quarters of fiscal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00" w:type="dxa"/>
            <w:vAlign w:val="bottom"/>
            <w:gridSpan w:val="10"/>
          </w:tcPr>
          <w:p>
            <w:pPr>
              <w:ind w:left="220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6120" w:type="dxa"/>
            <w:vAlign w:val="bottom"/>
            <w:gridSpan w:val="3"/>
          </w:tcPr>
          <w:p>
            <w:pPr>
              <w:spacing w:after="0"/>
              <w:rPr>
                <w:sz w:val="20"/>
                <w:szCs w:val="20"/>
                <w:color w:val="auto"/>
              </w:rPr>
            </w:pPr>
            <w:r>
              <w:rPr>
                <w:rFonts w:ascii="Arial" w:cs="Arial" w:eastAsia="Arial" w:hAnsi="Arial"/>
                <w:sz w:val="18"/>
                <w:szCs w:val="18"/>
                <w:color w:val="auto"/>
                <w:w w:val="98"/>
              </w:rPr>
              <w:t>The estimated amortization expense for the next five fiscal years is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80" w:type="dxa"/>
            <w:vAlign w:val="bottom"/>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4"/>
              </w:rPr>
              <w:t>expense</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Remainder of 2021</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2"/>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NOTE 7 – COMMON STOCK</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Open Market Share Repurchases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720" w:type="dxa"/>
            <w:vAlign w:val="bottom"/>
            <w:gridSpan w:val="11"/>
          </w:tcPr>
          <w:p>
            <w:pPr>
              <w:spacing w:after="0"/>
              <w:rPr>
                <w:sz w:val="20"/>
                <w:szCs w:val="20"/>
                <w:color w:val="auto"/>
              </w:rPr>
            </w:pPr>
            <w:r>
              <w:rPr>
                <w:rFonts w:ascii="Arial" w:cs="Arial" w:eastAsia="Arial" w:hAnsi="Arial"/>
                <w:sz w:val="18"/>
                <w:szCs w:val="18"/>
                <w:color w:val="auto"/>
                <w:w w:val="93"/>
              </w:rPr>
              <w:t>The Company repurchased and retired shares in open market transactions in the following amounts for the fiscal periods indicated: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Fiscal quarter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6"/>
          </w:tcPr>
          <w:p>
            <w:pPr>
              <w:ind w:left="460"/>
              <w:spacing w:after="0"/>
              <w:rPr>
                <w:sz w:val="20"/>
                <w:szCs w:val="20"/>
                <w:color w:val="auto"/>
              </w:rPr>
            </w:pPr>
            <w:r>
              <w:rPr>
                <w:rFonts w:ascii="Arial" w:cs="Arial" w:eastAsia="Arial" w:hAnsi="Arial"/>
                <w:sz w:val="16"/>
                <w:szCs w:val="16"/>
                <w:b w:val="1"/>
                <w:bCs w:val="1"/>
                <w:color w:val="auto"/>
              </w:rPr>
              <w:t>Two fiscal quarters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 2021</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27, 2020</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July 3, 2021</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4"/>
              </w:rPr>
              <w:t>June 27,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1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Aggregate cost of shares repurchased (dollars in thousands)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July 3, 2021 was approximately $650.4 million. The authorizations have no expiration date.</w:t>
      </w:r>
    </w:p>
    <w:p>
      <w:pPr>
        <w:spacing w:after="0" w:line="1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previously announced, the Company, in connection with the COVID-19 pandemic, suspended its common stock share repurchase program at the end of the first quarter in fiscal 2020. While the Company may elect to resume repurchases at any time, the timing and amount of any future repurchases will be determined by the Company based on its evaluation of market conditions, share price, investment priorities, and other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1, 2020, in connection with the COVID-19 pandemic, the Company suspended its quarterly cash dividend. As a result, the Company did not declare or pay cash dividends through April 27, 2021. On April 27, 2021, in connection with the announcement of the amendment on the Company’s secured revolving credit facility, the Company’s Board of Directors authorized a quarterly cash dividend payment of $0.40 per common share, which was paid in the second quarter of fiscal 2021.</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did not declare or pay cash dividends in the second fiscal quarter ended June 27, 2020. In the first two fiscal quarters ended June 27, 2020, the Company declared and paid cash dividends per share of $0.60.</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3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Provisions in the Company’s secured revolving credit facility could have the effect of restricting the Company’s ability to pay cash dividends on, or make future repurchases of, its common stock, as further described in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to the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2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27, 2020</w:t>
            </w:r>
          </w:p>
        </w:tc>
      </w:tr>
      <w:tr>
        <w:trPr>
          <w:trHeight w:val="213"/>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$500 million 5.500%</w:t>
            </w: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Notes due May 15, 2025</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7"/>
              </w:rPr>
              <w:t>$500 million 5.625%</w:t>
            </w:r>
          </w:p>
        </w:tc>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Senior Notes due March 15, 2027</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senior notes</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3"/>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(11,351)</w:t>
            </w:r>
          </w:p>
        </w:tc>
      </w:tr>
      <w:tr>
        <w:trPr>
          <w:trHeight w:val="213"/>
        </w:trPr>
        <w:tc>
          <w:tcPr>
            <w:tcW w:w="14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Senior notes, net</w:t>
            </w:r>
          </w:p>
        </w:tc>
        <w:tc>
          <w:tcPr>
            <w:tcW w:w="4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988,649</w:t>
            </w:r>
          </w:p>
        </w:tc>
      </w:tr>
      <w:tr>
        <w:trPr>
          <w:trHeight w:val="213"/>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Secured revolving credit facility</w:t>
            </w:r>
          </w:p>
        </w:tc>
        <w:tc>
          <w:tcPr>
            <w:tcW w:w="3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244,000</w:t>
            </w:r>
          </w:p>
        </w:tc>
      </w:tr>
      <w:tr>
        <w:trPr>
          <w:trHeight w:val="234"/>
        </w:trPr>
        <w:tc>
          <w:tcPr>
            <w:tcW w:w="558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990,437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1,232,649</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July 3, 2021, the Company had no outstanding borrowings under its secured revolving credit facility, exclusive of $4.4 million of outstanding letters of credit. As of July 3, 2021, approximately $745.6 million remained available for future borrowing. Any outstanding borrowings under the Company’s secured revolving credit facility are classified as non-current liabilities on the Company’s consolidated balance sheets because of the contractual repayment terms under the credit facility.</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April 21, 2021, the Company, through its wholly owned subsidiary, The William Carter Company (“TWCC”), entered into Amendment No. 3 to its fourth amended and restated credit agreement (“Amendment No. 3”). Among other things, Amendment No. 3 provides that through the remainder of the Restricted Period, which ends on the date the Company delivers its financial statements and associated certificates relating to the third fiscal quarter of 2021:</w:t>
      </w:r>
    </w:p>
    <w:p>
      <w:pPr>
        <w:spacing w:after="0" w:line="160" w:lineRule="exact"/>
        <w:rPr>
          <w:sz w:val="20"/>
          <w:szCs w:val="20"/>
          <w:color w:val="auto"/>
        </w:rPr>
      </w:pPr>
    </w:p>
    <w:p>
      <w:pPr>
        <w:jc w:val="both"/>
        <w:ind w:left="660" w:right="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must maintain a minimum liquidity (defined as cash-on-hand plus availability under the secured revolving credit facility) on the last day of each fiscal month of at least $950 million (the “Revised Liquidity Requirement”), which was increased by $250 million from $700 million; and</w:t>
      </w:r>
    </w:p>
    <w:p>
      <w:pPr>
        <w:spacing w:after="0" w:line="48" w:lineRule="exact"/>
        <w:rPr>
          <w:rFonts w:ascii="Arial" w:cs="Arial" w:eastAsia="Arial" w:hAnsi="Arial"/>
          <w:sz w:val="18"/>
          <w:szCs w:val="18"/>
          <w:color w:val="auto"/>
        </w:rPr>
      </w:pPr>
    </w:p>
    <w:p>
      <w:pPr>
        <w:ind w:left="660" w:right="200" w:hanging="328"/>
        <w:spacing w:after="0" w:line="29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may make additional restricted payments, including to pay cash dividends and repurchase common stock, in an amount not to exceed $250 million, provided that (a) no default or event of default will have occurred and be continuing or would result from the payment and</w:t>
      </w:r>
    </w:p>
    <w:p>
      <w:pPr>
        <w:ind w:left="660" w:right="160"/>
        <w:spacing w:after="0" w:line="260" w:lineRule="auto"/>
        <w:rPr>
          <w:rFonts w:ascii="Arial" w:cs="Arial" w:eastAsia="Arial" w:hAnsi="Arial"/>
          <w:sz w:val="16"/>
          <w:szCs w:val="16"/>
          <w:color w:val="auto"/>
        </w:rPr>
      </w:pPr>
      <w:r>
        <w:rPr>
          <w:rFonts w:ascii="Arial" w:cs="Arial" w:eastAsia="Arial" w:hAnsi="Arial"/>
          <w:sz w:val="18"/>
          <w:szCs w:val="18"/>
          <w:color w:val="auto"/>
        </w:rPr>
        <w:t>(b) after giving effect to the payment, the Company would have been in compliance with Revised Liquidity Requirement as of the last day of the most recent month.</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Approximately $0.2 million, including both bank fees and other third party expenses, has been capitalized in connection with Amendment No. 3 and is being amortized over the remaining term of the secured revolving credit facility.</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July 3, 2021, the interest rate margins applicable to the secured revolving credit facility were 1.375% for LIBOR (London Interbank Offered Rate) rate loans and 0.375% for base rate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July 3, 2021, the Company was in compliance with its financial and other covenants under the secured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Fiscal quarter ended</w:t>
            </w:r>
          </w:p>
        </w:tc>
        <w:tc>
          <w:tcPr>
            <w:tcW w:w="220" w:type="dxa"/>
            <w:vAlign w:val="bottom"/>
          </w:tcPr>
          <w:p>
            <w:pPr>
              <w:spacing w:after="0"/>
              <w:rPr>
                <w:sz w:val="18"/>
                <w:szCs w:val="18"/>
                <w:color w:val="auto"/>
              </w:rPr>
            </w:pPr>
          </w:p>
        </w:tc>
        <w:tc>
          <w:tcPr>
            <w:tcW w:w="2940" w:type="dxa"/>
            <w:vAlign w:val="bottom"/>
            <w:gridSpan w:val="4"/>
          </w:tcPr>
          <w:p>
            <w:pPr>
              <w:ind w:left="460"/>
              <w:spacing w:after="0"/>
              <w:rPr>
                <w:sz w:val="20"/>
                <w:szCs w:val="20"/>
                <w:color w:val="auto"/>
              </w:rPr>
            </w:pPr>
            <w:r>
              <w:rPr>
                <w:rFonts w:ascii="Arial" w:cs="Arial" w:eastAsia="Arial" w:hAnsi="Arial"/>
                <w:sz w:val="16"/>
                <w:szCs w:val="16"/>
                <w:b w:val="1"/>
                <w:bCs w:val="1"/>
                <w:color w:val="auto"/>
              </w:rPr>
              <w:t>Two fiscal quarters ended</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June 27, 2020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 2021</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June 27, 2020</w:t>
            </w: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center"/>
              <w:ind w:left="739"/>
              <w:spacing w:after="0"/>
              <w:rPr>
                <w:sz w:val="20"/>
                <w:szCs w:val="20"/>
                <w:color w:val="auto"/>
              </w:rPr>
            </w:pPr>
            <w:r>
              <w:rPr>
                <w:rFonts w:ascii="Arial" w:cs="Arial" w:eastAsia="Arial" w:hAnsi="Arial"/>
                <w:sz w:val="16"/>
                <w:szCs w:val="16"/>
                <w:color w:val="auto"/>
                <w:w w:val="89"/>
              </w:rPr>
              <w:t>1,468</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89"/>
              </w:rPr>
              <w:t>5,349</w:t>
            </w: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left="719"/>
              <w:spacing w:after="0"/>
              <w:rPr>
                <w:sz w:val="20"/>
                <w:szCs w:val="20"/>
                <w:color w:val="auto"/>
              </w:rPr>
            </w:pPr>
            <w:r>
              <w:rPr>
                <w:rFonts w:ascii="Arial" w:cs="Arial" w:eastAsia="Arial" w:hAnsi="Arial"/>
                <w:sz w:val="16"/>
                <w:szCs w:val="16"/>
                <w:color w:val="auto"/>
                <w:w w:val="90"/>
              </w:rPr>
              <w:t>(1,927)</w:t>
            </w:r>
          </w:p>
        </w:tc>
      </w:tr>
      <w:tr>
        <w:trPr>
          <w:trHeight w:val="21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left="739"/>
              <w:spacing w:after="0"/>
              <w:rPr>
                <w:sz w:val="20"/>
                <w:szCs w:val="20"/>
                <w:color w:val="auto"/>
              </w:rPr>
            </w:pPr>
            <w:r>
              <w:rPr>
                <w:rFonts w:ascii="Arial" w:cs="Arial" w:eastAsia="Arial" w:hAnsi="Arial"/>
                <w:sz w:val="16"/>
                <w:szCs w:val="16"/>
                <w:color w:val="auto"/>
                <w:w w:val="89"/>
              </w:rPr>
              <w:t>1,595</w:t>
            </w:r>
          </w:p>
        </w:tc>
      </w:tr>
      <w:tr>
        <w:trPr>
          <w:trHeight w:val="213"/>
        </w:trPr>
        <w:tc>
          <w:tcPr>
            <w:tcW w:w="4660" w:type="dxa"/>
            <w:vAlign w:val="bottom"/>
          </w:tcPr>
          <w:p>
            <w:pPr>
              <w:ind w:left="3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w w:val="89"/>
              </w:rPr>
              <w:t>6,485</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recognizes compensation cost ratably over the applicable performance periods based on the estimated probability of achievement of its performance targets at the end of each period. During the first quarter of fiscal 2021, the achievement of</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performance target estimates related to certain performance-based grants were revised resulting in a $2.6 million increase to stock-based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0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As of July 3, 2021, the Company had gross unrecognized income tax benefits of approximately $10.8 million, of which $9.1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Included in the reserves for unrecognized tax benefits at July 3, 2021 is approximately $2.1 million of reserves for which the statute of limitations is expected to expire within the next 12 months. If these tax benefits are ultimately recognized, such recognition, net of federal income taxes, may affect the annual effective income tax rate for fiscal 2021 or fiscal 2022 along with the effective income tax rate in the quarter in which the benefits are recognized.</w:t>
      </w:r>
    </w:p>
    <w:p>
      <w:pPr>
        <w:spacing w:after="0" w:line="12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second fiscal quarter ended July 3, 2021 and June 27, 2020. Interest expense recorded on uncertain tax positions was $0.2 million and $0.5 million for the first two quarters of fiscal 2021 and fiscal 2020, respectively. The Company had approximately $2.2 million, $2.7 million, and $2.8 million of interest accrued on uncertain tax positions as of July 3, 2021, January 2, 2021, and June 27,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$16.5 million, $20.2 million, and $16.4 million at July 3, 2021, January 2, 2021, and June 27, 2020,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$1.1 million for both second fiscal quarters ended July 3, 2021 and June 27, 2020. Gains on the investments in marketable securities were $1.3 million for the two fiscal quarters ended July 3, 2021. Losses on the investments in marketable securities were $1.9 million for the two fiscal quarters ended June 27, 2020. These amounts are included in Other expense (income), net on the Company’s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July 3, 2021, the Company had no outstanding borrowings under its secured revolving credit facility.</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fair value of the Company’s senior notes at July 3, 2021 was approximately $1.05 billion. The fair value of these senior notes with a notional value and carrying value (gross of debt issuance costs) of $1.00 billion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5"/>
          </w:tcPr>
          <w:p>
            <w:pPr>
              <w:ind w:left="46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25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Two fiscal quarters ended</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July 3, 2021</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June 27,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 2021</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June 27, 2020</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572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6"/>
              </w:rPr>
              <w:t>Weighted-average number of common and common equivalent shares outstanding:</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color w:val="auto"/>
              </w:rPr>
              <w:t>Basic number of common shares outstanding</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43,445,780</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43,162,571</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43,408,262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43,259,103</w:t>
            </w: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340"/>
              <w:spacing w:after="0" w:line="219" w:lineRule="exact"/>
              <w:rPr>
                <w:sz w:val="20"/>
                <w:szCs w:val="20"/>
                <w:color w:val="auto"/>
              </w:rPr>
            </w:pPr>
            <w:r>
              <w:rPr>
                <w:rFonts w:ascii="Arial" w:cs="Arial" w:eastAsia="Arial" w:hAnsi="Arial"/>
                <w:sz w:val="16"/>
                <w:szCs w:val="16"/>
                <w:color w:val="auto"/>
              </w:rPr>
              <w:t>Dilutive effect of equity awards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43,615,411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43,310,051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43,559,730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43,259,103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5720" w:type="dxa"/>
            <w:vAlign w:val="bottom"/>
            <w:gridSpan w:val="3"/>
          </w:tcPr>
          <w:p>
            <w:pPr>
              <w:spacing w:after="0" w:line="175" w:lineRule="exact"/>
              <w:rPr>
                <w:sz w:val="20"/>
                <w:szCs w:val="20"/>
                <w:color w:val="auto"/>
              </w:rPr>
            </w:pPr>
            <w:r>
              <w:rPr>
                <w:rFonts w:ascii="Arial" w:cs="Arial" w:eastAsia="Arial" w:hAnsi="Arial"/>
                <w:sz w:val="16"/>
                <w:szCs w:val="16"/>
                <w:color w:val="auto"/>
              </w:rPr>
              <w:t>Earnings per share: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6"/>
                <w:szCs w:val="16"/>
                <w:color w:val="auto"/>
              </w:rPr>
              <w:t>Basic net income (loss) per common share: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(70,538)</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7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income (loss) available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Basic net income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(loss) per common share: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71,603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157,799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(70,538)</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Arial" w:cs="Arial" w:eastAsia="Arial" w:hAnsi="Arial"/>
                <w:sz w:val="16"/>
                <w:szCs w:val="16"/>
                <w:color w:val="auto"/>
              </w:rPr>
              <w:t>Net income (loss) available to common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70,746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(70,790)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Arial" w:cs="Arial" w:eastAsia="Arial" w:hAnsi="Arial"/>
                <w:sz w:val="16"/>
                <w:szCs w:val="16"/>
                <w:color w:val="auto"/>
              </w:rPr>
              <w:t>Diluted net income (loss)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79"/>
        </w:trPr>
        <w:tc>
          <w:tcPr>
            <w:tcW w:w="20" w:type="dxa"/>
            <w:vAlign w:val="bottom"/>
          </w:tcPr>
          <w:p>
            <w:pPr>
              <w:spacing w:after="0"/>
              <w:rPr>
                <w:sz w:val="24"/>
                <w:szCs w:val="24"/>
                <w:color w:val="auto"/>
              </w:rPr>
            </w:pPr>
          </w:p>
        </w:tc>
        <w:tc>
          <w:tcPr>
            <w:tcW w:w="5720" w:type="dxa"/>
            <w:vAlign w:val="bottom"/>
            <w:gridSpan w:val="3"/>
          </w:tcPr>
          <w:p>
            <w:pPr>
              <w:ind w:left="340"/>
              <w:spacing w:after="0"/>
              <w:rPr>
                <w:sz w:val="20"/>
                <w:szCs w:val="20"/>
                <w:color w:val="auto"/>
              </w:rPr>
            </w:pPr>
            <w:r>
              <w:rPr>
                <w:rFonts w:ascii="Arial" w:cs="Arial" w:eastAsia="Arial" w:hAnsi="Arial"/>
                <w:sz w:val="16"/>
                <w:szCs w:val="16"/>
                <w:color w:val="auto"/>
                <w:w w:val="98"/>
              </w:rPr>
              <w:t>Anti-dilutive awards excluded from diluted earnings per share computation</w:t>
            </w:r>
            <w:r>
              <w:rPr>
                <w:rFonts w:ascii="Arial" w:cs="Arial" w:eastAsia="Arial" w:hAnsi="Arial"/>
                <w:sz w:val="21"/>
                <w:szCs w:val="21"/>
                <w:color w:val="auto"/>
                <w:w w:val="98"/>
                <w:vertAlign w:val="superscript"/>
              </w:rPr>
              <w:t>(2)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171,653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957,041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288,122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559,470</w:t>
            </w:r>
          </w:p>
        </w:tc>
      </w:tr>
    </w:tbl>
    <w:p>
      <w:pPr>
        <w:spacing w:after="0" w:line="67" w:lineRule="exact"/>
        <w:rPr>
          <w:sz w:val="20"/>
          <w:szCs w:val="20"/>
          <w:color w:val="auto"/>
        </w:rPr>
      </w:pPr>
    </w:p>
    <w:p>
      <w:pPr>
        <w:ind w:left="500" w:right="340" w:hanging="492"/>
        <w:spacing w:after="0" w:line="273"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two fiscal quarters ended June 27, 2020, there were 230,286 potentially dilutive equity awards that were excluded from the diluted earnings per share calculation because the Company incurred a net loss for this period and their inclusion would be anti-dilutive.</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volume of anti-dilutive awards is, in part, due to the related unamortized compensation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at the end of any comparable period,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3, 2021</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260" w:type="dxa"/>
            <w:vAlign w:val="bottom"/>
          </w:tcPr>
          <w:p>
            <w:pPr>
              <w:spacing w:after="0"/>
              <w:rPr>
                <w:sz w:val="18"/>
                <w:szCs w:val="18"/>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27, 2020</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employee benefits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11,021</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Unredeemed gift cards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15,667</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13,569</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and wages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11,383</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22,322</w:t>
            </w:r>
          </w:p>
        </w:tc>
      </w:tr>
      <w:tr>
        <w:trPr>
          <w:trHeight w:val="23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80,634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The Company’s contractual obligations and commitments include obligations associated with leases, the secured revolving credit agreement, senior notes, employee benefit plans, and facility consolidations/closures as disclosed in Note 16, </w:t>
      </w:r>
      <w:r>
        <w:rPr>
          <w:rFonts w:ascii="Arial" w:cs="Arial" w:eastAsia="Arial" w:hAnsi="Arial"/>
          <w:sz w:val="18"/>
          <w:szCs w:val="18"/>
          <w:i w:val="1"/>
          <w:iCs w:val="1"/>
          <w:color w:val="auto"/>
        </w:rPr>
        <w:t>Organizational Restructuring and Office Consolidation</w:t>
      </w:r>
      <w:r>
        <w:rPr>
          <w:rFonts w:ascii="Arial" w:cs="Arial" w:eastAsia="Arial" w:hAnsi="Arial"/>
          <w:sz w:val="18"/>
          <w:szCs w:val="18"/>
          <w:color w:val="auto"/>
        </w:rPr>
        <w:t>, 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presents certain information for our reportable segments and unallocated corporate expenses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Two fiscal quarters ended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0"/>
              </w:rPr>
              <w:t>June 27,</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July 3,</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3"/>
                <w:szCs w:val="13"/>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3"/>
              </w:rPr>
              <w:t>June 27,</w:t>
            </w:r>
          </w:p>
        </w:tc>
        <w:tc>
          <w:tcPr>
            <w:tcW w:w="100" w:type="dxa"/>
            <w:vAlign w:val="bottom"/>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July 3, 2021</w:t>
            </w:r>
          </w:p>
        </w:tc>
        <w:tc>
          <w:tcPr>
            <w:tcW w:w="120" w:type="dxa"/>
            <w:vAlign w:val="bottom"/>
          </w:tcPr>
          <w:p>
            <w:pPr>
              <w:spacing w:after="0"/>
              <w:rPr>
                <w:sz w:val="14"/>
                <w:szCs w:val="14"/>
                <w:color w:val="auto"/>
              </w:rPr>
            </w:pPr>
          </w:p>
        </w:tc>
        <w:tc>
          <w:tcPr>
            <w:tcW w:w="13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consolidated</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80" w:type="dxa"/>
            <w:vAlign w:val="bottom"/>
            <w:gridSpan w:val="3"/>
          </w:tcPr>
          <w:p>
            <w:pPr>
              <w:spacing w:after="0" w:line="161" w:lineRule="exact"/>
              <w:rPr>
                <w:sz w:val="20"/>
                <w:szCs w:val="20"/>
                <w:color w:val="auto"/>
              </w:rPr>
            </w:pPr>
            <w:r>
              <w:rPr>
                <w:rFonts w:ascii="Arial" w:cs="Arial" w:eastAsia="Arial" w:hAnsi="Arial"/>
                <w:sz w:val="16"/>
                <w:szCs w:val="16"/>
                <w:b w:val="1"/>
                <w:bCs w:val="1"/>
                <w:color w:val="auto"/>
              </w:rPr>
              <w:t>Net sales:</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61.4 %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231,630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151,744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515,007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403,874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34.5 %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91,143</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188,060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128,750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80" w:type="dxa"/>
            <w:vAlign w:val="bottom"/>
            <w:gridSpan w:val="3"/>
          </w:tcPr>
          <w:p>
            <w:pPr>
              <w:ind w:left="340"/>
              <w:spacing w:after="0" w:line="146" w:lineRule="exact"/>
              <w:rPr>
                <w:sz w:val="20"/>
                <w:szCs w:val="20"/>
                <w:color w:val="auto"/>
              </w:rPr>
            </w:pPr>
            <w:r>
              <w:rPr>
                <w:rFonts w:ascii="Arial" w:cs="Arial" w:eastAsia="Arial" w:hAnsi="Arial"/>
                <w:sz w:val="16"/>
                <w:szCs w:val="16"/>
                <w:color w:val="auto"/>
              </w:rPr>
              <w:t>Consolidated net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746,400</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514,885</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98"/>
              </w:rPr>
              <w:t>1,533,761</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1,169,357</w:t>
            </w:r>
          </w:p>
        </w:tc>
        <w:tc>
          <w:tcPr>
            <w:tcW w:w="100" w:type="dxa"/>
            <w:vAlign w:val="bottom"/>
            <w:vMerge w:val="restart"/>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80" w:type="dxa"/>
            <w:vAlign w:val="bottom"/>
            <w:gridSpan w:val="3"/>
          </w:tcPr>
          <w:p>
            <w:pPr>
              <w:ind w:left="340"/>
              <w:spacing w:after="0"/>
              <w:rPr>
                <w:sz w:val="20"/>
                <w:szCs w:val="20"/>
                <w:color w:val="auto"/>
              </w:rPr>
            </w:pPr>
            <w:r>
              <w:rPr>
                <w:rFonts w:ascii="Arial" w:cs="Arial" w:eastAsia="Arial" w:hAnsi="Arial"/>
                <w:sz w:val="16"/>
                <w:szCs w:val="16"/>
                <w:color w:val="auto"/>
              </w:rPr>
              <w:t>sales</w:t>
            </w:r>
          </w:p>
        </w:tc>
        <w:tc>
          <w:tcPr>
            <w:tcW w:w="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3"/>
              </w:rPr>
              <w:t>Operating income (loss):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5"/>
              </w:rPr>
              <w:t>segment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5"/>
              </w:rPr>
              <w:t>segment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4"/>
              </w:rPr>
              <w:t>net sales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40,592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21,192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110,650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23,423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6"/>
                <w:szCs w:val="16"/>
                <w:color w:val="auto"/>
              </w:rPr>
              <w:t>Corporate expenses</w:t>
            </w:r>
            <w:r>
              <w:rPr>
                <w:rFonts w:ascii="Arial" w:cs="Arial" w:eastAsia="Arial" w:hAnsi="Arial"/>
                <w:sz w:val="21"/>
                <w:szCs w:val="21"/>
                <w:color w:val="auto"/>
                <w:vertAlign w:val="superscript"/>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(29,097)</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(57,913)</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(39,072)</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340"/>
              <w:spacing w:after="0" w:line="146" w:lineRule="exact"/>
              <w:rPr>
                <w:sz w:val="20"/>
                <w:szCs w:val="20"/>
                <w:color w:val="auto"/>
              </w:rPr>
            </w:pPr>
            <w:r>
              <w:rPr>
                <w:rFonts w:ascii="Arial" w:cs="Arial" w:eastAsia="Arial" w:hAnsi="Arial"/>
                <w:sz w:val="16"/>
                <w:szCs w:val="16"/>
                <w:color w:val="auto"/>
              </w:rPr>
              <w:t>Consolidated</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ind w:left="340"/>
              <w:spacing w:after="0" w:line="162" w:lineRule="exact"/>
              <w:rPr>
                <w:sz w:val="20"/>
                <w:szCs w:val="20"/>
                <w:color w:val="auto"/>
              </w:rPr>
            </w:pPr>
            <w:r>
              <w:rPr>
                <w:rFonts w:ascii="Arial" w:cs="Arial" w:eastAsia="Arial" w:hAnsi="Arial"/>
                <w:sz w:val="16"/>
                <w:szCs w:val="16"/>
                <w:color w:val="auto"/>
              </w:rPr>
              <w:t>operating income</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107,582</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20,954</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235,078</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(57,524)</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00" w:right="580" w:hanging="492"/>
        <w:spacing w:after="0" w:line="273"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Fiscal quarter ended July 3, 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379"/>
              <w:spacing w:after="0"/>
              <w:rPr>
                <w:sz w:val="20"/>
                <w:szCs w:val="20"/>
                <w:color w:val="auto"/>
              </w:rPr>
            </w:pPr>
            <w:r>
              <w:rPr>
                <w:rFonts w:ascii="Arial" w:cs="Arial" w:eastAsia="Arial" w:hAnsi="Arial"/>
                <w:sz w:val="16"/>
                <w:szCs w:val="16"/>
                <w:b w:val="1"/>
                <w:bCs w:val="1"/>
                <w:color w:val="auto"/>
              </w:rPr>
              <w:t>Two fiscal quarters ended July 3,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Charges:</w:t>
            </w:r>
          </w:p>
        </w:tc>
        <w:tc>
          <w:tcPr>
            <w:tcW w:w="1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U.S.</w:t>
            </w: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U.S.</w:t>
            </w:r>
          </w:p>
        </w:tc>
        <w:tc>
          <w:tcPr>
            <w:tcW w:w="12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0"/>
              </w:rPr>
              <w:t>Wholesale</w:t>
            </w: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0"/>
              </w:rPr>
              <w:t>Wholesale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Incremental costs associated with COVID-19 pandemic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89"/>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line="216"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00" w:type="dxa"/>
            <w:vAlign w:val="bottom"/>
          </w:tcPr>
          <w:p>
            <w:pPr>
              <w:jc w:val="center"/>
              <w:ind w:left="459"/>
              <w:spacing w:after="0"/>
              <w:rPr>
                <w:sz w:val="20"/>
                <w:szCs w:val="20"/>
                <w:color w:val="auto"/>
              </w:rPr>
            </w:pPr>
            <w:r>
              <w:rPr>
                <w:rFonts w:ascii="Arial" w:cs="Arial" w:eastAsia="Arial" w:hAnsi="Arial"/>
                <w:sz w:val="16"/>
                <w:szCs w:val="16"/>
                <w:color w:val="auto"/>
                <w:w w:val="97"/>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459"/>
              <w:spacing w:after="0"/>
              <w:rPr>
                <w:sz w:val="20"/>
                <w:szCs w:val="20"/>
                <w:color w:val="auto"/>
              </w:rPr>
            </w:pPr>
            <w:r>
              <w:rPr>
                <w:rFonts w:ascii="Arial" w:cs="Arial" w:eastAsia="Arial" w:hAnsi="Arial"/>
                <w:sz w:val="16"/>
                <w:szCs w:val="16"/>
                <w:color w:val="auto"/>
                <w:w w:val="91"/>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Gain on modification of retail store leases</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97"/>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91"/>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ind w:left="340"/>
              <w:spacing w:after="0" w:line="210" w:lineRule="exact"/>
              <w:rPr>
                <w:sz w:val="20"/>
                <w:szCs w:val="20"/>
                <w:color w:val="auto"/>
              </w:rPr>
            </w:pPr>
            <w:r>
              <w:rPr>
                <w:rFonts w:ascii="Arial" w:cs="Arial" w:eastAsia="Arial" w:hAnsi="Arial"/>
                <w:sz w:val="16"/>
                <w:szCs w:val="16"/>
                <w:color w:val="auto"/>
              </w:rPr>
              <w:t>Total charges</w:t>
            </w:r>
            <w:r>
              <w:rPr>
                <w:rFonts w:ascii="Arial" w:cs="Arial" w:eastAsia="Arial" w:hAnsi="Arial"/>
                <w:sz w:val="21"/>
                <w:szCs w:val="21"/>
                <w:color w:val="auto"/>
                <w:vertAlign w:val="superscript"/>
              </w:rPr>
              <w:t>(3)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6"/>
                <w:szCs w:val="16"/>
                <w:color w:val="auto"/>
                <w:w w:val="97"/>
              </w:rPr>
              <w:t>(0.5)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6"/>
                <w:szCs w:val="16"/>
                <w:color w:val="auto"/>
                <w:w w:val="91"/>
              </w:rPr>
              <w:t>(0.9)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00" w:right="300" w:hanging="492"/>
        <w:spacing w:after="0" w:line="273"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Fiscal quarter and two fiscal quarters ended July 3, 2021 include $2.3 million of costs associated with the early exit of the Canada corporate office lease. Fiscal quarter and two fiscal quarters ended July 3, 2021 also includes corporate charges related to organizational restructuring of $0.5 million and $0.9 million, respectively.</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Related to gains on the modification of previously impaired retail store leases.</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charges for two fiscal quarters ended July 3, 2021 exclude a customer bankruptcy recovery of $38,000.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6"/>
                <w:szCs w:val="16"/>
                <w:b w:val="1"/>
                <w:bCs w:val="1"/>
                <w:color w:val="auto"/>
              </w:rPr>
              <w:t>Fiscal quarter ended June 27, 2020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w w:val="98"/>
              </w:rPr>
              <w:t>Two fiscal quarters ended June 27,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Charges:</w:t>
            </w:r>
          </w:p>
        </w:tc>
        <w:tc>
          <w:tcPr>
            <w:tcW w:w="1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U.S.</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U.S.</w:t>
            </w:r>
          </w:p>
        </w:tc>
        <w:tc>
          <w:tcPr>
            <w:tcW w:w="12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0"/>
              </w:rPr>
              <w:t>Wholesale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w w:val="97"/>
              </w:rPr>
              <w:t>Incremental costs associated with COVID-19 pandemic</w:t>
            </w:r>
            <w:r>
              <w:rPr>
                <w:rFonts w:ascii="Arial" w:cs="Arial" w:eastAsia="Arial" w:hAnsi="Arial"/>
                <w:sz w:val="21"/>
                <w:szCs w:val="21"/>
                <w:color w:val="auto"/>
                <w:w w:val="97"/>
                <w:vertAlign w:val="superscript"/>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20" w:type="dxa"/>
            <w:vAlign w:val="bottom"/>
            <w:gridSpan w:val="2"/>
          </w:tcPr>
          <w:p>
            <w:pPr>
              <w:spacing w:after="0" w:line="166" w:lineRule="exact"/>
              <w:rPr>
                <w:sz w:val="20"/>
                <w:szCs w:val="20"/>
                <w:color w:val="auto"/>
              </w:rPr>
            </w:pPr>
            <w:r>
              <w:rPr>
                <w:rFonts w:ascii="Arial" w:cs="Arial" w:eastAsia="Arial" w:hAnsi="Arial"/>
                <w:sz w:val="16"/>
                <w:szCs w:val="16"/>
                <w:color w:val="auto"/>
              </w:rPr>
              <w:t>Retail store operating leases and other long-lived asset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impairments</w:t>
            </w: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charges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two fiscal quarters ended June 27, 2020 also includes corporate charges related to organizational restructuring of $1.6 million.</w:t>
      </w:r>
    </w:p>
    <w:p>
      <w:pPr>
        <w:spacing w:after="0" w:line="55" w:lineRule="exact"/>
        <w:rPr>
          <w:rFonts w:ascii="Arial" w:cs="Arial" w:eastAsia="Arial" w:hAnsi="Arial"/>
          <w:sz w:val="14"/>
          <w:szCs w:val="14"/>
          <w:color w:val="auto"/>
        </w:rPr>
      </w:pPr>
    </w:p>
    <w:p>
      <w:pPr>
        <w:ind w:left="500" w:right="420" w:hanging="492"/>
        <w:spacing w:after="0" w:line="273" w:lineRule="auto"/>
        <w:tabs>
          <w:tab w:leader="none" w:pos="49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reclassified $0.2 million of employee-related costs from Incremental costs associated with COVID-19 pandemic to Organizational restructuring for the second fiscal quarter and two fiscal quarters ended June 27,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ORGANIZATIONAL RESTRUCTURING AND OFFICE CONSOLIDATION</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previously announced, the Company initiated several organizational restructuring initiatives which included a reorganization of staffing models across multiple functions to drive labor savings and increase efficiencies, the consolidation of certain functions into our corporate headquarters in Atlanta, Georgia, and over 100 planned store closures by the end of fiscal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these initiatives, the Company recorded the following charges in selling, general and administrative expenses: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5"/>
          </w:tcPr>
          <w:p>
            <w:pPr>
              <w:ind w:left="780"/>
              <w:spacing w:after="0"/>
              <w:rPr>
                <w:sz w:val="20"/>
                <w:szCs w:val="20"/>
                <w:color w:val="auto"/>
              </w:rPr>
            </w:pPr>
            <w:r>
              <w:rPr>
                <w:rFonts w:ascii="Arial" w:cs="Arial" w:eastAsia="Arial" w:hAnsi="Arial"/>
                <w:sz w:val="16"/>
                <w:szCs w:val="16"/>
                <w:b w:val="1"/>
                <w:bCs w:val="1"/>
                <w:color w:val="auto"/>
              </w:rPr>
              <w:t>Fiscal quarter ended</w:t>
            </w:r>
          </w:p>
        </w:tc>
        <w:tc>
          <w:tcPr>
            <w:tcW w:w="280" w:type="dxa"/>
            <w:vAlign w:val="bottom"/>
          </w:tcPr>
          <w:p>
            <w:pPr>
              <w:spacing w:after="0"/>
              <w:rPr>
                <w:sz w:val="18"/>
                <w:szCs w:val="18"/>
                <w:color w:val="auto"/>
              </w:rPr>
            </w:pPr>
          </w:p>
        </w:tc>
        <w:tc>
          <w:tcPr>
            <w:tcW w:w="33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Two fiscal quarters ended</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 2021</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June 27, 2020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 2021</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27, 2020</w:t>
            </w:r>
          </w:p>
        </w:tc>
      </w:tr>
      <w:tr>
        <w:trPr>
          <w:trHeight w:val="212"/>
        </w:trPr>
        <w:tc>
          <w:tcPr>
            <w:tcW w:w="390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Severance and other termination benefits</w:t>
            </w:r>
            <w:r>
              <w:rPr>
                <w:rFonts w:ascii="Arial" w:cs="Arial" w:eastAsia="Arial" w:hAnsi="Arial"/>
                <w:sz w:val="21"/>
                <w:szCs w:val="21"/>
                <w:color w:val="auto"/>
                <w:vertAlign w:val="superscript"/>
              </w:rPr>
              <w: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Lease exit costs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Relocation and recruiting</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r>
      <w:tr>
        <w:trPr>
          <w:trHeight w:val="21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closure costs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8"/>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Severance and other termination benefits in the two fiscal quarters ended July 3, 2021 reflect revised employee assumptions.</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paid approximately $1.5 million and $4.5 million in severance and other termination benefits during the second fiscal quarter and two fiscal quarters ended July 3, 2021, respectively. As of July 3, 2021, there was approximately $2.5 million in reserves related to severance and other termination benefits expected to be paid out during fiscal 2021 included in Other current liabilities in the accompanying unaudited condensed consolidated balance sheets as of July 3, 2021. The Company expects to incur additional restructuring-related severance charges of approximately $0.5 million through fiscal 2021.</w:t>
      </w:r>
    </w:p>
    <w:p>
      <w:pPr>
        <w:spacing w:after="0" w:line="143" w:lineRule="exact"/>
        <w:rPr>
          <w:sz w:val="20"/>
          <w:szCs w:val="20"/>
          <w:color w:val="auto"/>
        </w:rPr>
      </w:pPr>
    </w:p>
    <w:p>
      <w:pPr>
        <w:ind w:right="1220"/>
        <w:spacing w:after="0" w:line="35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2021 or any other future period, assessment of our performance and financial position, drivers of our sales and earnings growth, and the effects of the COVID-19 pandemic, including with respect to our plans to close certain retail stores and the impacts of supply chain delays and increased freight costs.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in our most recently filed Annual Report on Form 10-K, in Part I. under the heading “Item 1A. Risk Factors”, and other reports filed by the Company with the Securities and Exchange Commission from time to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in 2005.</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2017.</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Our multi-channel global business model, which includes retail stores, eCommerce, and wholesale sales channels, as well as omni-channel capabilities in the United States and Canada, enables us to reach a broad range of consumers around the world. We have extensive experience in the young children’s apparel and accessories market and focus on delivering products that satisfy our consumers’ needs. As of July 3, 2021, the Company operated 1,003 retail stores in North America.</w:t>
      </w:r>
    </w:p>
    <w:p>
      <w:pPr>
        <w:spacing w:after="0" w:line="15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2020 fiscal year ended January 2,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fourth quarter of fiscal 2020, we announced plans to close over 100 retail stores by the end of fiscal 2021. We closed approximately 90 stores in the United States in the first two quarters of fiscal 2021, and we expect to close approximately 25 more stores in the second half of fiscal 2021. These retail store closures are primarily related to less profitable stores or stores in less trafficked shopping centers. We continue to look for profitable retail store locations that allow us to better serve customers, including our omni-channel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Fiscal Quarter 2021 Financial Highlights</w:t>
      </w:r>
    </w:p>
    <w:p>
      <w:pPr>
        <w:spacing w:after="0" w:line="10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business segments delivered double digit growth in net sales and operating income.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net sales increased $231.5 million, or 45.0%, to $746.4 million in the second quarter of fiscal 2021.</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believe that this increase in demand was driven by progress in vaccinations, easing restrictions related to COVID-19, the passage of pandemic relief legislation in March 2021, and a return to in-person classes driving back-to-school sales.</w:t>
      </w:r>
    </w:p>
    <w:p>
      <w:pPr>
        <w:spacing w:after="0" w:line="8" w:lineRule="exact"/>
        <w:rPr>
          <w:rFonts w:ascii="Arial" w:cs="Arial" w:eastAsia="Arial" w:hAnsi="Arial"/>
          <w:sz w:val="18"/>
          <w:szCs w:val="18"/>
          <w:color w:val="auto"/>
        </w:rPr>
      </w:pPr>
    </w:p>
    <w:p>
      <w:pPr>
        <w:ind w:left="1300" w:hanging="320"/>
        <w:spacing w:after="0" w:line="259"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Growth in our North American retail store sales was primarily driven by increased store traffic due to more stores being open throughout the second quarter of fiscal 2021 compared to the second quarter of fiscal 2020 and increased average selling prices per unit. The second quarter of fiscal 2020 was adversely impacted by the temporary closure of our retail stores in April and May 2020 and reduced demand as a result of disruptions related to COVID-19.</w:t>
      </w:r>
    </w:p>
    <w:p>
      <w:pPr>
        <w:spacing w:after="0" w:line="24" w:lineRule="exact"/>
        <w:rPr>
          <w:rFonts w:ascii="Arial" w:cs="Arial" w:eastAsia="Arial" w:hAnsi="Arial"/>
          <w:sz w:val="18"/>
          <w:szCs w:val="18"/>
          <w:color w:val="auto"/>
        </w:rPr>
      </w:pPr>
    </w:p>
    <w:p>
      <w:pPr>
        <w:ind w:left="1300" w:right="50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omni-channel programs continued to deliver growth as a result of our investments and enhancements in these programs, which included implementing omni-channel programs in Canada in the second quarter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fiscal 2021 and expanding our curbside pickup program and direct-from-store shipment program in fiscal 2020.</w:t>
      </w:r>
    </w:p>
    <w:p>
      <w:pPr>
        <w:spacing w:after="0" w:line="63" w:lineRule="exact"/>
        <w:rPr>
          <w:sz w:val="20"/>
          <w:szCs w:val="20"/>
          <w:color w:val="auto"/>
        </w:rPr>
      </w:pPr>
    </w:p>
    <w:p>
      <w:pPr>
        <w:ind w:left="1300" w:hanging="320"/>
        <w:spacing w:after="0" w:line="308" w:lineRule="auto"/>
        <w:tabs>
          <w:tab w:leader="none" w:pos="12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We saw demand from our wholesale customers increase meaningfully in the second quarter of fiscal 2021 compared to the second quarter of fiscal 2020 as many of these customers had cancelled or deferred orders of our product in response to COVID-19.</w:t>
      </w:r>
    </w:p>
    <w:p>
      <w:pPr>
        <w:spacing w:after="0" w:line="24" w:lineRule="exact"/>
        <w:rPr>
          <w:rFonts w:ascii="Arial" w:cs="Arial" w:eastAsia="Arial" w:hAnsi="Arial"/>
          <w:sz w:val="17"/>
          <w:szCs w:val="17"/>
          <w:color w:val="auto"/>
        </w:rPr>
      </w:pPr>
    </w:p>
    <w:p>
      <w:pPr>
        <w:ind w:left="660" w:right="120" w:hanging="328"/>
        <w:spacing w:after="0" w:line="273" w:lineRule="auto"/>
        <w:tabs>
          <w:tab w:leader="none" w:pos="656" w:val="left"/>
        </w:tabs>
        <w:numPr>
          <w:ilvl w:val="0"/>
          <w:numId w:val="17"/>
        </w:numPr>
        <w:rPr>
          <w:rFonts w:ascii="Arial" w:cs="Arial" w:eastAsia="Arial" w:hAnsi="Arial"/>
          <w:sz w:val="13"/>
          <w:szCs w:val="13"/>
          <w:b w:val="1"/>
          <w:bCs w:val="1"/>
          <w:color w:val="auto"/>
        </w:rPr>
      </w:pPr>
      <w:r>
        <w:rPr>
          <w:rFonts w:ascii="Arial" w:cs="Arial" w:eastAsia="Arial" w:hAnsi="Arial"/>
          <w:sz w:val="17"/>
          <w:szCs w:val="17"/>
          <w:color w:val="auto"/>
        </w:rPr>
        <w:t>Gross profit increased $133.2 million, or 56.6%, to $368.7 million in the second quarter of fiscal 2021. Gross margin increased 370 basis points (“bps”) to 49.4% in the second quarter of fiscal 2021, primarily driven by higher consolidated net sales across our business segments, increased average selling prices per unit, decreased promotions, and decreased product costs. We are experiencing some COVID-19 related headwinds which have caused supply chain delays, including delays in the receipt of our product, and an increase in inbound freight costs. These headwinds could also adversely impact our financial results in the second half of 2021 as we expect to increase spending in the second half of fiscal 2021 to expedite shipments from Asia to mitigate pandemic-related delays in production.</w:t>
      </w:r>
    </w:p>
    <w:p>
      <w:pPr>
        <w:spacing w:after="0" w:line="42" w:lineRule="exact"/>
        <w:rPr>
          <w:rFonts w:ascii="Arial" w:cs="Arial" w:eastAsia="Arial" w:hAnsi="Arial"/>
          <w:sz w:val="13"/>
          <w:szCs w:val="13"/>
          <w:b w:val="1"/>
          <w:bCs w:val="1"/>
          <w:color w:val="auto"/>
        </w:rPr>
      </w:pPr>
    </w:p>
    <w:p>
      <w:pPr>
        <w:ind w:left="660" w:right="160" w:hanging="328"/>
        <w:spacing w:after="0" w:line="27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Selling, general and administrative (“SG&amp;A”) expenses as a percentage of total net sales (“SG&amp;A rate”) decreased 650 bps to 35.9% for the second quarter of fiscal 2021. The decrease in the SG&amp;A rate was primarily driven by increased consolidated net sales, decreased organizational restructuring charges, decreased costs associated with the COVID-19 pandemic, and impairment charges on operating lease assets in the second quarter of fiscal 2020 that did not reoccur in the second quarter of fiscal 2021. We expect to incur additional performance-based compensation costs in the second half of fiscal 2021 compared to the second half of fiscal 2020.</w:t>
      </w:r>
    </w:p>
    <w:p>
      <w:pPr>
        <w:spacing w:after="0" w:line="5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income increased $86.6 million to $107.6 million in the second quarter of fiscal 2021, primarily due to the factors discussed above.</w:t>
      </w:r>
    </w:p>
    <w:p>
      <w:pPr>
        <w:spacing w:after="0" w:line="126"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increased $63.4 million to $71.6 million in the second quarter of fiscal 2021, primarily due to the factors discussed above and the tax impacts of each quarter.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Diluted net income per common share increased from $0.19 to $1.62 in the second quarter of fiscal 2021.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total of $17.6 million was returned to our shareholders, comprised of a $0.40 per share cash dividend.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FISCAL QUARTER ENDED JULY 3, 2021 COMPARED TO SECOND FISCAL QUARTER ENDED JUNE 27, 2020</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0" w:type="dxa"/>
            <w:vAlign w:val="bottom"/>
            <w:gridSpan w:val="5"/>
          </w:tcPr>
          <w:p>
            <w:pPr>
              <w:ind w:left="920"/>
              <w:spacing w:after="0"/>
              <w:rPr>
                <w:sz w:val="20"/>
                <w:szCs w:val="20"/>
                <w:color w:val="auto"/>
              </w:rPr>
            </w:pPr>
            <w:r>
              <w:rPr>
                <w:rFonts w:ascii="Arial" w:cs="Arial" w:eastAsia="Arial" w:hAnsi="Arial"/>
                <w:sz w:val="15"/>
                <w:szCs w:val="15"/>
                <w:b w:val="1"/>
                <w:bCs w:val="1"/>
                <w:color w:val="auto"/>
              </w:rPr>
              <w:t>Fiscal quarter ended</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 except per share data)</w:t>
            </w: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July 3, 2021</w:t>
            </w: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June 27, 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rPr>
              <w:t>% / bps Change</w:t>
            </w:r>
          </w:p>
        </w:tc>
        <w:tc>
          <w:tcPr>
            <w:tcW w:w="0" w:type="dxa"/>
            <w:vAlign w:val="bottom"/>
          </w:tcPr>
          <w:p>
            <w:pPr>
              <w:spacing w:after="0"/>
              <w:rPr>
                <w:sz w:val="1"/>
                <w:szCs w:val="1"/>
                <w:color w:val="auto"/>
              </w:rPr>
            </w:pP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Consolidated net sales</w:t>
            </w: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746,400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514,885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231,515</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45.0 %</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Cost of goods sold</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379,793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284,073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95,720</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33.7 %</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Adverse purchase commitments (inventory and raw materials),</w:t>
            </w:r>
          </w:p>
        </w:tc>
        <w:tc>
          <w:tcPr>
            <w:tcW w:w="32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(2,100)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(4,703)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2,603</w:t>
            </w:r>
          </w:p>
        </w:tc>
        <w:tc>
          <w:tcPr>
            <w:tcW w:w="1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20" w:type="dxa"/>
            <w:vAlign w:val="bottom"/>
          </w:tcPr>
          <w:p>
            <w:pPr>
              <w:spacing w:after="0"/>
              <w:rPr>
                <w:sz w:val="16"/>
                <w:szCs w:val="16"/>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368,707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235,515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133,192</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56.6 %</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Gross profit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49.4 %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45.7 %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370 bps</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Royalty income, net</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6,645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3,588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3,057</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85.2 %</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Royalty income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0.9 %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0.7 %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20 bps</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267,770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218,149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49,621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22.7 %</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SG&amp;A expenses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35.9 %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42.4 %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(650) bps</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Operating income</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107,582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20,954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86,628</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&gt;100%</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Operating income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14.4 %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4.1 %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1,030 bps</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15,295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15,312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222</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93,211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87,733</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&gt;100%</w:t>
            </w:r>
          </w:p>
        </w:tc>
        <w:tc>
          <w:tcPr>
            <w:tcW w:w="0" w:type="dxa"/>
            <w:vAlign w:val="bottom"/>
          </w:tcPr>
          <w:p>
            <w:pPr>
              <w:spacing w:after="0"/>
              <w:rPr>
                <w:sz w:val="1"/>
                <w:szCs w:val="1"/>
                <w:color w:val="auto"/>
              </w:rPr>
            </w:pP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provision (benefit)</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21,608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24,286</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0"/>
        </w:trPr>
        <w:tc>
          <w:tcPr>
            <w:tcW w:w="4040" w:type="dxa"/>
            <w:vAlign w:val="bottom"/>
            <w:shd w:val="clear" w:color="auto" w:fill="CCEEFF"/>
          </w:tcPr>
          <w:p>
            <w:pPr>
              <w:ind w:left="220"/>
              <w:spacing w:after="0" w:line="200" w:lineRule="exact"/>
              <w:rPr>
                <w:sz w:val="20"/>
                <w:szCs w:val="20"/>
                <w:color w:val="auto"/>
              </w:rPr>
            </w:pPr>
            <w:r>
              <w:rPr>
                <w:rFonts w:ascii="Arial" w:cs="Arial" w:eastAsia="Arial" w:hAnsi="Arial"/>
                <w:sz w:val="15"/>
                <w:szCs w:val="15"/>
                <w:i w:val="1"/>
                <w:iCs w:val="1"/>
                <w:color w:val="auto"/>
              </w:rPr>
              <w:t>Effective tax rate</w:t>
            </w:r>
            <w:r>
              <w:rPr>
                <w:rFonts w:ascii="Arial" w:cs="Arial" w:eastAsia="Arial" w:hAnsi="Arial"/>
                <w:sz w:val="19"/>
                <w:szCs w:val="19"/>
                <w:i w:val="1"/>
                <w:iCs w:val="1"/>
                <w:color w:val="auto"/>
                <w:vertAlign w:val="superscript"/>
              </w:rPr>
              <w:t>(*)</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23.2 %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(48.9)%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nm</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71,603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8,156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63,447</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&gt;100%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Basic net income per common share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ind w:right="124"/>
              <w:spacing w:after="0"/>
              <w:rPr>
                <w:sz w:val="20"/>
                <w:szCs w:val="20"/>
                <w:color w:val="auto"/>
              </w:rPr>
            </w:pPr>
            <w:r>
              <w:rPr>
                <w:rFonts w:ascii="Arial" w:cs="Arial" w:eastAsia="Arial" w:hAnsi="Arial"/>
                <w:sz w:val="15"/>
                <w:szCs w:val="15"/>
                <w:color w:val="auto"/>
              </w:rPr>
              <w:t>0.19</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&gt;100%</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net income per common share</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&gt;100%</w:t>
            </w: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5"/>
                <w:szCs w:val="15"/>
                <w:color w:val="auto"/>
              </w:rPr>
              <w:t>Dividend declared and paid per common share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124"/>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(benefit)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Consolidated net sales increased $231.5 million, or 45.0%, to $746.4 million in the second quarter of fiscal 2021. This increase was primarily driven by increased retail store traffic due to more stores being open throughout the second quarter of fiscal 2021 compared to the second quarter of fiscal 2020, increased demand with certain of our wholesale customers as these customers began to recover from business disruptions in the second quarter of fiscal 2020 as a result of COVID-19, expansion of our omni-channel programs, and increased average selling prices per unit, partially offset by decreased net sales through our eCommerce channel. We believe that this increase in demand was driven by progress in vaccinations, easing restrictions related to COVID-19, the passage of pandemic relief legislation in March 2021, and a return to in-person classes driving back-to-school sales. The second quarter of fiscal 2020 was adversely impacted by the closure of our North American retail stores in April and May 2020 and reduced demand as a result of disruptions related to COVID-19. As a result, some demand shifted from retail stores to our eCommerce channel in the second quarter of fiscal 2020. Changes in foreign currency exchange rates used for translation in the second quarter of fiscal 2021, as compared to the second quarter of fiscal 2020, had a favorable effect on our consolidated net sales of approximately $8.0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consolidated gross profit increased $133.2 million, or 56.6%, to $368.7 million in the second quarter of fiscal 2021. Consolidated gross margin increased 370 bps to 49.4% in the second quarter of fiscal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Gross profit is calculated as consolidated net sales less cost of goods sold less adverse purchase commitments, net,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2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consolidated gross profit and gross margin was primarily driven by higher consolidated net sales across our businesses segments, increased average selling prices per unit, decreased promotions, and decreased product costs, partially offset by a decreased benefit in inventory provisions and fabric purchase commitment charges related to better than expected sales of inventory and utilization of fabric that were reserved for in the first quarter of fiscal 2020, as well as increased inbound transportation and freight costs as a result of supply chain delays.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Royalty income increased $3.1 million, or 85.2%, to $6.6 million in the second quarter of fiscal 2021, primarily due to increased licensee sales volume as our licensees began to recover from business disruptions related to COVID-19 pandemic.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Consolidated SG&amp;A expenses increased $49.6 million, or 22.7%, to $267.8 million in the second quarter of fiscal 2021 and decreased as a percentage of consolidated net sales by approximately 650 bps to 35.9%. This decrease in SG&amp;A rate was primarily driven by increased consolidated net sales, decreased organizational restructuring charges, decreased costs associated with the COVID-19 pandemic, impairment charges on operating lease assets in the second quarter of fiscal 2020 that did not reoccur in the second quarter of fiscal 2021, and decreased eCommerce fulfillment costs as a result of decreased eCommerce units shipped, partially offset by increased performance-based compensation expense, increased costs related to productivity initiatives, and increased distribution costs as a result of more units shipped to retail stores.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Consolidated operating income increased $86.6 million to $107.6 million in the second quarter of fiscal 2021 and increased as a percentage of net sales by approximately 1,030 bps to 14.4% in the second quarter of fiscal 2021, primarily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expense was $15.3 million both in the second quarter of fiscal 2021 and in the second quarter of fiscal 2020. Weighted-average borrowings for the second quarter of fiscal 2021 were $1.0 billion at an effective interest rate of 6.04%, compared to weighted-average borrowings for the second quarter of fiscal 2020 of $1.3 billion at an effective interest rate of 4.76%.</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decrease in weighted-average borrowings during the second quarter of fiscal 2021 was attributable to the absence of borrowings under our secured revolving credit facility during the second quarter of fiscal 2021, partially offset by the issuance of $500 million in principal amount of senior notes due 2025 in May 2020. The increase in the effective interest rate for the second quarter of fiscal 2021 was primarily due to the absence of borrowings under our secured revolving credit facility, which bore a lower interest rate than our senior notes, during the second quarter of fiscal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was $0.7 million in the second quarter of fiscal 2021 compared to other expense, net of $0.6 million in the second quarter of fiscal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Our consolidated income tax provision was $21.6 million in the second quarter of fiscal 2021 compared to an income tax benefit of $2.7 million in the second quarter of fiscal 2020. Our effective tax rate was 23.2% in the second quarter of fiscal 2021 compared to (48.9)% in the second quarter of fiscal 2020. The effective tax rate for the second quarter of fiscal 2021 reflects our full year expectations regarding the components of our taxable income by jurisdiction, with the majority of the income earned in the U.S. under existing U.S. tax legislation.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consolidated net income increased $63.4 million to $71.6 million in the second quarter of fiscal 2021. This increase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Second Quarter of Fiscal 2021 compared to Second Quarter of Fiscal 2020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net sales and operating income, by segment, for the second quarter of fiscal 2021 and the second quarter of fiscal 2020:</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Fiscal quarter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July 3, 2021</w:t>
            </w: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8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27, 2020</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2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sales</w:t>
            </w: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423,627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316,016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107,611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91,143</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44,018</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Consolidated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746,400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514,885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231,515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of segment net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87,080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20.6 %</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23,720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59"/>
              <w:spacing w:after="0"/>
              <w:rPr>
                <w:sz w:val="20"/>
                <w:szCs w:val="20"/>
                <w:color w:val="auto"/>
              </w:rPr>
            </w:pPr>
            <w:r>
              <w:rPr>
                <w:rFonts w:ascii="Arial" w:cs="Arial" w:eastAsia="Arial" w:hAnsi="Arial"/>
                <w:sz w:val="16"/>
                <w:szCs w:val="16"/>
                <w:color w:val="auto"/>
                <w:w w:val="93"/>
              </w:rPr>
              <w:t>63,360</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3"/>
              </w:rPr>
              <w:t>19,400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91.5 %</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9,007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(5,514)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center"/>
              <w:ind w:left="59"/>
              <w:spacing w:after="0"/>
              <w:rPr>
                <w:sz w:val="20"/>
                <w:szCs w:val="20"/>
                <w:color w:val="auto"/>
              </w:rPr>
            </w:pPr>
            <w:r>
              <w:rPr>
                <w:rFonts w:ascii="Arial" w:cs="Arial" w:eastAsia="Arial" w:hAnsi="Arial"/>
                <w:sz w:val="16"/>
                <w:szCs w:val="16"/>
                <w:color w:val="auto"/>
                <w:w w:val="93"/>
              </w:rPr>
              <w:t>14,521</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(10,653)</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57.8 %</w:t>
            </w:r>
          </w:p>
        </w:tc>
        <w:tc>
          <w:tcPr>
            <w:tcW w:w="0" w:type="dxa"/>
            <w:vAlign w:val="bottom"/>
          </w:tcPr>
          <w:p>
            <w:pPr>
              <w:spacing w:after="0"/>
              <w:rPr>
                <w:sz w:val="1"/>
                <w:szCs w:val="1"/>
                <w:color w:val="auto"/>
              </w:rPr>
            </w:pPr>
          </w:p>
        </w:tc>
      </w:tr>
      <w:tr>
        <w:trPr>
          <w:trHeight w:val="213"/>
        </w:trPr>
        <w:tc>
          <w:tcPr>
            <w:tcW w:w="3080" w:type="dxa"/>
            <w:vAlign w:val="bottom"/>
          </w:tcPr>
          <w:p>
            <w:pPr>
              <w:ind w:left="340"/>
              <w:spacing w:after="0"/>
              <w:rPr>
                <w:sz w:val="20"/>
                <w:szCs w:val="20"/>
                <w:color w:val="auto"/>
              </w:rPr>
            </w:pPr>
            <w:r>
              <w:rPr>
                <w:rFonts w:ascii="Arial" w:cs="Arial" w:eastAsia="Arial" w:hAnsi="Arial"/>
                <w:sz w:val="16"/>
                <w:szCs w:val="16"/>
                <w:color w:val="auto"/>
              </w:rPr>
              <w:t>Consolidated operating income</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107,582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3"/>
              </w:rPr>
              <w:t>86,628</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temporary store closures in the second quarter of fiscal 2020 in response to COVID-19, we have not included a discussion of the second quarter of fiscal 2021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U.S. Retail segment net sales increased $107.6 million, or 34.1%, to $423.6 million in the second quarter of fiscal 2021. The increase in net sales was primarily driven by increased retail store traffic due to more stores being open throughout the second quarter of fiscal 2021 compared to the second quarter of fiscal 2020 as the Company recovered from business disruptions related to COVID-19 and increased average selling prices per unit as a result of decreased promotions, partially offset by decreased net sales through our eCommerce channel as more sales shifted back to the retail stores as a result of more stores being open throughout the second quarter of fiscal 2021 compared to the second quarter of fiscal 2020. As of July 3, 2021, we operated 775 retail stores in the U.S. compared to 864 as of January 2, 2021. The decrease in store count in the second quarter of fiscal 2021 reflects progress against our previously announced plans to close over 100 retail stores that are primarily unprofitable and in less trafficked shopping centers, by the end of fiscal 2021.</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U.S. Retail segment operating income increased $63.4 million to $87.1 million in the second quarter of fiscal 2021. Operating margin increased 1,310 bps to 20.6% in the second quarter of fiscal 2021. The primary drivers of the increase in operating margin were a 770 bps increase in gross margin, a 20 bps increase in royalty income, and a 520 bps decrease in SG&amp;A rate. The increase in gross margin was primarily due to increased average selling prices per unit and decreased product costs, partially offset by increased expense for our shrink reserve as a result of increased retail store net sales. The increase in royalty income was primarily due to increased licensee sales volumes driven by increased retail store traffic. The decrease in the SG&amp;A rate was primarily due to increased net sales, decreased eCommerce costs due to more sales shifting back to retail stores in the second quarter of fiscal 2021 compared to the second quarter of fiscal 2020, and decreased organizational restructuring expenses, partially offset by increased performance-based compensation expense, increased distribution and transportation costs as a result of more units shipped to retail stores, and increased marketing expense.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U.S. Wholesale segment net sales increased $79.9 million, or 52.6%, to $231.6 million in the second quarter of fiscal 2021 primarily due to increased demand of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and increased average selling prices per unit.</w:t>
      </w:r>
    </w:p>
    <w:p>
      <w:pPr>
        <w:spacing w:after="0" w:line="13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U.S. Wholesale segment operating income increased $19.4 million, or 91.5%, to $40.6 million in the second quarter of fiscal 2021. Operating margin increased 350 bps to 17.5% in the second quarter of fiscal 2021. The primary drivers of the increase in operating margin were a 370 bps decrease in gross margin, a 20 bps increase in royalty income, and a 700 bps decrease in the SG&amp;A rate. The decrease in gross margin was primarily due to a decreased benefit in inventory provisions and fabric purchase commitment charges related to better than expected sales of inventory and utilization of fabric that were reserved for in the first quarter of fiscal 2020 and increased inbound freight costs, partially offset by increased average selling prices per unit and favorable customer mix. The increase in royalty income was primarily due to increased licensee sales volumes as our licensees recovered from business disruptions related to COVID-19. The decrease in the SG&amp;A rate was primarily due to increased sales, decreased COVID-19 related charges, and better leverage of fixed distribution costs, partially offset by increased performance-based compensation expense and marketing expense.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International segment net sales increased $44.0 million, or 93.4%, to $91.1 million in the second quarter of fiscal 2021. Changes in foreign currency exchange rates, primarily between the U.S. dollar and the Canadian dollar, had a $8.0 million favorable effect on International segment net sales in the second quarter of fiscal 2021. The increase in net sales was primarily driven by increased retail store traffic in Canada and Mexico due to more stores being open throughout the second quarter of fiscal 2021 compared to the second quarter of fiscal 2020 as the Company recovered from business disruptions related to COVID-19, increased sales to our international wholesale accounts, and growth in our Canadian eCommerce business primarily due to the introduction of omni-channel initiatives. Canadian eCommerce net sales increased 17.0% during the second quarter of fiscal 2021 compared to the second quarter of fiscal 2020.</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2021, we temporarily closed approximately 100 retail stores in Canada in accordance with regulations put in place by local government authorities as a result of rising COVID-19 cases. We began reopening these stores in June 2021, and as of July 3, 2021, we have reopened all of these stores in Canada. As of July 3, 2021, we operated 188 stores and 40 stores in Canada and Mexico, respectively. As of January 2, 2021, we operated 193 stores in Canada, of which 60 were open, and 44 stores in Mexico, of which 16 were open.</w:t>
      </w:r>
    </w:p>
    <w:p>
      <w:pPr>
        <w:spacing w:after="0" w:line="16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International segment operating income was $14.5 million in the second quarter of fiscal 2021 compared to an operating loss of $5.5 million in the second quarter of fiscal 2020. Operating margin increased 2,160 bps to 9.9% in the second quarter of fiscal 2021. The increase in the operating margin was primarily attributable to a 990 bps increase in gross margin and a 1,190 bps decrease in the SG&amp;A rate. The increase in gross margin was primarily due to decreased inventory provisions, a benefit in fabric purchase commitment charges related to better than expected sales of inventory and utilization of fabric that were reserved for in the first quarter of fiscal 2020, and increased average selling prices per unit. The decrease in the SG&amp;A rate was primarily due to increased sales, better leverage of retail store expenses due to increased store traffic, better leverage of costs through our new omni-channel programs in Canada, and other reductions in spending, partially offset by a benefit in bad debt expense in the second quarter of fiscal 2020 that did not reoccur in the second quarter of fiscal 2021, increased performance-based compensation expense, and increased freight costs due to an increase in units sold.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Unallocated corporate expenses increased $10.7 million, or 57.8%, to $29.1 million in the second quarter of fiscal 2021. Unallocated corporate expenses, as a percentage of consolidated net sales, increased 30 bps to 3.9% in the second quarter of fiscal 2021. The increase as a percentage of consolidated net sales was primarily due to increased costs related to productivity initiatives and increased performance-based compensation expense, partially offset by increased sales and other reductions in spending.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FISCAL QUARTERS ENDED JULY 3, 2021 COMPARED TO TWO FISCAL QUARTERS ENDED JUNE 27, 2020</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gridSpan w:val="5"/>
          </w:tcPr>
          <w:p>
            <w:pPr>
              <w:ind w:left="720"/>
              <w:spacing w:after="0"/>
              <w:rPr>
                <w:sz w:val="20"/>
                <w:szCs w:val="20"/>
                <w:color w:val="auto"/>
              </w:rPr>
            </w:pPr>
            <w:r>
              <w:rPr>
                <w:rFonts w:ascii="Arial" w:cs="Arial" w:eastAsia="Arial" w:hAnsi="Arial"/>
                <w:sz w:val="16"/>
                <w:szCs w:val="16"/>
                <w:b w:val="1"/>
                <w:bCs w:val="1"/>
                <w:color w:val="auto"/>
              </w:rPr>
              <w:t>Two fiscal quarters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July 3, 2021</w:t>
            </w:r>
          </w:p>
        </w:tc>
        <w:tc>
          <w:tcPr>
            <w:tcW w:w="2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27, 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c>
          <w:tcPr>
            <w:tcW w:w="0" w:type="dxa"/>
            <w:vAlign w:val="bottom"/>
          </w:tcPr>
          <w:p>
            <w:pPr>
              <w:spacing w:after="0"/>
              <w:rPr>
                <w:sz w:val="1"/>
                <w:szCs w:val="1"/>
                <w:color w:val="auto"/>
              </w:rPr>
            </w:pPr>
          </w:p>
        </w:tc>
      </w:tr>
      <w:tr>
        <w:trPr>
          <w:trHeight w:val="21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1,533,761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1,169,357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364,404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781,524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687,445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94,079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Adverse purchase commitments (inventory and raw</w:t>
            </w:r>
          </w:p>
        </w:tc>
        <w:tc>
          <w:tcPr>
            <w:tcW w:w="3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(8,430)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18,134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(26,564)</w:t>
            </w:r>
          </w:p>
        </w:tc>
        <w:tc>
          <w:tcPr>
            <w:tcW w:w="1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760,667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463,778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296,889</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64.0 %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Gross profit as % of consolidated net sales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49.6 %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39.7 %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990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3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14,108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10,926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Royalty income as % of consolidated net sales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539,697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487,986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51,711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(650)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impairment</w:t>
            </w: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235,078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(57,524)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292,602</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w w:val="96"/>
              </w:rPr>
              <w:t>Operating income (loss) as % of consolidated net sales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2,020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30,643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24,176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6,467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292,719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48,702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(15,680)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64,382</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23.6 %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18.2 %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540 bps</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157,799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(70,538)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228,337</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Basic net income (loss)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(benefit) for income taxes by income (loss) before income taxes.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10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Consolidated net sales increased $364.4 million, or 31.2%, to $1.53 billion in the first two quarters of fiscal 2021. This increase was primarily driven by increased retail store traffic, increased demand with certain of our wholesale customers, and increased average selling prices per unit, partially offset by decreased net sales through our eCommerce channel. We believe that this increase in demand was driven by progress in vaccinations, easing restrictions related to COVID-19, the passage of pandemic relief legislation in March 2021, strong consumer reaction to our Spring product offerings, and a return to in-person classes driving back-to-school sales. The first two quarters of fiscal 2020 were adversely impacted by the closure of our retail stores in March, April, and May 2020 and reduced demand in our other businesses as a result of disruptions related to COVID-19. Changes in foreign currency exchange rates used for translation in the first two quarters of fiscal 2021, as compared to the first two quarters of fiscal 2020, had a favorable effect on our consolidated net sales of approximately $11.2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consolidated gross profit increased $296.9 million, or 64.0%, to $760.7 million in the first two quarters of fiscal 2021. Consolidated gross margin increased 990 bps to 49.6% in the first two quarters of fiscal 2021.</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consolidated gross profit and gross margin was primarily driven by higher consolidated net sales across our businesses segments, increased average selling prices per unit, decreased product costs, decreased excess inventory provisions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a benefit in fabric purchase commitment charges related to better than expected sales of inventory and utilization of fabric that were reserved for in the first quarter of fiscal 2020, partially offset by increased inbound transportation and freight costs. Gross margin in the first two quarters of fiscal 2020 was adversely impacted by incremental inventory related charges of $41.8 million, inclusive of $18.1 million in adverse inventory and fabric purchase commitments, primarily from disruptions related to COVID-19.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Royalty income increased $3.2 million, or 29.1%, to $14.1 million in the first two quarters of fiscal 2021, primarily due to increased licensee sales volume as our licensees recovered from business disruptions related to COVID-19.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Consolidated SG&amp;A expenses increased $51.7 million, or 10.6%, to $539.7 million in the first two quarters of fiscal 2021 and decreased as a percentage of consolidated net sales by approximately 650 bps to 35.2%. This decrease was primarily driven by increased consolidated net sales, better leverage of retail store expenses due to more stores being open throughout the first two quarters of fiscal 2021 compared to the first two quarters of fiscal 2020, decreased organizational restructuring charges, decreased costs associated with the COVID-19 pandemic, decreased impairment charges on operating lease assets, decreased technology related costs, and decreased occupancy costs, partially offset by increased performance-based compensation expense and increased costs related to productivity initiatives.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during the first quarter of fiscal 2020 which was recorded to the Other International reporting unit in the International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the first quarter of fiscal 2020, the Company recorded non-cash impairment charges of $15.5 million and $11.0 million related to its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Hop </w:t>
      </w:r>
      <w:r>
        <w:rPr>
          <w:rFonts w:ascii="Arial" w:cs="Arial" w:eastAsia="Arial" w:hAnsi="Arial"/>
          <w:sz w:val="18"/>
          <w:szCs w:val="18"/>
          <w:color w:val="auto"/>
        </w:rPr>
        <w:t>tradename assets recorded in connection with the acquisition of OshKosh B’Gosh, Inc. in July 2005 and Skip Hop Holdings, Inc. in February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impairment reflected lower-than-expected actual sales, and lower projected sales and profitability due to decreased demand as a result of disruptions related to COVID-19.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0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Consolidated operating income was $235.1 million in the first two quarters of fiscal 2021 compared to an operating loss of $57.5 million in the first two quarters of fiscal 2020. Consolidated operating margin increased 2,020 bps to 15.3% in the first two quarters of fiscal 2021 primarily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increased $6.5 million, or 26.7%, to $30.6 million in the first two quarters of fiscal 2021. Weighted-average borrowings for the first two quarters of fiscal 2021 were $1.00 billion at an effective interest rate of 6.04%, compared to weighted-average borrowings for the first two quarters of fiscal 2020 of $946.4 million at an effective interest rate of 5.00%.</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increase in weighted-average borrowings during the first two quarters of fiscal 2021 was attributable to the issuance of $500 million in principal amount of senior notes in May 2020, partially offset by the absence of borrowings under our secured revolving credit facility during the first two quarters of 2021. The increase in the effective interest rate for the first two quarters of fiscal 2021 compared to the first two quarters of fiscal 2020 was primarily due to the absence of borrowings under our secured revolving credit facility, which bore a lower interest rate than our senior notes, during the first two quarters of fiscal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Other income, net was $1.6 million in the first two quarters of fiscal 2021 compared to other expense, net of $5.4 million in the first two quarters of fiscal 2020. This difference was primarily due to a foreign exchange loss on intercompany loans in the first two quarters of fiscal 2020 related to the strengthening of the U.S. dollar that did not reoccur in the first two quarters of fiscal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consolidated income tax provision was $48.7 million in the first two quarters of fiscal 2021 compared to an income tax benefit of $15.7 million in the first two quarters of fiscal 2020. Our effective tax rate was 23.6% in the first two quarters of fiscal 2021 compared to 18.2% in the first two quarters of fiscal 2020. The effective tax rate for first two quarters of fiscal 2021 reflects our full year expectations regarding the components of our taxable income by jurisdiction, with the majority of the income earned in the U.S. under existing U.S. tax legislation. The effective tax rate for the first two quarters of fiscal 2020 primarily reflected a year-to-date adjustment in forecasted earnings in the United States at the end of the second quarter of fiscal 2020 that was greater than what was expected at the first quarter of fiscal 2020, the increase in tax benefits related to the vesting of stock awards in the first two quarters of fiscal 2020, and the impact of goodwill impairments in the first quarter of fiscal 2020 with no corresponding tax benefit.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Consolidated net income was $157.8 million in the first two quarters of fiscal 2021 compared to a net loss of $70.5 million in the first two quarters of fiscal 2021, primarily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Two Quarters of Fiscal 2021 compared to First Two Quarters of Fiscal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and operating income, by segment, for the first two quarters of fiscal 2021 and fiscal 2020:</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Two fiscal quarters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July 3, 2021</w:t>
            </w: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8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27, 2020</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2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sales</w:t>
            </w: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830,694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54.2 %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636,733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54.5 %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193,961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30.5 %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515,007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188,060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128,750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59,310</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46.1 %</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Consolidated net sales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1,533,761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1,169,357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364,404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of segment net</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163,600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(8,656)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172,256</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87,227</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18,741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(33,219)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51,960</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(57,913)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48.2 %</w:t>
            </w:r>
          </w:p>
        </w:tc>
        <w:tc>
          <w:tcPr>
            <w:tcW w:w="0" w:type="dxa"/>
            <w:vAlign w:val="bottom"/>
          </w:tcPr>
          <w:p>
            <w:pPr>
              <w:spacing w:after="0"/>
              <w:rPr>
                <w:sz w:val="1"/>
                <w:szCs w:val="1"/>
                <w:color w:val="auto"/>
              </w:rPr>
            </w:pPr>
          </w:p>
        </w:tc>
      </w:tr>
      <w:tr>
        <w:trPr>
          <w:trHeight w:val="213"/>
        </w:trPr>
        <w:tc>
          <w:tcPr>
            <w:tcW w:w="3080" w:type="dxa"/>
            <w:vAlign w:val="bottom"/>
          </w:tcPr>
          <w:p>
            <w:pPr>
              <w:ind w:left="340"/>
              <w:spacing w:after="0"/>
              <w:rPr>
                <w:sz w:val="20"/>
                <w:szCs w:val="20"/>
                <w:color w:val="auto"/>
              </w:rPr>
            </w:pPr>
            <w:r>
              <w:rPr>
                <w:rFonts w:ascii="Arial" w:cs="Arial" w:eastAsia="Arial" w:hAnsi="Arial"/>
                <w:sz w:val="16"/>
                <w:szCs w:val="16"/>
                <w:color w:val="auto"/>
              </w:rPr>
              <w:t>Consolidated operating income (loss)</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235,078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(57,524)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292,602</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of the temporary store closures in the first two quarters of fiscal 2020 in response to COVID-19, we have not included a discussion of the first two quarters of fiscal 2021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U.S. Retail segment net sales increased $194.0 million, or 30.5%, to $830.7 million in the first two quarters of fiscal 2021. The increase in net sales was primarily driven by increased retail store traffic due to more stores being open throughout the first two quarters of fiscal 2021 compared to the first two quarters of fiscal 2020 as the Company recovered from business disruptions related to COVID-19 and increased average selling prices per unit as a result of decreased promotions, partially offset by decreased net sales through our eCommerce channel as more sales shifted back to the retail stores as a result of more stores being open throughout the second quarter of fiscal 2021 compared to the second quarter of fiscal 2020.</w:t>
      </w:r>
    </w:p>
    <w:p>
      <w:pPr>
        <w:spacing w:after="0" w:line="13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U.S. Retail segment operating income was $163.6 million in the first two quarters of fiscal 2021 compared to an operating loss of $8.7 million in the first two quarters of fiscal 2020. Operating margin increased 2,110 bps to 19.7% in the first two quarters of fiscal 2021. Operating loss in the first two quarters of fiscal 2020 included intangible asset impairment charges of $13.6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million and $0.5 million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tradenames, respectively. The primary drivers of the increase in operating margin were a 960 bps increase in gross margin, a 910 bps decrease in SG&amp;A rate, and the intangible asset impairment charges in the first two quarters of fiscal 2020 that did not reoccur in the first two quarters of fiscal 2021. The increase in gross margin was primarily due to increased average selling prices per unit, decreased product costs, decreased inventory provisions, and decreased fabric purchases commitment charges, partially offset by increased expense for our shrink reserve as a result of increased retail store net sales. The decrease in the SG&amp;A rate was primarily due to increased net sales, better leverage of retail store expenses due to increased store traffic, decreased COVID-19 related charges, impairment charges on operating lease assets in the first two quarters of fiscal 2020 that did not reoccur in the first two quarters of fiscal 2021, and decreased organizational restructuring expenses, partially offset by increased performance-based compensation expense and increased distribution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U.S. Wholesale segment net sales increased $111.1 million, or 27.5%, to $515.0 million in the first two quarters of fiscal 2021 primarily due to increased demand in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and increased average selling prices per unit.</w:t>
      </w:r>
    </w:p>
    <w:p>
      <w:pPr>
        <w:spacing w:after="0" w:line="13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U.S. Wholesale segment operating income increased $87.2 million to $110.7 million in the first two quarters of fiscal 2021. Operating margin increased 1,570 bps to 21.5% in the first two quarters of fiscal 2021. Operating income in the first two quarters of fiscal 2020 included intangible asset impairment charges of $6.8 million and $1.6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tradenames, respectively. The primary drivers of the increase in operating margin were a 1,020 bps increase in gross margin, a 350 bps decrease in SG&amp;A rate, and the intangible asset impairment charges in the first two quarters of fiscal 2020 that did not reoccur in the first two quarters of fiscal 2021. The increase in gross margin was primarily due to a benefit in inventory provisions and fabric purchase commitment charges related to better than expected sales of inventory and utilization of fabric that were reserved for in the first two quarters of fiscal 2020, increased average selling prices per unit, customer mix, and decreased product costs, partially offset by increased inbound freight costs. The decrease in the SG&amp;A rate was primarily due to increased sales, decreased COVID-19 related charges, better leverage of fixed distribution costs, and decreased bad debt expense, partially offset by increased performance-based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International segment net sales increased $59.3 million, or 46.1%, to $188.1 million in the first two quarters of fiscal 2021. Changes in foreign currency exchange rates, primarily between the U.S. dollar and the Canadian dollar, had a $11.2 million favorable effect on International segment net sales in the first two quarters of fiscal 2021. The increase in net sales was primarily driven by increased retail store traffic in Canada and Mexico due to more stores being open throughout the first two quarters of fiscal 2021 compared to the first two quarters of fiscal 2020 as the Company recovered from business disruptions related to COVID-19, growth in our Canadian and Mexican eCommerce business, and increased sales to our international wholesale accounts. Canadian eCommerce net sales increased 59.0% during the first two quarters of fiscal 2021 compared to the first two quarters of fiscal 2020, primarily due to increased demand and the introduction of omni-channel initiatives.</w:t>
      </w:r>
    </w:p>
    <w:p>
      <w:pPr>
        <w:spacing w:after="0" w:line="15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International segment operating income was $18.7 million in the first two quarters of fiscal 2021 compared to an operating loss of $33.2 million in the first two quarters of fiscal 2020. Operating margin increased 3,580 bps to 10.0% in the first two quarters of fiscal 2021. Operating loss in the first two quarters of fiscal 2020 included a $17.7 million goodwill impairment charge recorded to the Other International reporting unit, a $3.7 million intangible asset impairment charge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and a $0.3 million intangible asset impairment charge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The increase in the operating margin was primarily attributable to the goodwill and intangible asset impairment charges in the first two quarters of fiscal 2020 that did not reoccur in the first two quarters of fiscal 2021, a 950 bps increase in gross margin, and a 950 bps decrease in the SG&amp;A rate. The increase in gross margin was primarily due to decreased inventory provisions, a benefit in fabric purchase commitment charges related to better than expected sales of inventory and utilization of fabric that were reserved for in the first two quarters of fiscal 2020, and increased average selling prices per unit. The decrease in the SG&amp;A rate was primarily due to better leverage of retail store expenses due to increased store traffic, decreased COVID-19 related charges, decreased marketing costs, decreased bad debt expense, and other reductions in costs, partially offset by increased performance-based compensation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Unallocated corporate expenses increased $18.8 million, or 48.2%, to $57.9 million in the first two quarters of fiscal 2021. Unallocated corporate expenses, as a percentage of consolidated net sales, increased 50 bps to 3.8% in the first two quarters of fiscal 2021. The increase as a percentage of consolidated net sales primarily due to increased performance-based compensation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expense and increased costs related to productivity initiatives, partially offset by decreased information technology related costs, decreased corporate occupancy costs, and other reductions in spending.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ongoing cash needs are primarily for working capital and capital expenditures. We expect that our primary sources of liquidity will be cash and cash equivalents on hand, cash flow from operations, and available borrowing capacity under our secured revolving credit facility. These sources of liquidity may be affected by events described in our risk factors, as further discussed under the heading “Risk Factors” in our most recently filed Annual Report on Form 10-K and in other reports filed with the Securities and Exchange Commission from time to time.</w:t>
      </w:r>
    </w:p>
    <w:p>
      <w:pPr>
        <w:spacing w:after="0" w:line="13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are experiencing some COVID-19 related headwinds which have caused supply chain delays, including delays in the receipt of our product, and an increase in inbound freight costs. These headwinds could also adversely impact our financial results in the second half of 2021 as we expect to increase spending in the second half of fiscal 2021 to expedite shipments from Asia to mitigate pandemic-related delays in production. Additionally, we expect to incur additional performance-based compensation costs in the second half of fiscal 2021 compared to the second half of fiscal 2020.</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July 3, 2021, the Company had $1.12 billion of cash and cash equivalents at major financial institutions, including approximately $105.8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accounts receivable at July 3, 2021 were $164.0 million compared to $165.6 million at June 27, 2020 and $186.5 million at January 2, 2021. The overall decrease of $1.6 million, or 0.9%, at July 3, 2021 compared to June 27, 2020 primarily reflects improved days sales outstanding, partially offset by increased customer demand. Due to the seasonal nature of our operations, the net accounts receivable balance at July 3, 2021 is not comparable to the net accounts receivable balance at January 2, 2021.</w:t>
      </w:r>
    </w:p>
    <w:p>
      <w:pPr>
        <w:spacing w:after="0" w:line="14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Inventories at July 3, 2021 were $619.6 million compared to $672.2 million at June 27, 2020 and $599.3 million at January 2, 2021. The decrease of $52.6 million, or 7.8%, at July 3, 2021 compared to June 27, 2020 is primarily the result of our lean inventory strategy and supply chain delays, including delays in the receipt of our product, partially offset by increased customer demand. Due to the seasonal nature of our operations, the inventories balance at July 3, 2021 is not comparable to the inventories balance at January 2, 2021.</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Accounts payable at July 3, 2021 were $356.8 million compared to $458.1 million at June 27, 2020 and $472.1 million at January 2, 2021. The decrease of $101.2 million, or 22.1%, at July 3, 2021 compared to June 27, 2020 is primarily due to the timing of cash payments and change in payment terms to certain of our vendors. Due to the seasonal nature of our operations, the accounts payable balance at July 3, 2021 is not comparable to the accounts payable balance at January 2,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cash provided by operating activities for the first two quarters of fiscal 2021 was $49.5 million compared to net cash provided by operating activities of $237.4 million in the first two quarters of fiscal 2020. Our cash flow provided by operating activities is driven by net income and changes in our working capital. The decrease in net cash provided by operating activities for the first two quarters of fiscal 2021 was primarily due to a decrease in payment terms to certain of our vendors and due to the payment of deferred retail store rents from fiscal 2020, partially offset by increased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Net cash used in investing activities was $15.5 million for the first two quarters of fiscal 2021 compared to $15.3 million in the first two quarters of fiscal 2020. The increase in net cash used in investing activities for the first two quarters of fiscal 2021 is primarily due to an increase in capital expenditures, partially offset by proceeds from the sale of investments in marketable securities. Capital expenditures in the first two quarters of fiscal 2021 primarily included $11.7 million for information technology initiatives, $5.5 million for our U.S. and international retail store openings and remodels, and $2.4 million for our distribution facilities.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plan to invest approximately $50 million in capital expenditures in fiscal 2021, which primarily relates to strategic information technology initiatives, U.S. and international retail store openings and remodels, investments to strengthen our omni-channel capabilities, and distribution facility initiatives.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0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Net cash used in financing activities was $16.4 million in the first two quarters of fiscal 2021 compared to net cash provided by financing activities of $563.0 million used in the first two quarters of fiscal 2020. This change in cash flow from financing activities was primarily due to the issuance of $500 million in principal amount of senior notes in May 2020, which did not reoccur in the first two quarters of fiscal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July 3, 2021, we had no outstanding borrowings under our secured revolving credit facility, exclusive of $4.4 million of outstanding letters of credit. As of July 3, 2021, there was approximately $745.6 million available for future borrowing.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April 21, 2021, through our wholly owned subsidiary, The William Carter Company (“TWCC”), we entered into Amendment No. 3 to our fourth amended and restated credit agreement (“Amendment No. 3”). Among other things, Amendment No. 3 provides that through the remainder of the Restricted Period, which ends on the date the Company delivers its financial statements and associated certificates relating to the third fiscal quarter of 2021:</w:t>
      </w:r>
    </w:p>
    <w:p>
      <w:pPr>
        <w:spacing w:after="0" w:line="160" w:lineRule="exact"/>
        <w:rPr>
          <w:sz w:val="20"/>
          <w:szCs w:val="20"/>
          <w:color w:val="auto"/>
        </w:rPr>
      </w:pPr>
    </w:p>
    <w:p>
      <w:pPr>
        <w:ind w:left="660" w:right="200" w:hanging="328"/>
        <w:spacing w:after="0" w:line="334"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must maintain a minimum liquidity (defined as cash-on-hand plus availability under the secured revolving credit facility) on the last day of each fiscal month of at least $950 million (the “Revised Liquidity Requirement”), which was increased by $250 million from $700 million; and</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make additional restricted payments, including to pay cash dividends and repurchase common stock, in an amount not to exceed</w:t>
      </w:r>
    </w:p>
    <w:p>
      <w:pPr>
        <w:spacing w:after="0" w:line="34" w:lineRule="exact"/>
        <w:rPr>
          <w:rFonts w:ascii="Arial" w:cs="Arial" w:eastAsia="Arial" w:hAnsi="Arial"/>
          <w:sz w:val="17"/>
          <w:szCs w:val="17"/>
          <w:color w:val="auto"/>
        </w:rPr>
      </w:pPr>
    </w:p>
    <w:p>
      <w:pPr>
        <w:jc w:val="both"/>
        <w:ind w:left="660" w:right="60"/>
        <w:spacing w:after="0" w:line="323" w:lineRule="auto"/>
        <w:rPr>
          <w:rFonts w:ascii="Arial" w:cs="Arial" w:eastAsia="Arial" w:hAnsi="Arial"/>
          <w:sz w:val="17"/>
          <w:szCs w:val="17"/>
          <w:color w:val="auto"/>
        </w:rPr>
      </w:pPr>
      <w:r>
        <w:rPr>
          <w:rFonts w:ascii="Arial" w:cs="Arial" w:eastAsia="Arial" w:hAnsi="Arial"/>
          <w:sz w:val="16"/>
          <w:szCs w:val="16"/>
          <w:color w:val="auto"/>
        </w:rPr>
        <w:t>$250 million, provided that (a) no default or event of default will have occurred and be continuing or would result from the payment and (b) after giving effect to the payment, we would have been in compliance with Revised Liquidity Requirement as of the last day of the most recent month.</w:t>
      </w:r>
    </w:p>
    <w:p>
      <w:pPr>
        <w:spacing w:after="0" w:line="1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Approximately $0.2 million, including both bank fees and other third party expenses, has been capitalized in connection with Amendment No. 3 and is being amortized over the remaining term of the secured revolving credit facility.</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July 3, 2021, the interest rate margins applicable to the secured revolving credit facility were 1.375% for LIBOR (London Interbank Offered Rate) rate loans and 0.375% for base rate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July 3, 2021, the Company was in compliance with the financial and other covenants under the secured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320"/>
        <w:spacing w:after="0" w:line="340" w:lineRule="auto"/>
        <w:rPr>
          <w:sz w:val="20"/>
          <w:szCs w:val="20"/>
          <w:color w:val="auto"/>
        </w:rPr>
      </w:pPr>
      <w:r>
        <w:rPr>
          <w:rFonts w:ascii="Arial" w:cs="Arial" w:eastAsia="Arial" w:hAnsi="Arial"/>
          <w:sz w:val="16"/>
          <w:szCs w:val="16"/>
          <w:color w:val="auto"/>
        </w:rPr>
        <w:t>As of July 3, 2021, we had outstanding $500 million principal amount of senior notes, bearing interest at a rate of 5.625% per annum, and maturing on March 15, 2027, and $500 million principal amount of senior notes, bearing interest at a rate of 5.500% per annum, and maturing on May 15, 2025.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the first two quarters of fiscal 2021, we did not repurchase or retire any shares in open market transactions. In the first two quarters of fiscal 2020, we repurchased and retired 474,684 shares in open market transactions for approximately $45.3 million, at an average price of $95.34 per share.</w:t>
      </w:r>
    </w:p>
    <w:p>
      <w:pPr>
        <w:spacing w:after="0" w:line="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total remaining capacity under all remaining repurchase authorizations as of July 3, 2021 was approximately $650.4 million. The share repurchase authorizations have no expiration dates.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first quarter of fiscal 2020, we announced that, in connection with the COVID-19 pandemic, we suspended our common stock share repurchase program. While we may elect to resume purchases at any time, the timing and amount of any future repurchases will be determined by the Company based on its evaluation of market conditions, share price, investment priorities, and other factors.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May 1, 2020, in connection with the COVID-19 pandemic, we suspended our quarterly cash dividend. As a result, we did not declare or pay cash dividends through April 27, 2021. On April 27, 2021, in connection with the announcement of the amendment on our secured revolving credit facility, our Board of Directors authorized a quarterly cash dividend payment of $0.40 per common share, which was paid in the second quarter of fiscal 2021.</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did not declare or pay cash dividends in the second fiscal quarter ended June 27, 2020. In the first two fiscal quarters ended June 27, 2020, the Company declared and paid cash dividends per share of $0.60.</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Our Board of Directors will evaluate future dividend declarations based on a number of factors, including restrictions under our secured revolving credit facility, business conditions, our financial performance, and other considerations. Provisions in our secured revolving credit facility could have the effect of restricting our ability to pay cash dividends on, or make future repurchases of, our common stock,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w:t>
      </w:r>
      <w:r>
        <w:rPr>
          <w:rFonts w:ascii="Arial" w:cs="Arial" w:eastAsia="Arial" w:hAnsi="Arial"/>
          <w:sz w:val="18"/>
          <w:szCs w:val="18"/>
          <w:i w:val="1"/>
          <w:i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2020 fiscal year ended January 2, 2021.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50" w:lineRule="exact"/>
        <w:rPr>
          <w:sz w:val="20"/>
          <w:szCs w:val="20"/>
          <w:color w:val="auto"/>
        </w:rPr>
      </w:pPr>
    </w:p>
    <w:p>
      <w:pPr>
        <w:ind w:right="4060"/>
        <w:spacing w:after="0" w:line="354"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6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the second quarter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of fiscal 2021, compared to the second quarter of fiscal 2020, had a $8.0 million favorable effect on our International segment’s net sales.</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amended secured revolving credit facility, which carries variable interest rates. As July 3, 2021, there were no variable rate borrowings outstanding under the amended secured revolving credit facility. As a result, the impact of a hypothetical 100 bps increase in the effective interest rate would not result in a material amount of additional interest expense over a 12-month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July 3,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July 3, 2021 that have materially affected, or which are reasonably likely to materially affect, Internal Control.</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July 3,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2020 fiscal year ended January 2,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second quarter of fiscal 2021:</w:t>
      </w:r>
    </w:p>
    <w:p>
      <w:pPr>
        <w:sectPr>
          <w:pgSz w:w="11900" w:h="16838" w:orient="portrait"/>
          <w:cols w:equalWidth="0" w:num="1">
            <w:col w:w="11240"/>
          </w:cols>
          <w:pgMar w:left="320" w:top="1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Period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April 4, 2021 through May 1, 2021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May 2, 2021 through May 29, 2021</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May 30, 2021 through July 3, 2021</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76"/>
        </w:trPr>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5"/>
                <w:szCs w:val="15"/>
                <w:color w:val="auto"/>
              </w:rPr>
            </w:pPr>
          </w:p>
        </w:tc>
        <w:tc>
          <w:tcPr>
            <w:tcW w:w="16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62"/>
        </w:trPr>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w w:val="98"/>
              </w:rPr>
              <w:t>Average price paid per</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publicly 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204"/>
        </w:trPr>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tcPr>
          <w:p>
            <w:pPr>
              <w:ind w:left="14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Arial" w:cs="Arial" w:eastAsia="Arial" w:hAnsi="Arial"/>
                <w:sz w:val="16"/>
                <w:szCs w:val="16"/>
                <w:color w:val="auto"/>
              </w:rPr>
              <w:t>1,057</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104.52</w:t>
            </w:r>
          </w:p>
        </w:tc>
        <w:tc>
          <w:tcPr>
            <w:tcW w:w="120" w:type="dxa"/>
            <w:vAlign w:val="bottom"/>
          </w:tcPr>
          <w:p>
            <w:pPr>
              <w:spacing w:after="0"/>
              <w:rPr>
                <w:sz w:val="24"/>
                <w:szCs w:val="24"/>
                <w:color w:val="auto"/>
              </w:rPr>
            </w:pPr>
          </w:p>
        </w:tc>
        <w:tc>
          <w:tcPr>
            <w:tcW w:w="1620" w:type="dxa"/>
            <w:vAlign w:val="bottom"/>
          </w:tcPr>
          <w:p>
            <w:pPr>
              <w:ind w:left="14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tcPr>
          <w:p>
            <w:pPr>
              <w:ind w:left="14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104.52</w:t>
            </w: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-659130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640" w:space="720"/>
            <w:col w:w="6880"/>
          </w:cols>
          <w:pgMar w:left="320" w:top="1269" w:right="339" w:bottom="1440" w:gutter="0" w:footer="0" w:header="0"/>
          <w:type w:val="continuous"/>
        </w:sectPr>
      </w:pPr>
    </w:p>
    <w:p>
      <w:pPr>
        <w:ind w:left="340" w:right="120" w:hanging="332"/>
        <w:spacing w:after="0" w:line="273"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of the shares purchased during the current quarter represent shares of our common stock surrendered by our employees to satisfy required tax withholding upon the vesting of restricted stock awards.</w:t>
      </w:r>
    </w:p>
    <w:p>
      <w:pPr>
        <w:spacing w:after="0" w:line="11" w:lineRule="exact"/>
        <w:rPr>
          <w:rFonts w:ascii="Arial" w:cs="Arial" w:eastAsia="Arial" w:hAnsi="Arial"/>
          <w:sz w:val="14"/>
          <w:szCs w:val="14"/>
          <w:color w:val="auto"/>
        </w:rPr>
      </w:pPr>
    </w:p>
    <w:p>
      <w:pPr>
        <w:ind w:left="340" w:right="60" w:hanging="332"/>
        <w:spacing w:after="0" w:line="273"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previously announced, the Company, in connection with the COVID-19 pandemic, suspended its common stock share repurchase program in 2020. Refer to the open market repurchases as disclosed in Note 7, Common Stock, to the consolidated financial statements.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b w:val="1"/>
                <w:bCs w:val="1"/>
                <w:color w:val="auto"/>
                <w:w w:val="94"/>
              </w:rPr>
              <w:t>Exhibit Number</w:t>
            </w:r>
          </w:p>
        </w:tc>
        <w:tc>
          <w:tcPr>
            <w:tcW w:w="560" w:type="dxa"/>
            <w:vAlign w:val="bottom"/>
          </w:tcPr>
          <w:p>
            <w:pPr>
              <w:spacing w:after="0"/>
              <w:rPr>
                <w:sz w:val="16"/>
                <w:szCs w:val="16"/>
                <w:color w:val="auto"/>
              </w:rPr>
            </w:pPr>
          </w:p>
        </w:tc>
        <w:tc>
          <w:tcPr>
            <w:tcW w:w="9520" w:type="dxa"/>
            <w:vAlign w:val="bottom"/>
            <w:gridSpan w:val="16"/>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w:t>
            </w:r>
          </w:p>
        </w:tc>
        <w:tc>
          <w:tcPr>
            <w:tcW w:w="56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6"/>
                <w:szCs w:val="16"/>
                <w:color w:val="0000FF"/>
                <w:w w:val="95"/>
              </w:rPr>
            </w:pPr>
            <w:hyperlink r:id="rId48">
              <w:r>
                <w:rPr>
                  <w:rFonts w:ascii="Arial" w:cs="Arial" w:eastAsia="Arial" w:hAnsi="Arial"/>
                  <w:sz w:val="16"/>
                  <w:szCs w:val="16"/>
                  <w:color w:val="0000FF"/>
                  <w:w w:val="95"/>
                </w:rPr>
                <w:t>Certificate of Incorporation of Carter’s, Inc., as amended on May 22, 2017 (incorporated by reference to Exhibit 3.1 of Carter’s, Inc.’s Current</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7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48">
              <w:r>
                <w:rPr>
                  <w:rFonts w:ascii="Arial" w:cs="Arial" w:eastAsia="Arial" w:hAnsi="Arial"/>
                  <w:sz w:val="16"/>
                  <w:szCs w:val="16"/>
                  <w:color w:val="0000FF"/>
                </w:rPr>
                <w:t>Report on Form 8-K filed on May 23, 2017).</w:t>
              </w:r>
            </w:hyperlink>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3.2</w:t>
            </w:r>
          </w:p>
        </w:tc>
        <w:tc>
          <w:tcPr>
            <w:tcW w:w="560" w:type="dxa"/>
            <w:vAlign w:val="bottom"/>
          </w:tcPr>
          <w:p>
            <w:pPr>
              <w:spacing w:after="0"/>
              <w:rPr>
                <w:sz w:val="18"/>
                <w:szCs w:val="18"/>
                <w:color w:val="auto"/>
              </w:rPr>
            </w:pPr>
          </w:p>
        </w:tc>
        <w:tc>
          <w:tcPr>
            <w:tcW w:w="9520" w:type="dxa"/>
            <w:vAlign w:val="bottom"/>
            <w:gridSpan w:val="16"/>
          </w:tcPr>
          <w:p>
            <w:pPr>
              <w:spacing w:after="0"/>
              <w:rPr>
                <w:rFonts w:ascii="Arial" w:cs="Arial" w:eastAsia="Arial" w:hAnsi="Arial"/>
                <w:sz w:val="16"/>
                <w:szCs w:val="16"/>
                <w:color w:val="0000FF"/>
                <w:w w:val="93"/>
              </w:rPr>
            </w:pPr>
            <w:hyperlink r:id="rId49">
              <w:r>
                <w:rPr>
                  <w:rFonts w:ascii="Arial" w:cs="Arial" w:eastAsia="Arial" w:hAnsi="Arial"/>
                  <w:sz w:val="16"/>
                  <w:szCs w:val="16"/>
                  <w:color w:val="0000FF"/>
                  <w:w w:val="93"/>
                </w:rPr>
                <w:t>Amended and Restated By-Laws of Carter’s, Inc. (incorporated by reference to Exhibit 3.2 of Carter's, Inc.’s Current Report on Form 8-K filed on</w:t>
              </w:r>
            </w:hyperlink>
          </w:p>
        </w:tc>
      </w:tr>
      <w:tr>
        <w:trPr>
          <w:trHeight w:val="122"/>
        </w:trPr>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Borders>
              <w:top w:val="single" w:sz="8" w:color="0000FF"/>
              <w:bottom w:val="single" w:sz="8" w:color="0000FF"/>
            </w:tcBorders>
          </w:tcPr>
          <w:p>
            <w:pPr>
              <w:spacing w:after="0" w:line="122" w:lineRule="exact"/>
              <w:rPr>
                <w:rFonts w:ascii="Arial" w:cs="Arial" w:eastAsia="Arial" w:hAnsi="Arial"/>
                <w:sz w:val="14"/>
                <w:szCs w:val="14"/>
                <w:color w:val="0000FF"/>
              </w:rPr>
            </w:pPr>
            <w:hyperlink r:id="rId49">
              <w:r>
                <w:rPr>
                  <w:rFonts w:ascii="Arial" w:cs="Arial" w:eastAsia="Arial" w:hAnsi="Arial"/>
                  <w:sz w:val="14"/>
                  <w:szCs w:val="14"/>
                  <w:color w:val="0000FF"/>
                </w:rPr>
                <w:t>May 23, 2017).</w:t>
              </w:r>
            </w:hyperlink>
          </w:p>
        </w:tc>
        <w:tc>
          <w:tcPr>
            <w:tcW w:w="1760" w:type="dxa"/>
            <w:vAlign w:val="bottom"/>
            <w:tcBorders>
              <w:top w:val="single" w:sz="8" w:color="0000FF"/>
            </w:tcBorders>
            <w:gridSpan w:val="2"/>
          </w:tcPr>
          <w:p>
            <w:pPr>
              <w:spacing w:after="0"/>
              <w:rPr>
                <w:sz w:val="10"/>
                <w:szCs w:val="10"/>
                <w:color w:val="auto"/>
              </w:rPr>
            </w:pPr>
          </w:p>
        </w:tc>
        <w:tc>
          <w:tcPr>
            <w:tcW w:w="1380" w:type="dxa"/>
            <w:vAlign w:val="bottom"/>
            <w:tcBorders>
              <w:top w:val="single" w:sz="8" w:color="0000FF"/>
            </w:tcBorders>
            <w:gridSpan w:val="2"/>
          </w:tcPr>
          <w:p>
            <w:pPr>
              <w:spacing w:after="0"/>
              <w:rPr>
                <w:sz w:val="10"/>
                <w:szCs w:val="10"/>
                <w:color w:val="auto"/>
              </w:rPr>
            </w:pPr>
          </w:p>
        </w:tc>
        <w:tc>
          <w:tcPr>
            <w:tcW w:w="2840" w:type="dxa"/>
            <w:vAlign w:val="bottom"/>
            <w:tcBorders>
              <w:top w:val="single" w:sz="8" w:color="0000FF"/>
            </w:tcBorders>
          </w:tcPr>
          <w:p>
            <w:pPr>
              <w:spacing w:after="0"/>
              <w:rPr>
                <w:sz w:val="10"/>
                <w:szCs w:val="10"/>
                <w:color w:val="auto"/>
              </w:rPr>
            </w:pPr>
          </w:p>
        </w:tc>
        <w:tc>
          <w:tcPr>
            <w:tcW w:w="17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4.1</w:t>
            </w:r>
          </w:p>
        </w:tc>
        <w:tc>
          <w:tcPr>
            <w:tcW w:w="560" w:type="dxa"/>
            <w:vAlign w:val="bottom"/>
          </w:tcPr>
          <w:p>
            <w:pPr>
              <w:spacing w:after="0"/>
              <w:rPr>
                <w:sz w:val="17"/>
                <w:szCs w:val="17"/>
                <w:color w:val="auto"/>
              </w:rPr>
            </w:pPr>
          </w:p>
        </w:tc>
        <w:tc>
          <w:tcPr>
            <w:tcW w:w="9520" w:type="dxa"/>
            <w:vAlign w:val="bottom"/>
            <w:gridSpan w:val="16"/>
          </w:tcPr>
          <w:p>
            <w:pPr>
              <w:spacing w:after="0"/>
              <w:rPr>
                <w:rFonts w:ascii="Arial" w:cs="Arial" w:eastAsia="Arial" w:hAnsi="Arial"/>
                <w:sz w:val="16"/>
                <w:szCs w:val="16"/>
                <w:color w:val="0000FF"/>
                <w:w w:val="91"/>
              </w:rPr>
            </w:pPr>
            <w:hyperlink r:id="rId50">
              <w:r>
                <w:rPr>
                  <w:rFonts w:ascii="Arial" w:cs="Arial" w:eastAsia="Arial" w:hAnsi="Arial"/>
                  <w:sz w:val="16"/>
                  <w:szCs w:val="16"/>
                  <w:color w:val="0000FF"/>
                  <w:w w:val="91"/>
                </w:rPr>
                <w:t>Amendment No. 3, dated as of April 21, 2021, to the Fourth Amended and Restated Credit Agreement dated as of August 25, 2017, by and among</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r:id="rId50">
              <w:r>
                <w:rPr>
                  <w:rFonts w:ascii="Arial" w:cs="Arial" w:eastAsia="Arial" w:hAnsi="Arial"/>
                  <w:sz w:val="16"/>
                  <w:szCs w:val="16"/>
                  <w:color w:val="0000FF"/>
                  <w:w w:val="91"/>
                </w:rPr>
                <w:t>The William Carter Company, as U.S. Borrower, The Genuine Canadian Corp., as Canadian Borrower, Carter’s Holdings B.V., as Dutch</w:t>
              </w:r>
            </w:hyperlink>
          </w:p>
        </w:tc>
        <w:tc>
          <w:tcPr>
            <w:tcW w:w="6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520" w:type="dxa"/>
            <w:vAlign w:val="bottom"/>
            <w:gridSpan w:val="16"/>
          </w:tcPr>
          <w:p>
            <w:pPr>
              <w:spacing w:after="0" w:line="142" w:lineRule="exact"/>
              <w:rPr>
                <w:rFonts w:ascii="Arial" w:cs="Arial" w:eastAsia="Arial" w:hAnsi="Arial"/>
                <w:sz w:val="16"/>
                <w:szCs w:val="16"/>
                <w:color w:val="0000FF"/>
                <w:w w:val="98"/>
              </w:rPr>
            </w:pPr>
            <w:hyperlink r:id="rId50">
              <w:r>
                <w:rPr>
                  <w:rFonts w:ascii="Arial" w:cs="Arial" w:eastAsia="Arial" w:hAnsi="Arial"/>
                  <w:sz w:val="16"/>
                  <w:szCs w:val="16"/>
                  <w:color w:val="0000FF"/>
                  <w:w w:val="98"/>
                </w:rPr>
                <w:t>Borrower, JPMorgan Chase Bank, N.A., as Administrative Agent, Collateral Agent, U.S. Dollar Facility Swing Line Lender and U.S. Dollar</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00" w:type="dxa"/>
            <w:vAlign w:val="bottom"/>
            <w:tcBorders>
              <w:top w:val="single" w:sz="8" w:color="0000FF"/>
            </w:tcBorders>
            <w:gridSpan w:val="11"/>
          </w:tcPr>
          <w:p>
            <w:pPr>
              <w:spacing w:after="0" w:line="142" w:lineRule="exact"/>
              <w:rPr>
                <w:rFonts w:ascii="Arial" w:cs="Arial" w:eastAsia="Arial" w:hAnsi="Arial"/>
                <w:sz w:val="16"/>
                <w:szCs w:val="16"/>
                <w:color w:val="0000FF"/>
                <w:w w:val="94"/>
              </w:rPr>
            </w:pPr>
            <w:hyperlink r:id="rId50">
              <w:r>
                <w:rPr>
                  <w:rFonts w:ascii="Arial" w:cs="Arial" w:eastAsia="Arial" w:hAnsi="Arial"/>
                  <w:sz w:val="16"/>
                  <w:szCs w:val="16"/>
                  <w:color w:val="0000FF"/>
                  <w:w w:val="94"/>
                </w:rPr>
                <w:t>Facility L/C Issuer, JPMorgan Chase Bank, N.A., Toronto Branch, as Canadian Agent, a Multicurrency Facility Swing Line Lender and a</w:t>
              </w:r>
            </w:hyperlink>
          </w:p>
        </w:tc>
        <w:tc>
          <w:tcPr>
            <w:tcW w:w="20" w:type="dxa"/>
            <w:vAlign w:val="bottom"/>
          </w:tcPr>
          <w:p>
            <w:pPr>
              <w:spacing w:after="0"/>
              <w:rPr>
                <w:sz w:val="12"/>
                <w:szCs w:val="12"/>
                <w:color w:val="auto"/>
              </w:rPr>
            </w:pPr>
          </w:p>
        </w:tc>
        <w:tc>
          <w:tcPr>
            <w:tcW w:w="400" w:type="dxa"/>
            <w:vAlign w:val="bottom"/>
            <w:gridSpan w:val="4"/>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900" w:type="dxa"/>
            <w:vAlign w:val="bottom"/>
            <w:tcBorders>
              <w:top w:val="single" w:sz="8" w:color="0000FF"/>
            </w:tcBorders>
            <w:gridSpan w:val="10"/>
          </w:tcPr>
          <w:p>
            <w:pPr>
              <w:spacing w:after="0" w:line="142"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Multicurrency Facility L/C Issuer, JPMorgan Chase Bank, N.A., as European Agent, JPMorgan Chase Bank, N.A., London Branch, as a</w:t>
              </w:r>
            </w:hyperlink>
          </w:p>
        </w:tc>
        <w:tc>
          <w:tcPr>
            <w:tcW w:w="220" w:type="dxa"/>
            <w:vAlign w:val="bottom"/>
            <w:gridSpan w:val="2"/>
          </w:tcPr>
          <w:p>
            <w:pPr>
              <w:spacing w:after="0"/>
              <w:rPr>
                <w:sz w:val="12"/>
                <w:szCs w:val="12"/>
                <w:color w:val="auto"/>
              </w:rPr>
            </w:pPr>
          </w:p>
        </w:tc>
        <w:tc>
          <w:tcPr>
            <w:tcW w:w="400" w:type="dxa"/>
            <w:vAlign w:val="bottom"/>
            <w:gridSpan w:val="4"/>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20" w:type="dxa"/>
            <w:vAlign w:val="bottom"/>
            <w:tcBorders>
              <w:top w:val="single" w:sz="8" w:color="0000FF"/>
            </w:tcBorders>
            <w:gridSpan w:val="8"/>
          </w:tcPr>
          <w:p>
            <w:pPr>
              <w:spacing w:after="0" w:line="142" w:lineRule="exact"/>
              <w:rPr>
                <w:rFonts w:ascii="Arial" w:cs="Arial" w:eastAsia="Arial" w:hAnsi="Arial"/>
                <w:sz w:val="16"/>
                <w:szCs w:val="16"/>
                <w:color w:val="0000FF"/>
                <w:w w:val="94"/>
              </w:rPr>
            </w:pPr>
            <w:hyperlink r:id="rId50">
              <w:r>
                <w:rPr>
                  <w:rFonts w:ascii="Arial" w:cs="Arial" w:eastAsia="Arial" w:hAnsi="Arial"/>
                  <w:sz w:val="16"/>
                  <w:szCs w:val="16"/>
                  <w:color w:val="0000FF"/>
                  <w:w w:val="94"/>
                </w:rPr>
                <w:t>Multicurrency Facility Swing Line Lender and a Multicurrency Facility L/C Issuer, each lender from time to time party thereto and the</w:t>
              </w:r>
            </w:hyperlink>
          </w:p>
        </w:tc>
        <w:tc>
          <w:tcPr>
            <w:tcW w:w="700" w:type="dxa"/>
            <w:vAlign w:val="bottom"/>
            <w:gridSpan w:val="8"/>
          </w:tcPr>
          <w:p>
            <w:pPr>
              <w:spacing w:after="0" w:line="142" w:lineRule="exact"/>
              <w:rPr>
                <w:rFonts w:ascii="Arial" w:cs="Arial" w:eastAsia="Arial" w:hAnsi="Arial"/>
                <w:sz w:val="16"/>
                <w:szCs w:val="16"/>
                <w:color w:val="0000FF"/>
              </w:rPr>
            </w:pPr>
            <w:hyperlink r:id="rId50">
              <w:r>
                <w:rPr>
                  <w:rFonts w:ascii="Arial" w:cs="Arial" w:eastAsia="Arial" w:hAnsi="Arial"/>
                  <w:sz w:val="16"/>
                  <w:szCs w:val="16"/>
                  <w:color w:val="0000FF"/>
                </w:rPr>
                <w:t>other</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20" w:type="dxa"/>
            <w:vAlign w:val="bottom"/>
            <w:tcBorders>
              <w:top w:val="single" w:sz="8" w:color="0000FF"/>
            </w:tcBorders>
            <w:gridSpan w:val="12"/>
          </w:tcPr>
          <w:p>
            <w:pPr>
              <w:spacing w:after="0" w:line="142" w:lineRule="exact"/>
              <w:rPr>
                <w:rFonts w:ascii="Arial" w:cs="Arial" w:eastAsia="Arial" w:hAnsi="Arial"/>
                <w:sz w:val="16"/>
                <w:szCs w:val="16"/>
                <w:color w:val="0000FF"/>
                <w:w w:val="97"/>
              </w:rPr>
            </w:pPr>
            <w:hyperlink r:id="rId50">
              <w:r>
                <w:rPr>
                  <w:rFonts w:ascii="Arial" w:cs="Arial" w:eastAsia="Arial" w:hAnsi="Arial"/>
                  <w:sz w:val="16"/>
                  <w:szCs w:val="16"/>
                  <w:color w:val="0000FF"/>
                  <w:w w:val="97"/>
                </w:rPr>
                <w:t>parties party thereto (incorporated by reference to Exhibit 10.1 of Carter’s, Inc.’s Current Report on Form 8-K filed on April 26, 2021).</w:t>
              </w:r>
            </w:hyperlink>
          </w:p>
        </w:tc>
        <w:tc>
          <w:tcPr>
            <w:tcW w:w="400" w:type="dxa"/>
            <w:vAlign w:val="bottom"/>
            <w:gridSpan w:val="4"/>
          </w:tcPr>
          <w:p>
            <w:pPr>
              <w:spacing w:after="0"/>
              <w:rPr>
                <w:sz w:val="12"/>
                <w:szCs w:val="12"/>
                <w:color w:val="auto"/>
              </w:rPr>
            </w:pPr>
          </w:p>
        </w:tc>
      </w:tr>
      <w:tr>
        <w:trPr>
          <w:trHeight w:val="19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31.1</w:t>
            </w:r>
          </w:p>
        </w:tc>
        <w:tc>
          <w:tcPr>
            <w:tcW w:w="560" w:type="dxa"/>
            <w:vAlign w:val="bottom"/>
          </w:tcPr>
          <w:p>
            <w:pPr>
              <w:spacing w:after="0"/>
              <w:rPr>
                <w:sz w:val="17"/>
                <w:szCs w:val="17"/>
                <w:color w:val="auto"/>
              </w:rPr>
            </w:pPr>
          </w:p>
        </w:tc>
        <w:tc>
          <w:tcPr>
            <w:tcW w:w="8760" w:type="dxa"/>
            <w:vAlign w:val="bottom"/>
            <w:tcBorders>
              <w:top w:val="single" w:sz="8" w:color="0000FF"/>
            </w:tcBorders>
            <w:gridSpan w:val="7"/>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Rule 13a-15(e)/15d-15(e) and 13a-15(f)/15d-15(f) Certification.</w:t>
              </w:r>
            </w:hyperlink>
          </w:p>
        </w:tc>
        <w:tc>
          <w:tcPr>
            <w:tcW w:w="76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31.2</w:t>
            </w:r>
          </w:p>
        </w:tc>
        <w:tc>
          <w:tcPr>
            <w:tcW w:w="560" w:type="dxa"/>
            <w:vAlign w:val="bottom"/>
          </w:tcPr>
          <w:p>
            <w:pPr>
              <w:spacing w:after="0"/>
              <w:rPr>
                <w:sz w:val="17"/>
                <w:szCs w:val="17"/>
                <w:color w:val="auto"/>
              </w:rPr>
            </w:pPr>
          </w:p>
        </w:tc>
        <w:tc>
          <w:tcPr>
            <w:tcW w:w="9520" w:type="dxa"/>
            <w:vAlign w:val="bottom"/>
            <w:gridSpan w:val="16"/>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Rule 13a-15(e)/15d-15(e) and 13a-15(f)/15d-15(f) Certification.</w:t>
              </w:r>
            </w:hyperlink>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 w:lineRule="exact"/>
        <w:rPr>
          <w:sz w:val="20"/>
          <w:szCs w:val="20"/>
          <w:color w:val="auto"/>
        </w:rPr>
      </w:pPr>
    </w:p>
    <w:p>
      <w:pPr>
        <w:ind w:left="1720" w:hanging="949"/>
        <w:spacing w:after="0"/>
        <w:tabs>
          <w:tab w:leader="none" w:pos="1720" w:val="left"/>
        </w:tabs>
        <w:numPr>
          <w:ilvl w:val="0"/>
          <w:numId w:val="22"/>
        </w:numPr>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Section 1350 Certification.</w:t>
        </w:r>
      </w:hyperlink>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40" w:type="dxa"/>
            <w:vAlign w:val="bottom"/>
          </w:tcPr>
          <w:p>
            <w:pPr>
              <w:jc w:val="center"/>
              <w:spacing w:after="0"/>
              <w:rPr>
                <w:sz w:val="20"/>
                <w:szCs w:val="20"/>
                <w:color w:val="auto"/>
              </w:rPr>
            </w:pPr>
            <w:r>
              <w:rPr>
                <w:rFonts w:ascii="Arial" w:cs="Arial" w:eastAsia="Arial" w:hAnsi="Arial"/>
                <w:sz w:val="16"/>
                <w:szCs w:val="16"/>
                <w:color w:val="auto"/>
                <w:w w:val="97"/>
              </w:rPr>
              <w:t>Exhibit No. (101).INS</w:t>
            </w:r>
          </w:p>
        </w:tc>
        <w:tc>
          <w:tcPr>
            <w:tcW w:w="9260" w:type="dxa"/>
            <w:vAlign w:val="bottom"/>
          </w:tcPr>
          <w:p>
            <w:pPr>
              <w:ind w:left="60"/>
              <w:spacing w:after="0"/>
              <w:rPr>
                <w:sz w:val="20"/>
                <w:szCs w:val="20"/>
                <w:color w:val="auto"/>
              </w:rPr>
            </w:pPr>
            <w:r>
              <w:rPr>
                <w:rFonts w:ascii="Arial" w:cs="Arial" w:eastAsia="Arial" w:hAnsi="Arial"/>
                <w:sz w:val="16"/>
                <w:szCs w:val="16"/>
                <w:color w:val="auto"/>
                <w:w w:val="91"/>
              </w:rPr>
              <w:t>XBRL Instance Document - the instant document does not appear in the Interactive Data File because its XBRL tags are embedded within the</w:t>
            </w:r>
          </w:p>
        </w:tc>
      </w:tr>
      <w:tr>
        <w:trPr>
          <w:trHeight w:val="206"/>
        </w:trPr>
        <w:tc>
          <w:tcPr>
            <w:tcW w:w="1640" w:type="dxa"/>
            <w:vAlign w:val="bottom"/>
          </w:tcPr>
          <w:p>
            <w:pPr>
              <w:spacing w:after="0"/>
              <w:rPr>
                <w:sz w:val="17"/>
                <w:szCs w:val="17"/>
                <w:color w:val="auto"/>
              </w:rPr>
            </w:pPr>
          </w:p>
        </w:tc>
        <w:tc>
          <w:tcPr>
            <w:tcW w:w="9260" w:type="dxa"/>
            <w:vAlign w:val="bottom"/>
          </w:tcPr>
          <w:p>
            <w:pPr>
              <w:ind w:left="60"/>
              <w:spacing w:after="0"/>
              <w:rPr>
                <w:sz w:val="20"/>
                <w:szCs w:val="20"/>
                <w:color w:val="auto"/>
              </w:rPr>
            </w:pPr>
            <w:r>
              <w:rPr>
                <w:rFonts w:ascii="Arial" w:cs="Arial" w:eastAsia="Arial" w:hAnsi="Arial"/>
                <w:sz w:val="16"/>
                <w:szCs w:val="16"/>
                <w:color w:val="auto"/>
              </w:rPr>
              <w:t>Inline XBRL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5"/>
              </w:rPr>
              <w:t>Exhibit No. (101).SCH</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6"/>
              </w:rPr>
              <w:t>Exhibit No. (101).CAL</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6"/>
              </w:rPr>
              <w:t>Exhibit No. (101).DEF</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7"/>
              </w:rPr>
              <w:t>Exhibit No. (101).LAB</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5"/>
              </w:rPr>
              <w:t>Exhibit No. (101).PRE</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1640" w:type="dxa"/>
            <w:vAlign w:val="bottom"/>
          </w:tcPr>
          <w:p>
            <w:pPr>
              <w:spacing w:after="0"/>
              <w:rPr>
                <w:sz w:val="20"/>
                <w:szCs w:val="20"/>
                <w:color w:val="auto"/>
              </w:rPr>
            </w:pPr>
            <w:r>
              <w:rPr>
                <w:rFonts w:ascii="Arial" w:cs="Arial" w:eastAsia="Arial" w:hAnsi="Arial"/>
                <w:sz w:val="16"/>
                <w:szCs w:val="16"/>
                <w:color w:val="auto"/>
              </w:rPr>
              <w:t>Exhibit No. 104</w:t>
            </w:r>
          </w:p>
        </w:tc>
        <w:tc>
          <w:tcPr>
            <w:tcW w:w="9260" w:type="dxa"/>
            <w:vAlign w:val="bottom"/>
          </w:tcPr>
          <w:p>
            <w:pPr>
              <w:ind w:left="60"/>
              <w:spacing w:after="0"/>
              <w:rPr>
                <w:sz w:val="20"/>
                <w:szCs w:val="20"/>
                <w:color w:val="auto"/>
              </w:rPr>
            </w:pPr>
            <w:r>
              <w:rPr>
                <w:rFonts w:ascii="Arial" w:cs="Arial" w:eastAsia="Arial" w:hAnsi="Arial"/>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5" w:name="page36"/>
    <w:bookmarkEnd w:id="35"/>
    <w:p>
      <w:pPr>
        <w:spacing w:after="0" w:line="25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6160" w:val="left"/>
        </w:tabs>
        <w:rPr>
          <w:sz w:val="20"/>
          <w:szCs w:val="20"/>
          <w:color w:val="auto"/>
        </w:rPr>
      </w:pPr>
      <w:r>
        <w:rPr>
          <w:rFonts w:ascii="Arial" w:cs="Arial" w:eastAsia="Arial" w:hAnsi="Arial"/>
          <w:sz w:val="16"/>
          <w:szCs w:val="16"/>
          <w:color w:val="auto"/>
        </w:rPr>
        <w:t>July 30, 2021</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5971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Michael D. Casey</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Executive Officer</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0"/>
        <w:spacing w:after="0"/>
        <w:tabs>
          <w:tab w:leader="none" w:pos="5800" w:val="left"/>
        </w:tabs>
        <w:rPr>
          <w:sz w:val="20"/>
          <w:szCs w:val="20"/>
          <w:color w:val="auto"/>
        </w:rPr>
      </w:pPr>
      <w:r>
        <w:rPr>
          <w:rFonts w:ascii="Arial" w:cs="Arial" w:eastAsia="Arial" w:hAnsi="Arial"/>
          <w:sz w:val="16"/>
          <w:szCs w:val="16"/>
          <w:color w:val="auto"/>
        </w:rPr>
        <w:t>July 30, 2021</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5971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Richard F. Westenberger</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Executive Vice President and</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Financial Officer</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80"/>
          </w:cols>
          <w:pgMar w:left="320" w:top="1440" w:right="12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ind w:right="200" w:firstLine="180"/>
        <w:spacing w:after="0" w:line="263"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July 3, 2021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94"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July 30,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firstLine="177"/>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32"/>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8" Type="http://schemas.openxmlformats.org/officeDocument/2006/relationships/hyperlink" Target="http://www.sec.gov/Archives/edgar/data/1060822/000119312517179483/d400342dex31.htm" TargetMode="External"/><Relationship Id="rId49" Type="http://schemas.openxmlformats.org/officeDocument/2006/relationships/hyperlink" Target="http://www.sec.gov/Archives/edgar/data/1060822/000119312517179483/d400342dex32.htm" TargetMode="External"/><Relationship Id="rId50" Type="http://schemas.openxmlformats.org/officeDocument/2006/relationships/hyperlink" Target="http://www.sec.gov/Archives/edgar/data/1060822/000119312521131505/d2037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2021-07-30T10:23:02Z</dcterms:created>
  <dcterms:modified xsi:type="dcterms:W3CDTF">2021-07-30T10:23:02Z</dcterms:modified>
</cp:coreProperties>
</file>