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380" w:right="1000" w:hanging="345"/>
        <w:spacing w:after="0" w:line="282" w:lineRule="auto"/>
        <w:tabs>
          <w:tab w:leader="none" w:pos="40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APRIL 1, 2017 OR</w:t>
      </w:r>
    </w:p>
    <w:p>
      <w:pPr>
        <w:spacing w:after="0" w:line="121"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w:t>
      </w:r>
    </w:p>
    <w:p>
      <w:pPr>
        <w:spacing w:after="0" w:line="29"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EXCHANGE ACT OF 1934 FOR THE TRANSITION PERIOD FROM _____</w:t>
      </w:r>
    </w:p>
    <w:p>
      <w:pPr>
        <w:spacing w:after="0" w:line="7"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TO ______</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001-31829</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CARTER’S,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77" w:right="239" w:bottom="1440" w:gutter="0" w:footer="0" w:header="0"/>
        </w:sectPr>
      </w:pPr>
    </w:p>
    <w:p>
      <w:pPr>
        <w:spacing w:after="0" w:line="151"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13-3912933</w:t>
      </w:r>
    </w:p>
    <w:p>
      <w:pPr>
        <w:spacing w:after="0" w:line="90" w:lineRule="exact"/>
        <w:rPr>
          <w:sz w:val="24"/>
          <w:szCs w:val="24"/>
          <w:color w:val="auto"/>
        </w:rPr>
      </w:pPr>
    </w:p>
    <w:p>
      <w:pPr>
        <w:sectPr>
          <w:pgSz w:w="11900" w:h="16838" w:orient="portrait"/>
          <w:cols w:equalWidth="0" w:num="2">
            <w:col w:w="6760" w:space="720"/>
            <w:col w:w="3940"/>
          </w:cols>
          <w:pgMar w:left="240" w:top="477" w:right="239" w:bottom="1440" w:gutter="0" w:footer="0" w:header="0"/>
          <w:type w:val="continuous"/>
        </w:sectPr>
      </w:pPr>
    </w:p>
    <w:p>
      <w:pPr>
        <w:ind w:left="24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6"/>
          <w:szCs w:val="16"/>
          <w:color w:val="auto"/>
        </w:rPr>
        <w:t>(I.R.S. Employer Identification No.)</w:t>
      </w:r>
    </w:p>
    <w:p>
      <w:pPr>
        <w:spacing w:after="0" w:line="86" w:lineRule="exact"/>
        <w:rPr>
          <w:sz w:val="24"/>
          <w:szCs w:val="24"/>
          <w:color w:val="auto"/>
        </w:rPr>
      </w:pPr>
    </w:p>
    <w:p>
      <w:pPr>
        <w:sectPr>
          <w:pgSz w:w="11900" w:h="16838" w:orient="portrait"/>
          <w:cols w:equalWidth="0" w:num="2">
            <w:col w:w="5900" w:space="720"/>
            <w:col w:w="4800"/>
          </w:cols>
          <w:pgMar w:left="240" w:top="477" w:right="23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420"/>
          </w:cols>
          <w:pgMar w:left="240" w:top="477"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Phipps Tower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3438 Peachtree Road NE, Suite 1800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Atlanta, Georgia 30326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(678) 791-1000</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Large Accelerated Filer (X) Accelerated Filer ( )</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 ( ) (Do not check if a smaller reporting company) Smaller Reporting Company ( )</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Emerging Growth Company ( )</w:t>
      </w:r>
    </w:p>
    <w:p>
      <w:pPr>
        <w:spacing w:after="0" w:line="86"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w:t>
      </w:r>
      <w:r>
        <w:rPr>
          <w:rFonts w:ascii="Arial" w:cs="Arial" w:eastAsia="Arial" w:hAnsi="Arial"/>
          <w:sz w:val="18"/>
          <w:szCs w:val="18"/>
          <w:color w:val="FFFFFF"/>
        </w:rPr>
        <w:t>X</w:t>
      </w:r>
      <w:r>
        <w:rPr>
          <w:rFonts w:ascii="Arial" w:cs="Arial" w:eastAsia="Arial" w:hAnsi="Arial"/>
          <w:sz w:val="18"/>
          <w:szCs w:val="18"/>
          <w:color w:val="auto"/>
        </w:rPr>
        <w:t>) No (X)</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w w:val="89"/>
              </w:rPr>
              <w:t>Common Stock</w:t>
            </w:r>
          </w:p>
        </w:tc>
        <w:tc>
          <w:tcPr>
            <w:tcW w:w="4560" w:type="dxa"/>
            <w:vAlign w:val="bottom"/>
          </w:tcPr>
          <w:p>
            <w:pPr>
              <w:jc w:val="right"/>
              <w:ind w:right="770"/>
              <w:spacing w:after="0"/>
              <w:rPr>
                <w:sz w:val="20"/>
                <w:szCs w:val="20"/>
                <w:color w:val="auto"/>
              </w:rPr>
            </w:pPr>
            <w:r>
              <w:rPr>
                <w:rFonts w:ascii="Arial" w:cs="Arial" w:eastAsia="Arial" w:hAnsi="Arial"/>
                <w:sz w:val="18"/>
                <w:szCs w:val="18"/>
                <w:b w:val="1"/>
                <w:bCs w:val="1"/>
                <w:color w:val="auto"/>
              </w:rPr>
              <w:t>Outstanding Shares at April 21, 2017</w:t>
            </w:r>
          </w:p>
        </w:tc>
      </w:tr>
      <w:tr>
        <w:trPr>
          <w:trHeight w:val="27"/>
        </w:trPr>
        <w:tc>
          <w:tcPr>
            <w:tcW w:w="4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6860" w:type="dxa"/>
            <w:vAlign w:val="bottom"/>
            <w:gridSpan w:val="2"/>
          </w:tcPr>
          <w:p>
            <w:pPr>
              <w:jc w:val="center"/>
              <w:ind w:right="2380"/>
              <w:spacing w:after="0"/>
              <w:rPr>
                <w:sz w:val="20"/>
                <w:szCs w:val="20"/>
                <w:color w:val="auto"/>
              </w:rPr>
            </w:pPr>
            <w:r>
              <w:rPr>
                <w:rFonts w:ascii="Arial" w:cs="Arial" w:eastAsia="Arial" w:hAnsi="Arial"/>
                <w:sz w:val="18"/>
                <w:szCs w:val="18"/>
                <w:color w:val="auto"/>
                <w:w w:val="89"/>
              </w:rPr>
              <w:t>Common stock, par value $0.01 per share</w:t>
            </w:r>
          </w:p>
        </w:tc>
        <w:tc>
          <w:tcPr>
            <w:tcW w:w="4560" w:type="dxa"/>
            <w:vAlign w:val="bottom"/>
          </w:tcPr>
          <w:p>
            <w:pPr>
              <w:jc w:val="right"/>
              <w:ind w:right="10"/>
              <w:spacing w:after="0"/>
              <w:rPr>
                <w:sz w:val="20"/>
                <w:szCs w:val="20"/>
                <w:color w:val="auto"/>
              </w:rPr>
            </w:pPr>
            <w:r>
              <w:rPr>
                <w:rFonts w:ascii="Arial" w:cs="Arial" w:eastAsia="Arial" w:hAnsi="Arial"/>
                <w:sz w:val="18"/>
                <w:szCs w:val="18"/>
                <w:color w:val="auto"/>
              </w:rPr>
              <w:t>48,390,342</w:t>
            </w:r>
          </w:p>
        </w:tc>
      </w:tr>
      <w:tr>
        <w:trPr>
          <w:trHeight w:val="358"/>
        </w:trPr>
        <w:tc>
          <w:tcPr>
            <w:tcW w:w="44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20" w:type="dxa"/>
            <w:vAlign w:val="bottom"/>
            <w:gridSpan w:val="10"/>
          </w:tcPr>
          <w:p>
            <w:pPr>
              <w:jc w:val="center"/>
              <w:ind w:right="2020"/>
              <w:spacing w:after="0"/>
              <w:rPr>
                <w:sz w:val="20"/>
                <w:szCs w:val="20"/>
                <w:color w:val="auto"/>
              </w:rPr>
            </w:pPr>
            <w:r>
              <w:rPr>
                <w:rFonts w:ascii="Arial" w:cs="Arial" w:eastAsia="Arial" w:hAnsi="Arial"/>
                <w:sz w:val="20"/>
                <w:szCs w:val="20"/>
                <w:b w:val="1"/>
                <w:bCs w:val="1"/>
                <w:color w:val="auto"/>
                <w:w w:val="99"/>
              </w:rPr>
              <w:t>CARTER’S, INC.</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20" w:type="dxa"/>
            <w:vAlign w:val="bottom"/>
            <w:gridSpan w:val="10"/>
          </w:tcPr>
          <w:p>
            <w:pPr>
              <w:jc w:val="center"/>
              <w:ind w:right="2020"/>
              <w:spacing w:after="0"/>
              <w:rPr>
                <w:sz w:val="20"/>
                <w:szCs w:val="20"/>
                <w:color w:val="auto"/>
              </w:rPr>
            </w:pPr>
            <w:r>
              <w:rPr>
                <w:rFonts w:ascii="Arial" w:cs="Arial" w:eastAsia="Arial" w:hAnsi="Arial"/>
                <w:sz w:val="20"/>
                <w:szCs w:val="20"/>
                <w:b w:val="1"/>
                <w:bCs w:val="1"/>
                <w:color w:val="auto"/>
              </w:rPr>
              <w:t>INDEX</w:t>
            </w: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5"/>
          </w:tcPr>
          <w:p>
            <w:pPr>
              <w:ind w:left="64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
        </w:trPr>
        <w:tc>
          <w:tcPr>
            <w:tcW w:w="9340" w:type="dxa"/>
            <w:vAlign w:val="bottom"/>
            <w:gridSpan w:val="29"/>
            <w:vMerge w:val="restart"/>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340" w:type="dxa"/>
            <w:vAlign w:val="bottom"/>
            <w:gridSpan w:val="29"/>
            <w:vMerge w:val="continue"/>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500" w:type="dxa"/>
            <w:vAlign w:val="bottom"/>
            <w:gridSpan w:val="22"/>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2"/>
          </w:tcPr>
          <w:p>
            <w:pPr>
              <w:spacing w:after="0" w:line="202" w:lineRule="exact"/>
              <w:rPr>
                <w:sz w:val="20"/>
                <w:szCs w:val="20"/>
                <w:color w:val="auto"/>
              </w:rPr>
            </w:pPr>
            <w:r>
              <w:rPr>
                <w:rFonts w:ascii="Arial" w:cs="Arial" w:eastAsia="Arial" w:hAnsi="Arial"/>
                <w:sz w:val="18"/>
                <w:szCs w:val="18"/>
                <w:color w:val="0000FF"/>
                <w:w w:val="91"/>
              </w:rPr>
              <w:t>Unaudited Condensed Consolidated Balance Sheets as of April 1, 2017, December 31, 2016 and April</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86"/>
              </w:rPr>
              <w:t>2, 2016</w:t>
            </w:r>
          </w:p>
        </w:tc>
        <w:tc>
          <w:tcPr>
            <w:tcW w:w="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4"/>
          </w:tcPr>
          <w:p>
            <w:pPr>
              <w:jc w:val="center"/>
              <w:ind w:left="689"/>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100" w:type="dxa"/>
            <w:vAlign w:val="bottom"/>
            <w:tcBorders>
              <w:bottom w:val="single" w:sz="8" w:color="0000FF"/>
            </w:tcBorders>
            <w:gridSpan w:val="17"/>
            <w:shd w:val="clear" w:color="auto" w:fill="CCEEFF"/>
          </w:tcPr>
          <w:p>
            <w:pPr>
              <w:spacing w:after="0" w:line="202" w:lineRule="exact"/>
              <w:rPr>
                <w:sz w:val="20"/>
                <w:szCs w:val="20"/>
                <w:color w:val="auto"/>
              </w:rPr>
            </w:pPr>
            <w:r>
              <w:rPr>
                <w:rFonts w:ascii="Arial" w:cs="Arial" w:eastAsia="Arial" w:hAnsi="Arial"/>
                <w:sz w:val="18"/>
                <w:szCs w:val="18"/>
                <w:color w:val="0000FF"/>
                <w:w w:val="89"/>
                <w:shd w:val="clear" w:color="auto" w:fill="CCEEFF"/>
              </w:rPr>
              <w:t>Unaudited Condensed Consolidated Statements of Operations for the fiscal quarters ended April 1,</w:t>
            </w: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60" w:type="dxa"/>
            <w:vAlign w:val="bottom"/>
            <w:gridSpan w:val="10"/>
            <w:shd w:val="clear" w:color="auto" w:fill="CCEEFF"/>
          </w:tcPr>
          <w:p>
            <w:pPr>
              <w:spacing w:after="0" w:line="196" w:lineRule="exact"/>
              <w:rPr>
                <w:sz w:val="20"/>
                <w:szCs w:val="20"/>
                <w:color w:val="auto"/>
              </w:rPr>
            </w:pPr>
            <w:r>
              <w:rPr>
                <w:rFonts w:ascii="Arial" w:cs="Arial" w:eastAsia="Arial" w:hAnsi="Arial"/>
                <w:sz w:val="18"/>
                <w:szCs w:val="18"/>
                <w:color w:val="0000FF"/>
                <w:w w:val="90"/>
                <w:shd w:val="clear" w:color="auto" w:fill="CCEEFF"/>
              </w:rPr>
              <w:t>2017 and April 2, 2016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center"/>
              <w:ind w:left="689"/>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2"/>
          </w:tcPr>
          <w:p>
            <w:pPr>
              <w:spacing w:after="0" w:line="202" w:lineRule="exact"/>
              <w:rPr>
                <w:sz w:val="20"/>
                <w:szCs w:val="20"/>
                <w:color w:val="auto"/>
              </w:rPr>
            </w:pPr>
            <w:r>
              <w:rPr>
                <w:rFonts w:ascii="Arial" w:cs="Arial" w:eastAsia="Arial" w:hAnsi="Arial"/>
                <w:sz w:val="18"/>
                <w:szCs w:val="18"/>
                <w:color w:val="0000FF"/>
                <w:w w:val="90"/>
              </w:rPr>
              <w:t>Unaudited Condensed Consolidated Statements of Comprehensive Income for the fiscal quarters ended</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20" w:type="dxa"/>
            <w:vAlign w:val="bottom"/>
            <w:tcBorders>
              <w:top w:val="single" w:sz="8" w:color="0000FF"/>
            </w:tcBorders>
            <w:gridSpan w:val="20"/>
          </w:tcPr>
          <w:p>
            <w:pPr>
              <w:spacing w:after="0" w:line="196" w:lineRule="exact"/>
              <w:rPr>
                <w:sz w:val="20"/>
                <w:szCs w:val="20"/>
                <w:color w:val="auto"/>
              </w:rPr>
            </w:pPr>
            <w:r>
              <w:rPr>
                <w:rFonts w:ascii="Arial" w:cs="Arial" w:eastAsia="Arial" w:hAnsi="Arial"/>
                <w:sz w:val="18"/>
                <w:szCs w:val="18"/>
                <w:color w:val="0000FF"/>
              </w:rPr>
              <w:t>April 1, 2017 and April 2, 2016</w:t>
            </w:r>
          </w:p>
        </w:tc>
        <w:tc>
          <w:tcPr>
            <w:tcW w:w="80" w:type="dxa"/>
            <w:vAlign w:val="bottom"/>
            <w:gridSpan w:val="2"/>
          </w:tcPr>
          <w:p>
            <w:pPr>
              <w:spacing w:after="0"/>
              <w:rPr>
                <w:sz w:val="17"/>
                <w:szCs w:val="17"/>
                <w:color w:val="auto"/>
              </w:rPr>
            </w:pPr>
          </w:p>
        </w:tc>
        <w:tc>
          <w:tcPr>
            <w:tcW w:w="980" w:type="dxa"/>
            <w:vAlign w:val="bottom"/>
            <w:gridSpan w:val="4"/>
          </w:tcPr>
          <w:p>
            <w:pPr>
              <w:jc w:val="center"/>
              <w:ind w:left="689"/>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440" w:type="dxa"/>
            <w:vAlign w:val="bottom"/>
            <w:tcBorders>
              <w:bottom w:val="single" w:sz="8" w:color="0000FF"/>
            </w:tcBorders>
            <w:gridSpan w:val="21"/>
            <w:shd w:val="clear" w:color="auto" w:fill="CCEEFF"/>
          </w:tcPr>
          <w:p>
            <w:pPr>
              <w:spacing w:after="0" w:line="202" w:lineRule="exact"/>
              <w:rPr>
                <w:sz w:val="20"/>
                <w:szCs w:val="20"/>
                <w:color w:val="auto"/>
              </w:rPr>
            </w:pPr>
            <w:r>
              <w:rPr>
                <w:rFonts w:ascii="Arial" w:cs="Arial" w:eastAsia="Arial" w:hAnsi="Arial"/>
                <w:sz w:val="18"/>
                <w:szCs w:val="18"/>
                <w:color w:val="0000FF"/>
                <w:w w:val="90"/>
                <w:shd w:val="clear" w:color="auto" w:fill="CCEEFF"/>
              </w:rPr>
              <w:t>Unaudited Condensed Consolidated Statement of Changes in Stockholders' Equity for the fiscal quarter</w:t>
            </w:r>
          </w:p>
        </w:tc>
        <w:tc>
          <w:tcPr>
            <w:tcW w:w="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40" w:type="dxa"/>
            <w:vAlign w:val="bottom"/>
            <w:gridSpan w:val="8"/>
            <w:shd w:val="clear" w:color="auto" w:fill="CCEEFF"/>
          </w:tcPr>
          <w:p>
            <w:pPr>
              <w:spacing w:after="0" w:line="196" w:lineRule="exact"/>
              <w:rPr>
                <w:sz w:val="20"/>
                <w:szCs w:val="20"/>
                <w:color w:val="auto"/>
              </w:rPr>
            </w:pPr>
            <w:r>
              <w:rPr>
                <w:rFonts w:ascii="Arial" w:cs="Arial" w:eastAsia="Arial" w:hAnsi="Arial"/>
                <w:sz w:val="18"/>
                <w:szCs w:val="18"/>
                <w:color w:val="0000FF"/>
                <w:w w:val="90"/>
                <w:shd w:val="clear" w:color="auto" w:fill="CCEEFF"/>
              </w:rPr>
              <w:t>ended April 1, 2017</w:t>
            </w:r>
          </w:p>
        </w:tc>
        <w:tc>
          <w:tcPr>
            <w:tcW w:w="320" w:type="dxa"/>
            <w:vAlign w:val="bottom"/>
            <w:gridSpan w:val="3"/>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280" w:type="dxa"/>
            <w:vAlign w:val="bottom"/>
            <w:gridSpan w:val="3"/>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center"/>
              <w:ind w:left="689"/>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60" w:type="dxa"/>
            <w:vAlign w:val="bottom"/>
            <w:tcBorders>
              <w:bottom w:val="single" w:sz="8" w:color="0000FF"/>
            </w:tcBorders>
            <w:gridSpan w:val="18"/>
          </w:tcPr>
          <w:p>
            <w:pPr>
              <w:spacing w:after="0" w:line="202" w:lineRule="exact"/>
              <w:rPr>
                <w:sz w:val="20"/>
                <w:szCs w:val="20"/>
                <w:color w:val="auto"/>
              </w:rPr>
            </w:pPr>
            <w:r>
              <w:rPr>
                <w:rFonts w:ascii="Arial" w:cs="Arial" w:eastAsia="Arial" w:hAnsi="Arial"/>
                <w:sz w:val="18"/>
                <w:szCs w:val="18"/>
                <w:color w:val="0000FF"/>
                <w:w w:val="89"/>
              </w:rPr>
              <w:t>Unaudited Condensed Consolidated Statements of Cash Flows for the fiscal quarters ended April 1,</w:t>
            </w:r>
          </w:p>
        </w:tc>
        <w:tc>
          <w:tcPr>
            <w:tcW w:w="34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2"/>
          </w:tcPr>
          <w:p>
            <w:pPr>
              <w:spacing w:after="0" w:line="196" w:lineRule="exact"/>
              <w:rPr>
                <w:sz w:val="20"/>
                <w:szCs w:val="20"/>
                <w:color w:val="auto"/>
              </w:rPr>
            </w:pPr>
            <w:r>
              <w:rPr>
                <w:rFonts w:ascii="Arial" w:cs="Arial" w:eastAsia="Arial" w:hAnsi="Arial"/>
                <w:sz w:val="18"/>
                <w:szCs w:val="18"/>
                <w:color w:val="0000FF"/>
              </w:rPr>
              <w:t>2017 and April 2, 2016</w:t>
            </w:r>
          </w:p>
        </w:tc>
        <w:tc>
          <w:tcPr>
            <w:tcW w:w="980" w:type="dxa"/>
            <w:vAlign w:val="bottom"/>
            <w:gridSpan w:val="4"/>
          </w:tcPr>
          <w:p>
            <w:pPr>
              <w:jc w:val="center"/>
              <w:ind w:left="689"/>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500" w:type="dxa"/>
            <w:vAlign w:val="bottom"/>
            <w:gridSpan w:val="22"/>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the Unaudited Condensed Consolidated Financial Statements</w:t>
              </w:r>
            </w:hyperlink>
          </w:p>
        </w:tc>
        <w:tc>
          <w:tcPr>
            <w:tcW w:w="980" w:type="dxa"/>
            <w:vAlign w:val="bottom"/>
            <w:gridSpan w:val="4"/>
            <w:shd w:val="clear" w:color="auto" w:fill="CCEEFF"/>
          </w:tcPr>
          <w:p>
            <w:pPr>
              <w:jc w:val="center"/>
              <w:ind w:left="689"/>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800" w:type="dxa"/>
            <w:vAlign w:val="bottom"/>
            <w:gridSpan w:val="6"/>
          </w:tcPr>
          <w:p>
            <w:pPr>
              <w:ind w:left="56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7500" w:type="dxa"/>
            <w:vAlign w:val="bottom"/>
            <w:gridSpan w:val="22"/>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7500" w:type="dxa"/>
            <w:vAlign w:val="bottom"/>
            <w:gridSpan w:val="22"/>
            <w:shd w:val="clear" w:color="auto" w:fill="CCEEFF"/>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7500" w:type="dxa"/>
            <w:vAlign w:val="bottom"/>
            <w:gridSpan w:val="22"/>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9340" w:type="dxa"/>
            <w:vAlign w:val="bottom"/>
            <w:gridSpan w:val="29"/>
          </w:tcPr>
          <w:p>
            <w:pPr>
              <w:ind w:left="40"/>
              <w:spacing w:after="0" w:line="202" w:lineRule="exact"/>
              <w:rPr>
                <w:sz w:val="20"/>
                <w:szCs w:val="20"/>
                <w:color w:val="auto"/>
              </w:rPr>
            </w:pPr>
            <w:r>
              <w:rPr>
                <w:rFonts w:ascii="Arial" w:cs="Arial" w:eastAsia="Arial" w:hAnsi="Arial"/>
                <w:sz w:val="18"/>
                <w:szCs w:val="18"/>
                <w:b w:val="1"/>
                <w:bCs w:val="1"/>
                <w:color w:val="0000EE"/>
              </w:rPr>
              <w:t>Part II. Other Information</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0000FF"/>
              </w:rPr>
              <w:t>Item 1</w:t>
            </w:r>
          </w:p>
        </w:tc>
        <w:tc>
          <w:tcPr>
            <w:tcW w:w="7500" w:type="dxa"/>
            <w:vAlign w:val="bottom"/>
            <w:gridSpan w:val="22"/>
            <w:shd w:val="clear" w:color="auto" w:fill="CCEEFF"/>
          </w:tcPr>
          <w:p>
            <w:pPr>
              <w:spacing w:after="0" w:line="202" w:lineRule="exact"/>
              <w:rPr>
                <w:sz w:val="20"/>
                <w:szCs w:val="20"/>
                <w:color w:val="auto"/>
              </w:rPr>
            </w:pPr>
            <w:r>
              <w:rPr>
                <w:rFonts w:ascii="Arial" w:cs="Arial" w:eastAsia="Arial" w:hAnsi="Arial"/>
                <w:sz w:val="18"/>
                <w:szCs w:val="18"/>
                <w:color w:val="0000EE"/>
              </w:rPr>
              <w:t>Legal Proceedings</w:t>
            </w:r>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Item 1A</w:t>
              </w:r>
            </w:hyperlink>
          </w:p>
        </w:tc>
        <w:tc>
          <w:tcPr>
            <w:tcW w:w="7500" w:type="dxa"/>
            <w:vAlign w:val="bottom"/>
            <w:gridSpan w:val="22"/>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Item 2</w:t>
              </w:r>
            </w:hyperlink>
          </w:p>
        </w:tc>
        <w:tc>
          <w:tcPr>
            <w:tcW w:w="7500" w:type="dxa"/>
            <w:vAlign w:val="bottom"/>
            <w:gridSpan w:val="22"/>
            <w:shd w:val="clear" w:color="auto" w:fill="CCEEFF"/>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sz w:val="20"/>
                <w:szCs w:val="20"/>
                <w:color w:val="auto"/>
              </w:rPr>
            </w:pPr>
            <w:r>
              <w:rPr>
                <w:rFonts w:ascii="Arial" w:cs="Arial" w:eastAsia="Arial" w:hAnsi="Arial"/>
                <w:sz w:val="18"/>
                <w:szCs w:val="18"/>
                <w:color w:val="0000FF"/>
              </w:rPr>
              <w:t>Item 3</w:t>
            </w:r>
          </w:p>
        </w:tc>
        <w:tc>
          <w:tcPr>
            <w:tcW w:w="7500" w:type="dxa"/>
            <w:vAlign w:val="bottom"/>
            <w:gridSpan w:val="22"/>
          </w:tcPr>
          <w:p>
            <w:pPr>
              <w:spacing w:after="0" w:line="202" w:lineRule="exact"/>
              <w:rPr>
                <w:sz w:val="20"/>
                <w:szCs w:val="20"/>
                <w:color w:val="auto"/>
              </w:rPr>
            </w:pPr>
            <w:r>
              <w:rPr>
                <w:rFonts w:ascii="Arial" w:cs="Arial" w:eastAsia="Arial" w:hAnsi="Arial"/>
                <w:sz w:val="18"/>
                <w:szCs w:val="18"/>
                <w:color w:val="0000FF"/>
              </w:rPr>
              <w:t>Defaults upon Senior Securities</w:t>
            </w:r>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7500" w:type="dxa"/>
            <w:vAlign w:val="bottom"/>
            <w:gridSpan w:val="22"/>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5</w:t>
              </w:r>
            </w:hyperlink>
          </w:p>
        </w:tc>
        <w:tc>
          <w:tcPr>
            <w:tcW w:w="7500" w:type="dxa"/>
            <w:vAlign w:val="bottom"/>
            <w:gridSpan w:val="22"/>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980" w:type="dxa"/>
            <w:vAlign w:val="bottom"/>
            <w:gridSpan w:val="4"/>
          </w:tcPr>
          <w:p>
            <w:pPr>
              <w:jc w:val="center"/>
              <w:ind w:left="709"/>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800" w:type="dxa"/>
            <w:vAlign w:val="bottom"/>
            <w:gridSpan w:val="6"/>
            <w:shd w:val="clear" w:color="auto" w:fill="CCEEFF"/>
          </w:tcPr>
          <w:p>
            <w:pPr>
              <w:ind w:left="56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6</w:t>
              </w:r>
            </w:hyperlink>
          </w:p>
        </w:tc>
        <w:tc>
          <w:tcPr>
            <w:tcW w:w="7500" w:type="dxa"/>
            <w:vAlign w:val="bottom"/>
            <w:gridSpan w:val="22"/>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20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40" w:type="dxa"/>
            <w:vAlign w:val="bottom"/>
            <w:gridSpan w:val="7"/>
            <w:shd w:val="clear" w:color="auto" w:fill="CCEEFF"/>
          </w:tcPr>
          <w:p>
            <w:pPr>
              <w:ind w:left="40"/>
              <w:spacing w:after="0" w:line="202"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Signatures</w:t>
              </w:r>
            </w:hyperlink>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center"/>
              <w:ind w:left="709"/>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20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40" w:type="dxa"/>
            <w:vAlign w:val="bottom"/>
            <w:gridSpan w:val="7"/>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0000EE"/>
              </w:rPr>
              <w:t>Certifications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1048" w:right="5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PART I -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CARTER’S,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in thousands, except per share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1, 2017</w:t>
            </w: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2016</w:t>
            </w:r>
          </w:p>
        </w:tc>
        <w:tc>
          <w:tcPr>
            <w:tcW w:w="200" w:type="dxa"/>
            <w:vAlign w:val="bottom"/>
          </w:tcPr>
          <w:p>
            <w:pPr>
              <w:spacing w:after="0"/>
              <w:rPr>
                <w:sz w:val="18"/>
                <w:szCs w:val="18"/>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b w:val="1"/>
                <w:bCs w:val="1"/>
                <w:color w:val="auto"/>
              </w:rPr>
              <w:t>April 2, 2016</w:t>
            </w:r>
          </w:p>
        </w:tc>
        <w:tc>
          <w:tcPr>
            <w:tcW w:w="0" w:type="dxa"/>
            <w:vAlign w:val="bottom"/>
          </w:tcPr>
          <w:p>
            <w:pPr>
              <w:spacing w:after="0"/>
              <w:rPr>
                <w:sz w:val="1"/>
                <w:szCs w:val="1"/>
                <w:color w:val="auto"/>
              </w:rPr>
            </w:pPr>
          </w:p>
        </w:tc>
      </w:tr>
      <w:tr>
        <w:trPr>
          <w:trHeight w:val="33"/>
        </w:trPr>
        <w:tc>
          <w:tcPr>
            <w:tcW w:w="5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154,278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299,358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395,141</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206,707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202,471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192,569</w:t>
            </w:r>
          </w:p>
        </w:tc>
        <w:tc>
          <w:tcPr>
            <w:tcW w:w="0" w:type="dxa"/>
            <w:vAlign w:val="bottom"/>
          </w:tcPr>
          <w:p>
            <w:pPr>
              <w:spacing w:after="0"/>
              <w:rPr>
                <w:sz w:val="1"/>
                <w:szCs w:val="1"/>
                <w:color w:val="auto"/>
              </w:rPr>
            </w:pPr>
          </w:p>
        </w:tc>
      </w:tr>
      <w:tr>
        <w:trPr>
          <w:trHeight w:val="237"/>
        </w:trPr>
        <w:tc>
          <w:tcPr>
            <w:tcW w:w="5860" w:type="dxa"/>
            <w:vAlign w:val="bottom"/>
          </w:tcPr>
          <w:p>
            <w:pPr>
              <w:ind w:left="160"/>
              <w:spacing w:after="0"/>
              <w:rPr>
                <w:sz w:val="20"/>
                <w:szCs w:val="20"/>
                <w:color w:val="auto"/>
              </w:rPr>
            </w:pPr>
            <w:r>
              <w:rPr>
                <w:rFonts w:ascii="Arial" w:cs="Arial" w:eastAsia="Arial" w:hAnsi="Arial"/>
                <w:sz w:val="16"/>
                <w:szCs w:val="16"/>
                <w:color w:val="auto"/>
              </w:rPr>
              <w:t>Finished goods inventories</w:t>
            </w:r>
          </w:p>
        </w:tc>
        <w:tc>
          <w:tcPr>
            <w:tcW w:w="2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434,712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487,591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376,499</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36,791</w:t>
            </w:r>
          </w:p>
        </w:tc>
        <w:tc>
          <w:tcPr>
            <w:tcW w:w="0" w:type="dxa"/>
            <w:vAlign w:val="bottom"/>
          </w:tcPr>
          <w:p>
            <w:pPr>
              <w:spacing w:after="0"/>
              <w:rPr>
                <w:sz w:val="1"/>
                <w:szCs w:val="1"/>
                <w:color w:val="auto"/>
              </w:rPr>
            </w:pPr>
          </w:p>
        </w:tc>
      </w:tr>
      <w:tr>
        <w:trPr>
          <w:trHeight w:val="237"/>
        </w:trPr>
        <w:tc>
          <w:tcPr>
            <w:tcW w:w="586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35,486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31,841</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841,850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1,057,086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1,032,841</w:t>
            </w:r>
          </w:p>
        </w:tc>
        <w:tc>
          <w:tcPr>
            <w:tcW w:w="0" w:type="dxa"/>
            <w:vAlign w:val="bottom"/>
          </w:tcPr>
          <w:p>
            <w:pPr>
              <w:spacing w:after="0"/>
              <w:rPr>
                <w:sz w:val="1"/>
                <w:szCs w:val="1"/>
                <w:color w:val="auto"/>
              </w:rPr>
            </w:pPr>
          </w:p>
        </w:tc>
      </w:tr>
      <w:tr>
        <w:trPr>
          <w:trHeight w:val="220"/>
        </w:trPr>
        <w:tc>
          <w:tcPr>
            <w:tcW w:w="5860" w:type="dxa"/>
            <w:vAlign w:val="bottom"/>
          </w:tcPr>
          <w:p>
            <w:pPr>
              <w:ind w:left="20"/>
              <w:spacing w:after="0"/>
              <w:rPr>
                <w:sz w:val="20"/>
                <w:szCs w:val="20"/>
                <w:color w:val="auto"/>
              </w:rPr>
            </w:pPr>
            <w:r>
              <w:rPr>
                <w:rFonts w:ascii="Arial" w:cs="Arial" w:eastAsia="Arial" w:hAnsi="Arial"/>
                <w:sz w:val="16"/>
                <w:szCs w:val="16"/>
                <w:color w:val="auto"/>
                <w:w w:val="93"/>
              </w:rPr>
              <w:t>Property, plant, and equipment, net of accumulated depreciation of $365,733, $345,907,</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60" w:type="dxa"/>
            <w:vAlign w:val="bottom"/>
          </w:tcPr>
          <w:p>
            <w:pPr>
              <w:ind w:left="20"/>
              <w:spacing w:after="0"/>
              <w:rPr>
                <w:sz w:val="20"/>
                <w:szCs w:val="20"/>
                <w:color w:val="auto"/>
              </w:rPr>
            </w:pPr>
            <w:r>
              <w:rPr>
                <w:rFonts w:ascii="Arial" w:cs="Arial" w:eastAsia="Arial" w:hAnsi="Arial"/>
                <w:sz w:val="16"/>
                <w:szCs w:val="16"/>
                <w:color w:val="auto"/>
              </w:rPr>
              <w:t>and $307,449, respectively</w:t>
            </w:r>
          </w:p>
        </w:tc>
        <w:tc>
          <w:tcPr>
            <w:tcW w:w="22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386,275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385,874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377,273</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Tradenames and other 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308,928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309,853</w:t>
            </w:r>
          </w:p>
        </w:tc>
        <w:tc>
          <w:tcPr>
            <w:tcW w:w="0" w:type="dxa"/>
            <w:vAlign w:val="bottom"/>
          </w:tcPr>
          <w:p>
            <w:pPr>
              <w:spacing w:after="0"/>
              <w:rPr>
                <w:sz w:val="1"/>
                <w:szCs w:val="1"/>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232,925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176,009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177,238</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15,258</w:t>
            </w:r>
          </w:p>
        </w:tc>
        <w:tc>
          <w:tcPr>
            <w:tcW w:w="0" w:type="dxa"/>
            <w:vAlign w:val="bottom"/>
          </w:tcPr>
          <w:p>
            <w:pPr>
              <w:spacing w:after="0"/>
              <w:rPr>
                <w:sz w:val="1"/>
                <w:szCs w:val="1"/>
                <w:color w:val="auto"/>
              </w:rPr>
            </w:pPr>
          </w:p>
        </w:tc>
      </w:tr>
      <w:tr>
        <w:trPr>
          <w:trHeight w:val="284"/>
        </w:trPr>
        <w:tc>
          <w:tcPr>
            <w:tcW w:w="58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1,885,463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1,946,597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1,912,463</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101,386</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158,432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90,387</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123,661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119,177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102,494</w:t>
            </w:r>
          </w:p>
        </w:tc>
        <w:tc>
          <w:tcPr>
            <w:tcW w:w="0" w:type="dxa"/>
            <w:vAlign w:val="bottom"/>
          </w:tcPr>
          <w:p>
            <w:pPr>
              <w:spacing w:after="0"/>
              <w:rPr>
                <w:sz w:val="1"/>
                <w:szCs w:val="1"/>
                <w:color w:val="auto"/>
              </w:rPr>
            </w:pPr>
          </w:p>
        </w:tc>
      </w:tr>
      <w:tr>
        <w:trPr>
          <w:trHeight w:val="217"/>
        </w:trPr>
        <w:tc>
          <w:tcPr>
            <w:tcW w:w="5860" w:type="dxa"/>
            <w:vAlign w:val="bottom"/>
          </w:tcPr>
          <w:p>
            <w:pPr>
              <w:ind w:left="2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225,047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277,609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192,881</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581,621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580,376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580,319</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133,552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130,656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128,815</w:t>
            </w:r>
          </w:p>
        </w:tc>
        <w:tc>
          <w:tcPr>
            <w:tcW w:w="0" w:type="dxa"/>
            <w:vAlign w:val="bottom"/>
          </w:tcPr>
          <w:p>
            <w:pPr>
              <w:spacing w:after="0"/>
              <w:rPr>
                <w:sz w:val="1"/>
                <w:szCs w:val="1"/>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173,280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169,832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161,731</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1,113,500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1,158,473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1,063,746</w:t>
            </w:r>
          </w:p>
        </w:tc>
        <w:tc>
          <w:tcPr>
            <w:tcW w:w="0" w:type="dxa"/>
            <w:vAlign w:val="bottom"/>
          </w:tcPr>
          <w:p>
            <w:pPr>
              <w:spacing w:after="0"/>
              <w:rPr>
                <w:sz w:val="1"/>
                <w:szCs w:val="1"/>
                <w:color w:val="auto"/>
              </w:rPr>
            </w:pPr>
          </w:p>
        </w:tc>
      </w:tr>
      <w:tr>
        <w:trPr>
          <w:trHeight w:val="426"/>
        </w:trPr>
        <w:tc>
          <w:tcPr>
            <w:tcW w:w="5860" w:type="dxa"/>
            <w:vAlign w:val="bottom"/>
          </w:tcPr>
          <w:p>
            <w:pPr>
              <w:ind w:left="20"/>
              <w:spacing w:after="0"/>
              <w:rPr>
                <w:sz w:val="20"/>
                <w:szCs w:val="20"/>
                <w:color w:val="auto"/>
              </w:rPr>
            </w:pPr>
            <w:r>
              <w:rPr>
                <w:rFonts w:ascii="Arial" w:cs="Arial" w:eastAsia="Arial" w:hAnsi="Arial"/>
                <w:sz w:val="16"/>
                <w:szCs w:val="16"/>
                <w:color w:val="auto"/>
              </w:rPr>
              <w:t>Commitments and contingencies - Note 13</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860" w:type="dxa"/>
            <w:vAlign w:val="bottom"/>
          </w:tcPr>
          <w:p>
            <w:pPr>
              <w:ind w:left="20"/>
              <w:spacing w:after="0"/>
              <w:rPr>
                <w:sz w:val="20"/>
                <w:szCs w:val="20"/>
                <w:color w:val="auto"/>
              </w:rPr>
            </w:pPr>
            <w:r>
              <w:rPr>
                <w:rFonts w:ascii="Arial" w:cs="Arial" w:eastAsia="Arial" w:hAnsi="Arial"/>
                <w:sz w:val="16"/>
                <w:szCs w:val="16"/>
                <w:color w:val="auto"/>
                <w:w w:val="96"/>
              </w:rPr>
              <w:t>Preferred stock; par value $.01 per share; 100,000 shares authorized; none issued or</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60" w:type="dxa"/>
            <w:vAlign w:val="bottom"/>
          </w:tcPr>
          <w:p>
            <w:pPr>
              <w:ind w:left="20"/>
              <w:spacing w:after="0"/>
              <w:rPr>
                <w:sz w:val="20"/>
                <w:szCs w:val="20"/>
                <w:color w:val="auto"/>
              </w:rPr>
            </w:pPr>
            <w:r>
              <w:rPr>
                <w:rFonts w:ascii="Arial" w:cs="Arial" w:eastAsia="Arial" w:hAnsi="Arial"/>
                <w:sz w:val="16"/>
                <w:szCs w:val="16"/>
                <w:color w:val="auto"/>
              </w:rPr>
              <w:t>outstanding at April 1, 2017, December 31, 2016, and April 2, 2016</w:t>
            </w:r>
          </w:p>
        </w:tc>
        <w:tc>
          <w:tcPr>
            <w:tcW w:w="22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Common stock, voting; par value $.01 per share; 150,000,000 shares authorized;</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shd w:val="clear" w:color="auto" w:fill="CCEEFF"/>
              </w:rPr>
              <w:t>48,517,417, 48,948,670 and 51,206,395 shares issued and outstanding at April 1, 2017,</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December 31, 2016 and April 2, 2016, respectively</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(33,793)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(34,740)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(31,081)</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805,271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822,375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879,286</w:t>
            </w:r>
          </w:p>
        </w:tc>
        <w:tc>
          <w:tcPr>
            <w:tcW w:w="0" w:type="dxa"/>
            <w:vAlign w:val="bottom"/>
          </w:tcPr>
          <w:p>
            <w:pPr>
              <w:spacing w:after="0"/>
              <w:rPr>
                <w:sz w:val="1"/>
                <w:szCs w:val="1"/>
                <w:color w:val="auto"/>
              </w:rPr>
            </w:pPr>
          </w:p>
        </w:tc>
      </w:tr>
      <w:tr>
        <w:trPr>
          <w:trHeight w:val="217"/>
        </w:trPr>
        <w:tc>
          <w:tcPr>
            <w:tcW w:w="586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771,963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788,124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848,717</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1,885,463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1,946,597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1,912,463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364"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5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1, 2017</w:t>
            </w:r>
          </w:p>
        </w:tc>
        <w:tc>
          <w:tcPr>
            <w:tcW w:w="240" w:type="dxa"/>
            <w:vAlign w:val="bottom"/>
          </w:tcPr>
          <w:p>
            <w:pPr>
              <w:spacing w:after="0"/>
              <w:rPr>
                <w:sz w:val="20"/>
                <w:szCs w:val="20"/>
                <w:color w:val="auto"/>
              </w:rPr>
            </w:pPr>
          </w:p>
        </w:tc>
        <w:tc>
          <w:tcPr>
            <w:tcW w:w="1420" w:type="dxa"/>
            <w:vAlign w:val="bottom"/>
          </w:tcPr>
          <w:p>
            <w:pPr>
              <w:jc w:val="right"/>
              <w:ind w:right="319"/>
              <w:spacing w:after="0"/>
              <w:rPr>
                <w:sz w:val="20"/>
                <w:szCs w:val="20"/>
                <w:color w:val="auto"/>
              </w:rPr>
            </w:pPr>
            <w:r>
              <w:rPr>
                <w:rFonts w:ascii="Arial" w:cs="Arial" w:eastAsia="Arial" w:hAnsi="Arial"/>
                <w:sz w:val="16"/>
                <w:szCs w:val="16"/>
                <w:b w:val="1"/>
                <w:bCs w:val="1"/>
                <w:color w:val="auto"/>
              </w:rPr>
              <w:t>April 2, 2016</w:t>
            </w:r>
          </w:p>
        </w:tc>
      </w:tr>
      <w:tr>
        <w:trPr>
          <w:trHeight w:val="33"/>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732,755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724,085</w:t>
            </w:r>
          </w:p>
        </w:tc>
      </w:tr>
      <w:tr>
        <w:trPr>
          <w:trHeight w:val="237"/>
        </w:trPr>
        <w:tc>
          <w:tcPr>
            <w:tcW w:w="52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416,953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413,156</w:t>
            </w:r>
          </w:p>
        </w:tc>
      </w:tr>
      <w:tr>
        <w:trPr>
          <w:trHeight w:val="33"/>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315,802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310,929</w:t>
            </w:r>
          </w:p>
        </w:tc>
      </w:tr>
      <w:tr>
        <w:trPr>
          <w:trHeight w:val="237"/>
        </w:trPr>
        <w:tc>
          <w:tcPr>
            <w:tcW w:w="52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247,794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228,996</w:t>
            </w: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(11,075)</w:t>
            </w:r>
          </w:p>
        </w:tc>
      </w:tr>
      <w:tr>
        <w:trPr>
          <w:trHeight w:val="217"/>
        </w:trPr>
        <w:tc>
          <w:tcPr>
            <w:tcW w:w="52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78,566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93,008</w:t>
            </w: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6,739</w:t>
            </w:r>
          </w:p>
        </w:tc>
      </w:tr>
      <w:tr>
        <w:trPr>
          <w:trHeight w:val="237"/>
        </w:trPr>
        <w:tc>
          <w:tcPr>
            <w:tcW w:w="5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3,193</w:t>
            </w:r>
          </w:p>
        </w:tc>
      </w:tr>
      <w:tr>
        <w:trPr>
          <w:trHeight w:val="217"/>
        </w:trPr>
        <w:tc>
          <w:tcPr>
            <w:tcW w:w="52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71,822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83,283</w:t>
            </w: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29,303</w:t>
            </w:r>
          </w:p>
        </w:tc>
      </w:tr>
      <w:tr>
        <w:trPr>
          <w:trHeight w:val="284"/>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46,664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53,980</w:t>
            </w:r>
          </w:p>
        </w:tc>
      </w:tr>
      <w:tr>
        <w:trPr>
          <w:trHeight w:val="311"/>
        </w:trPr>
        <w:tc>
          <w:tcPr>
            <w:tcW w:w="5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0.96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1.05</w:t>
            </w:r>
          </w:p>
        </w:tc>
      </w:tr>
      <w:tr>
        <w:trPr>
          <w:trHeight w:val="33"/>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37"/>
        </w:trPr>
        <w:tc>
          <w:tcPr>
            <w:tcW w:w="5240" w:type="dxa"/>
            <w:vAlign w:val="bottom"/>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0.33</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796"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3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April 1, 2017</w:t>
            </w:r>
          </w:p>
        </w:tc>
        <w:tc>
          <w:tcPr>
            <w:tcW w:w="220" w:type="dxa"/>
            <w:vAlign w:val="bottom"/>
          </w:tcPr>
          <w:p>
            <w:pPr>
              <w:spacing w:after="0"/>
              <w:rPr>
                <w:sz w:val="20"/>
                <w:szCs w:val="20"/>
                <w:color w:val="auto"/>
              </w:rPr>
            </w:pP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April 2, 2016</w:t>
            </w:r>
          </w:p>
        </w:tc>
      </w:tr>
      <w:tr>
        <w:trPr>
          <w:trHeight w:val="33"/>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53,980</w:t>
            </w:r>
          </w:p>
        </w:tc>
      </w:tr>
      <w:tr>
        <w:trPr>
          <w:trHeight w:val="237"/>
        </w:trPr>
        <w:tc>
          <w:tcPr>
            <w:tcW w:w="35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5,286</w:t>
            </w:r>
          </w:p>
        </w:tc>
      </w:tr>
      <w:tr>
        <w:trPr>
          <w:trHeight w:val="244"/>
        </w:trPr>
        <w:tc>
          <w:tcPr>
            <w:tcW w:w="358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47,611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59,266</w:t>
            </w:r>
          </w:p>
        </w:tc>
      </w:tr>
      <w:tr>
        <w:trPr>
          <w:trHeight w:val="20"/>
        </w:trPr>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580"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 other</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64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Common stock -</w:t>
            </w:r>
          </w:p>
        </w:tc>
        <w:tc>
          <w:tcPr>
            <w:tcW w:w="24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paid-in</w:t>
            </w:r>
          </w:p>
        </w:tc>
        <w:tc>
          <w:tcPr>
            <w:tcW w:w="1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comprehensive</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r>
      <w:tr>
        <w:trPr>
          <w:trHeight w:val="210"/>
        </w:trPr>
        <w:tc>
          <w:tcPr>
            <w:tcW w:w="264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1"/>
              </w:rPr>
              <w:t>shares</w:t>
            </w:r>
          </w:p>
        </w:tc>
        <w:tc>
          <w:tcPr>
            <w:tcW w:w="2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stock - $</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capital</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4"/>
              </w:rPr>
              <w:t>loss</w:t>
            </w: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26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15"/>
        </w:trPr>
        <w:tc>
          <w:tcPr>
            <w:tcW w:w="2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48,948,670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788,124</w:t>
            </w:r>
          </w:p>
        </w:tc>
      </w:tr>
      <w:tr>
        <w:trPr>
          <w:trHeight w:val="237"/>
        </w:trPr>
        <w:tc>
          <w:tcPr>
            <w:tcW w:w="264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32,825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1,626</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Withholdings from vesting of restricted</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(65,388)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(5,552)</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Restricted stock activity</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145,254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4,779</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380" w:type="dxa"/>
            <w:vAlign w:val="bottom"/>
          </w:tcPr>
          <w:p>
            <w:pPr>
              <w:jc w:val="right"/>
              <w:spacing w:after="0"/>
              <w:rPr>
                <w:sz w:val="20"/>
                <w:szCs w:val="20"/>
                <w:color w:val="auto"/>
              </w:rPr>
            </w:pPr>
            <w:r>
              <w:rPr>
                <w:rFonts w:ascii="Arial" w:cs="Arial" w:eastAsia="Arial" w:hAnsi="Arial"/>
                <w:sz w:val="16"/>
                <w:szCs w:val="16"/>
                <w:color w:val="auto"/>
              </w:rPr>
              <w:t>(543,944)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(45,770)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(46,627)</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declared and paid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(17,998)</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46,664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47,611</w:t>
            </w:r>
          </w:p>
        </w:tc>
      </w:tr>
      <w:tr>
        <w:trPr>
          <w:trHeight w:val="33"/>
        </w:trPr>
        <w:tc>
          <w:tcPr>
            <w:tcW w:w="26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April 1, 2017</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48,517,417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805,271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771,963</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p>
      <w:pPr>
        <w:ind w:left="8960"/>
        <w:spacing w:after="0"/>
        <w:rPr>
          <w:sz w:val="20"/>
          <w:szCs w:val="20"/>
          <w:color w:val="auto"/>
        </w:rPr>
      </w:pPr>
      <w:r>
        <w:rPr>
          <w:rFonts w:ascii="Arial" w:cs="Arial" w:eastAsia="Arial" w:hAnsi="Arial"/>
          <w:sz w:val="18"/>
          <w:szCs w:val="18"/>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34290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April 1, 2017</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April 2, 2016</w:t>
            </w:r>
          </w:p>
        </w:tc>
        <w:tc>
          <w:tcPr>
            <w:tcW w:w="0" w:type="dxa"/>
            <w:vAlign w:val="bottom"/>
          </w:tcPr>
          <w:p>
            <w:pPr>
              <w:spacing w:after="0"/>
              <w:rPr>
                <w:sz w:val="1"/>
                <w:szCs w:val="1"/>
                <w:color w:val="auto"/>
              </w:rPr>
            </w:pPr>
          </w:p>
        </w:tc>
      </w:tr>
      <w:tr>
        <w:trPr>
          <w:trHeight w:val="33"/>
        </w:trPr>
        <w:tc>
          <w:tcPr>
            <w:tcW w:w="8000" w:type="dxa"/>
            <w:vAlign w:val="bottom"/>
            <w:vMerge w:val="restart"/>
          </w:tcPr>
          <w:p>
            <w:pPr>
              <w:ind w:left="4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46,664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53,980</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19,513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17,177</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Amortization of tradenames</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Non-cash stock-based compensation expense</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4,779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4,556</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(gain) loss,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3,780</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Income tax benefit from stock-based compensation</w:t>
            </w:r>
          </w:p>
        </w:tc>
        <w:tc>
          <w:tcPr>
            <w:tcW w:w="24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(3,144)</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disposal of 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3,491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2,226</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Effect of changes in operating assets and liabilities, net of acquisition: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16,247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15,247</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Finished goods 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82,086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96,056</w:t>
            </w: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(15,350)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and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(74,000)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(62,568)</w:t>
            </w:r>
          </w:p>
        </w:tc>
        <w:tc>
          <w:tcPr>
            <w:tcW w:w="0" w:type="dxa"/>
            <w:vAlign w:val="bottom"/>
          </w:tcPr>
          <w:p>
            <w:pPr>
              <w:spacing w:after="0"/>
              <w:rPr>
                <w:sz w:val="1"/>
                <w:szCs w:val="1"/>
                <w:color w:val="auto"/>
              </w:rPr>
            </w:pPr>
          </w:p>
        </w:tc>
      </w:tr>
      <w:tr>
        <w:trPr>
          <w:trHeight w:val="217"/>
        </w:trPr>
        <w:tc>
          <w:tcPr>
            <w:tcW w:w="800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84,180</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128,282</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(17,991)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(25,552)</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Acquisition of Skip Hop Holdings, Inc., net of cash acquired</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(143,704)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(161,695)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(25,552)</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Borrowing under secured revolving credit facility</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20,000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 on secured 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(18,965)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(46,627)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(71,561)</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(17,998)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(17,032)</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Income tax benefit from stock-based compensation</w:t>
            </w:r>
          </w:p>
        </w:tc>
        <w:tc>
          <w:tcPr>
            <w:tcW w:w="24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3,144</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Withholdings from vestings of restricted stock</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(8,454)</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Proceeds from exercises of stock options</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1,626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3,747</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(67,516)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(90,156)</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217"/>
        </w:trPr>
        <w:tc>
          <w:tcPr>
            <w:tcW w:w="800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(145,080)</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13,932</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299,358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381,209</w:t>
            </w:r>
          </w:p>
        </w:tc>
        <w:tc>
          <w:tcPr>
            <w:tcW w:w="0" w:type="dxa"/>
            <w:vAlign w:val="bottom"/>
          </w:tcPr>
          <w:p>
            <w:pPr>
              <w:spacing w:after="0"/>
              <w:rPr>
                <w:sz w:val="1"/>
                <w:szCs w:val="1"/>
                <w:color w:val="auto"/>
              </w:rPr>
            </w:pPr>
          </w:p>
        </w:tc>
      </w:tr>
      <w:tr>
        <w:trPr>
          <w:trHeight w:val="244"/>
        </w:trPr>
        <w:tc>
          <w:tcPr>
            <w:tcW w:w="800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154,278</w:t>
            </w:r>
          </w:p>
        </w:tc>
        <w:tc>
          <w:tcPr>
            <w:tcW w:w="2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395,141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Carter's, Inc. and its wholly owned subsidiaries (collectively, the "Company," "its," "us" and "our") design, source, and market branded childrenswear and related products under the </w:t>
      </w:r>
      <w:r>
        <w:rPr>
          <w:rFonts w:ascii="Arial" w:cs="Arial" w:eastAsia="Arial" w:hAnsi="Arial"/>
          <w:sz w:val="16"/>
          <w:szCs w:val="16"/>
          <w:i w:val="1"/>
          <w:iCs w:val="1"/>
          <w:color w:val="auto"/>
        </w:rPr>
        <w:t>Carter's, Child of Mine, Just One You, Precious Firsts</w:t>
      </w:r>
      <w:r>
        <w:rPr>
          <w:rFonts w:ascii="Arial" w:cs="Arial" w:eastAsia="Arial" w:hAnsi="Arial"/>
          <w:sz w:val="16"/>
          <w:szCs w:val="16"/>
          <w:color w:val="auto"/>
        </w:rPr>
        <w:t xml:space="preserve">, </w:t>
      </w:r>
      <w:r>
        <w:rPr>
          <w:rFonts w:ascii="Arial" w:cs="Arial" w:eastAsia="Arial" w:hAnsi="Arial"/>
          <w:sz w:val="16"/>
          <w:szCs w:val="16"/>
          <w:i w:val="1"/>
          <w:iCs w:val="1"/>
          <w:color w:val="auto"/>
        </w:rPr>
        <w:t>Simple Joys</w:t>
      </w:r>
      <w:r>
        <w:rPr>
          <w:rFonts w:ascii="Arial" w:cs="Arial" w:eastAsia="Arial" w:hAnsi="Arial"/>
          <w:sz w:val="16"/>
          <w:szCs w:val="16"/>
          <w:color w:val="auto"/>
        </w:rPr>
        <w:t xml:space="preserve">, </w:t>
      </w:r>
      <w:r>
        <w:rPr>
          <w:rFonts w:ascii="Arial" w:cs="Arial" w:eastAsia="Arial" w:hAnsi="Arial"/>
          <w:sz w:val="16"/>
          <w:szCs w:val="16"/>
          <w:i w:val="1"/>
          <w:iCs w:val="1"/>
          <w:color w:val="auto"/>
        </w:rPr>
        <w:t>OshKosh B'gosh ("OshKosh")</w:t>
      </w:r>
      <w:r>
        <w:rPr>
          <w:rFonts w:ascii="Arial" w:cs="Arial" w:eastAsia="Arial" w:hAnsi="Arial"/>
          <w:sz w:val="16"/>
          <w:szCs w:val="16"/>
          <w:color w:val="auto"/>
        </w:rPr>
        <w:t xml:space="preserv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and other brands. The Company's products are sourced through contractual arrangements with manufacturers worldwide for wholesale distribution to leading department stores, national chains, and specialty retailers domestically and internationally and for the Company's own retail stores and websites that market its brand name merchandise and other licensed products manufactured by other companies. As of April 1, 2017, the Company operated 965 retail stores.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PREPARATION AND BUSINESS ACQUISITION</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the accounts of Carter's, Inc. and its wholly owned subsidiaries and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ended April 1, 2017 are not necessarily indicative of the results that may be expected for the 2017 fiscal year ending December 30, 2017.</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accompanying condensed consolidated balance sheet as of December 31, 2016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Skip Hop Acquisition</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accompanying unaudited condensed consolidated financial statements and footnotes include the accounts of Skip Hop Holdings, Inc. and subsidiaries ("Skip Hop") from February 23, 2017. Carter's, Inc.'s wholly-owned subsidiary, The William Carter Company ("TWCC"), acquired 100% of the voting equity interests of Skip Hop after the close of business on February 22, 2017. The acquisition of Skip Hop expanded the Company’s product offerings to include complementary essential core products for families with young children. Skip Hop's product lines include diaper bags, kid’s backpacks, travel accessories, home gear, and hardline goods for playtime, mealtime, and bath time. Skip Hop's products are sold through wholesale and eCommerce channels.</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Skip Hop purchase was deemed to be the acquisition of a business under the provisions of Accounting Standards Codification ("ASC") No.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The purchase price is subject to a working capital adjustment, plus a potential future payment of up to $10 million contingent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certain financial targets in 2017. The measurement period, as defined under the provisions of ASC 805, is open for certain assets and liabilities. Based on preliminary fair values assigned to assets and liabilities, the purchase price at acquisition of approximately $147.3 million, net of $0.8 million cash acquired, represented: $56.6 million of goodwill which includes an assembled workforce; $92.7 million of intangible assets; $54.7 million of tangible assets acquired, including finished goods inventory of $28.6 million, accounts receivable of $20.4 million, PP&amp;E of $4.2 million; and $23.2 million of liabilities in addition to $33.5 million of deferred income tax liabilities. The goodwill is not tax deductible to the Company. Based on the purchase price, Skip Hop's assets, and Skip Hop's pre-tax operating income prior to the acquisition, the acquired Skip Hop business does not meet the materiality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4"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requirements for preparation and presentation of the pro forma financial information prescribed by Article 11 of Regulation S-X. The majority of Skip Hop's wholesale operations became a part of the Company's U.S. Wholesale operating segment, with the remainder becoming part of the Company's International operating segment. Skip Hop's eCommerce retail operations became part of the Company's U.S. Retail operating segment. Between the acquisition date and the end of the Company's first quarter of fiscal 2017, Skip Hop contributed approximately $10.4 million of net sales to the Company's consolidated net sales and produced operating income of approximately $0.3 million.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accounting policies the Company follows are set forth in its most recently filed Annual Report on Form 10-K. There have been no material subsequent changes to these accounting policies, except as noted below for new accounting pronouncements adopted at the beginning of fiscal 2017.</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 At the Beginning of Fiscal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Share-Based Payments to Employees (ASU 2016-09)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At the beginning of its first quarter of fiscal 2017, the Company adopted the provisions of Financial Accounting Standards Board ("FASB")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("ASU 2016-09"), which amended ASC Topic 718, </w:t>
      </w:r>
      <w:r>
        <w:rPr>
          <w:rFonts w:ascii="Arial" w:cs="Arial" w:eastAsia="Arial" w:hAnsi="Arial"/>
          <w:sz w:val="18"/>
          <w:szCs w:val="18"/>
          <w:i w:val="1"/>
          <w:iCs w:val="1"/>
          <w:color w:val="auto"/>
        </w:rPr>
        <w:t>Stock Compensation</w:t>
      </w:r>
      <w:r>
        <w:rPr>
          <w:rFonts w:ascii="Arial" w:cs="Arial" w:eastAsia="Arial" w:hAnsi="Arial"/>
          <w:sz w:val="18"/>
          <w:szCs w:val="18"/>
          <w:color w:val="auto"/>
        </w:rPr>
        <w:t>. The adoption of this ASU affected the Company consolidated financial statements as follows.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Consolidated Statement of Operations - ASU 2016-09 imposes a new requirement to record all of the excess income tax benefits and deficiencies (that result from an increase or decrease in the value of an award from grant date to settlement date) related to share-based payments at settlement through the statement of operations instead of the former requirement to record income tax benefits in excess of compensation cost ("windfalls") in equity, and income tax deficiencies ("shortfalls") in equity to the extent of previous windfalls, and then to operations. This change is required to be applied prospectively upon adoption of ASU 2016-09 to all excess income tax benefits and deficiencies resulting from settlements of share-based payments after the date of adoption. For the first quarter of fiscal 2017, the Company’s provision for income taxes on its consolidated statement of operations includes a benefit of approximately $1.0 million related to net excess income tax benefits for settlements of share-based payments during the current quarter. For the first quarter of fiscal 2016, the Company recognized net excess income tax benefits of approximately $3.1 million for share-based payments settled during that quarter, and this net tax benefit was recorded directly to the Company’s consolidated statement of stockholders’ equity and has not been reclassified to the Company’s consolidated statement of operations, in accordance with adoption and transition provisions of ASU 2016-09.</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Statement of Cash Flows - ASU 2016-09 requires that all income tax-related cash flows resulting from share-based payments, such as excess income tax benefits, are to be reported as operating activities on the statement of cash flows, a change from the prior requirement to present windfall income tax benefits as an inflow from financing activities and an offsetting outflow from operating activities. As permitted, the Company elected to apply these provisions prospectively to its consolidated statement of cash flows, and accordingly, periods prior to fiscal 2017 have not been adjusted.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ASU 2016-09 clarifies that all cash payments made to taxing authorities on the employees' behalf for withheld shares at settlement are presented as financing activities on the statement of cash flows. This change must be applied retrospectively. The presentation requirements did not result in reclassification for any prior periods since such cash flows have historically been presented as a financing activity by the Company on its consolidated statement of cash flows.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elected to continue to estimate forfeitures expected to occur to determine the amount of share-based compensation cost to recognize in each period, as permitted by ASU 2016-09. Accordingly, no cumulative effect was recorded in retained earnings on the Company’s consolidated statement of stockholders’ equity at the beginning of fiscal 2017 upon the adoption of ASU 2016-09.</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Simplified Subsequent Measurement of Inventory (ASU 2015-11)</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At the beginning of its first quarter of fiscal 2017, the Company adopted the provisions of ASU No. 2015-11, </w:t>
      </w:r>
      <w:r>
        <w:rPr>
          <w:rFonts w:ascii="Arial" w:cs="Arial" w:eastAsia="Arial" w:hAnsi="Arial"/>
          <w:sz w:val="18"/>
          <w:szCs w:val="18"/>
          <w:i w:val="1"/>
          <w:iCs w:val="1"/>
          <w:color w:val="auto"/>
        </w:rPr>
        <w:t>Inventory (Topic 330):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of Inventory </w:t>
      </w:r>
      <w:r>
        <w:rPr>
          <w:rFonts w:ascii="Arial" w:cs="Arial" w:eastAsia="Arial" w:hAnsi="Arial"/>
          <w:sz w:val="18"/>
          <w:szCs w:val="18"/>
          <w:color w:val="auto"/>
        </w:rPr>
        <w:t>("ASU 2015-11"). ASU 2015-11 simplifies subsequent measurements of inventory by replacing the lower of cost or market test,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under prior guidance, with a lower of cost and net realizable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7"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value test. ASU 2015-11 applies only to inventories for which cost is determined by methods other than last-in-first-out (LIFO) and the retail inventory method. For inventory within the scope of ASU 2015-11, entities are required to compare the cost of inventory to only one measure, its net realizable value, and not the three measures required by prior guidance ("market," "subject to a floor," and a "ceiling"). When evidence exists that the net realizable value of inventory is less than its cost (due to damage, physical deterioration, obsolescence, changes in price levels or other causes), entities recognize the difference as a loss in earnings in the period in which it occurs. The adoption of ASU 2015-11 was not material to the Company's consolidated financial condition, results of operations, or cash flows.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Classification of Deferred Taxes (ASU 2015-17)</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prospectively adopted the provisions of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("ASU 2015-17"), at the beginning of the first quarter of fiscal 2017. ASU 2015-17 simplifies the balance sheet presentation of deferred income taxes by reporting the net amount of deferred tax assets and liabilities for each tax-paying jurisdiction as non-current on the balance sheet. Prior guidance required the deferred taxes for each tax-paying jurisdiction to be presented as a net current asset or liability and net non-current asset or liability. The Company's prospective adoption of ASU 2015-17 impacts the classification of deferred tax assets and liabilities on any balance sheet that reports the Company's financial position for any date after December 31, 2016. Balance sheets for prior periods have not been adjusted. The adoption of ASU 2015-17 has no impact on the Company's results of operations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net of applicable income taxes, of accumulated other comprehensive loss consisted of the following:</w:t>
      </w:r>
    </w:p>
    <w:p>
      <w:pPr>
        <w:spacing w:after="0" w:line="185"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April 1, 2017</w:t>
            </w: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2016</w:t>
            </w:r>
          </w:p>
        </w:tc>
        <w:tc>
          <w:tcPr>
            <w:tcW w:w="260" w:type="dxa"/>
            <w:vAlign w:val="bottom"/>
          </w:tcPr>
          <w:p>
            <w:pPr>
              <w:spacing w:after="0"/>
              <w:rPr>
                <w:sz w:val="18"/>
                <w:szCs w:val="18"/>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b w:val="1"/>
                <w:bCs w:val="1"/>
                <w:color w:val="auto"/>
              </w:rPr>
              <w:t>April 2, 2016</w:t>
            </w:r>
          </w:p>
        </w:tc>
      </w:tr>
      <w:tr>
        <w:trPr>
          <w:trHeight w:val="33"/>
        </w:trPr>
        <w:tc>
          <w:tcPr>
            <w:tcW w:w="3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Cumulative foreign currency translation adjustments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(24,300)</w:t>
            </w:r>
          </w:p>
        </w:tc>
      </w:tr>
      <w:tr>
        <w:trPr>
          <w:trHeight w:val="237"/>
        </w:trPr>
        <w:tc>
          <w:tcPr>
            <w:tcW w:w="3720" w:type="dxa"/>
            <w:vAlign w:val="bottom"/>
          </w:tcPr>
          <w:p>
            <w:pPr>
              <w:ind w:left="20"/>
              <w:spacing w:after="0"/>
              <w:rPr>
                <w:sz w:val="20"/>
                <w:szCs w:val="20"/>
                <w:color w:val="auto"/>
              </w:rPr>
            </w:pPr>
            <w:r>
              <w:rPr>
                <w:rFonts w:ascii="Arial" w:cs="Arial" w:eastAsia="Arial" w:hAnsi="Arial"/>
                <w:sz w:val="16"/>
                <w:szCs w:val="16"/>
                <w:color w:val="auto"/>
              </w:rPr>
              <w:t>Pension and post-retirement liability adjustments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(7,116)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(6,781)</w:t>
            </w:r>
          </w:p>
        </w:tc>
      </w:tr>
      <w:tr>
        <w:trPr>
          <w:trHeight w:val="33"/>
        </w:trPr>
        <w:tc>
          <w:tcPr>
            <w:tcW w:w="3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accumulated other comprehensive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(31,081)</w:t>
            </w:r>
          </w:p>
        </w:tc>
      </w:tr>
      <w:tr>
        <w:trPr>
          <w:trHeight w:val="20"/>
        </w:trPr>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Changes in accumulated other comprehensive loss for the first quarter of fiscal 2017 consisted of net gains of $0.9 million for foreign currency translation adjustments. Changes in accumulated other comprehensive loss for the first quarter of fiscal 2016 consisted of gains of $5.3 million for foreign currency translation adjustments. During the first quarters of both fiscal 2017 and fiscal 2016, no amounts were reclassified from accumulated other comprehensive loss to the statement of operations.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TRADENAMES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goodwill and intangible assets were as follows: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337"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1, 2017</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December 31, 2016</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7"/>
              </w:rPr>
              <w:t>average useful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Gross fair</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Gross fair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0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life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amount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Carter's goodwill</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Indefinite</w:t>
            </w:r>
          </w:p>
        </w:tc>
        <w:tc>
          <w:tcPr>
            <w:tcW w:w="1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c>
          <w:tcPr>
            <w:tcW w:w="2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2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136,570</w:t>
            </w: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Arial" w:cs="Arial" w:eastAsia="Arial" w:hAnsi="Arial"/>
                <w:sz w:val="16"/>
                <w:szCs w:val="16"/>
                <w:color w:val="auto"/>
              </w:rPr>
              <w:t>Canada acquisition</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Indefinite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39,800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39,800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39,439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39,439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 xml:space="preserve">Skip Hop acquisition </w:t>
            </w:r>
            <w:r>
              <w:rPr>
                <w:rFonts w:ascii="Arial" w:cs="Arial" w:eastAsia="Arial" w:hAnsi="Arial"/>
                <w:sz w:val="14"/>
                <w:szCs w:val="14"/>
                <w:color w:val="auto"/>
              </w:rPr>
              <w:t>(1)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Indefinite</w:t>
            </w:r>
          </w:p>
        </w:tc>
        <w:tc>
          <w:tcPr>
            <w:tcW w:w="1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56,555</w:t>
            </w:r>
          </w:p>
        </w:tc>
        <w:tc>
          <w:tcPr>
            <w:tcW w:w="2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00" w:type="dxa"/>
            <w:vAlign w:val="bottom"/>
          </w:tcPr>
          <w:p>
            <w:pPr>
              <w:ind w:left="40"/>
              <w:spacing w:after="0"/>
              <w:rPr>
                <w:sz w:val="20"/>
                <w:szCs w:val="20"/>
                <w:color w:val="auto"/>
              </w:rPr>
            </w:pPr>
            <w:r>
              <w:rPr>
                <w:rFonts w:ascii="Arial" w:cs="Arial" w:eastAsia="Arial" w:hAnsi="Arial"/>
                <w:sz w:val="16"/>
                <w:szCs w:val="16"/>
                <w:color w:val="auto"/>
              </w:rPr>
              <w:t>Total goodwill</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232,925</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232,925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176,009</w:t>
            </w:r>
          </w:p>
        </w:tc>
        <w:tc>
          <w:tcPr>
            <w:tcW w:w="2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176,009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Indefinite</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220,233</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220,233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220,233</w:t>
            </w:r>
          </w:p>
        </w:tc>
        <w:tc>
          <w:tcPr>
            <w:tcW w:w="2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Indefinite</w:t>
            </w:r>
          </w:p>
        </w:tc>
        <w:tc>
          <w:tcPr>
            <w:tcW w:w="1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85,500</w:t>
            </w:r>
          </w:p>
        </w:tc>
        <w:tc>
          <w:tcPr>
            <w:tcW w:w="0" w:type="dxa"/>
            <w:vAlign w:val="bottom"/>
          </w:tcPr>
          <w:p>
            <w:pPr>
              <w:spacing w:after="0"/>
              <w:rPr>
                <w:sz w:val="1"/>
                <w:szCs w:val="1"/>
                <w:color w:val="auto"/>
              </w:rPr>
            </w:pPr>
          </w:p>
        </w:tc>
      </w:tr>
      <w:tr>
        <w:trPr>
          <w:trHeight w:val="237"/>
        </w:trPr>
        <w:tc>
          <w:tcPr>
            <w:tcW w:w="2300" w:type="dxa"/>
            <w:vAlign w:val="bottom"/>
          </w:tcPr>
          <w:p>
            <w:pPr>
              <w:ind w:left="8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r>
              <w:rPr>
                <w:rFonts w:ascii="Arial" w:cs="Arial" w:eastAsia="Arial" w:hAnsi="Arial"/>
                <w:sz w:val="16"/>
                <w:szCs w:val="16"/>
                <w:i w:val="1"/>
                <w:iCs w:val="1"/>
                <w:color w:val="auto"/>
              </w:rPr>
              <w:t xml:space="preserve"> </w:t>
            </w:r>
            <w:r>
              <w:rPr>
                <w:rFonts w:ascii="Arial" w:cs="Arial" w:eastAsia="Arial" w:hAnsi="Arial"/>
                <w:sz w:val="14"/>
                <w:szCs w:val="14"/>
                <w:color w:val="auto"/>
              </w:rPr>
              <w:t>(1)</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Indefinite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56,800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56,800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Finite-life tradenames (2)</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2-20 years</w:t>
            </w:r>
          </w:p>
        </w:tc>
        <w:tc>
          <w:tcPr>
            <w:tcW w:w="120" w:type="dxa"/>
            <w:vAlign w:val="bottom"/>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3,151</w:t>
            </w:r>
          </w:p>
        </w:tc>
        <w:tc>
          <w:tcPr>
            <w:tcW w:w="220" w:type="dxa"/>
            <w:vAlign w:val="bottom"/>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3,195</w:t>
            </w:r>
          </w:p>
        </w:tc>
        <w:tc>
          <w:tcPr>
            <w:tcW w:w="0" w:type="dxa"/>
            <w:vAlign w:val="bottom"/>
          </w:tcPr>
          <w:p>
            <w:pPr>
              <w:spacing w:after="0"/>
              <w:rPr>
                <w:sz w:val="1"/>
                <w:szCs w:val="1"/>
                <w:color w:val="auto"/>
              </w:rPr>
            </w:pPr>
          </w:p>
        </w:tc>
      </w:tr>
      <w:tr>
        <w:trPr>
          <w:trHeight w:val="217"/>
        </w:trPr>
        <w:tc>
          <w:tcPr>
            <w:tcW w:w="2300" w:type="dxa"/>
            <w:vAlign w:val="bottom"/>
          </w:tcPr>
          <w:p>
            <w:pPr>
              <w:ind w:left="40"/>
              <w:spacing w:after="0"/>
              <w:rPr>
                <w:sz w:val="20"/>
                <w:szCs w:val="20"/>
                <w:color w:val="auto"/>
              </w:rPr>
            </w:pPr>
            <w:r>
              <w:rPr>
                <w:rFonts w:ascii="Arial" w:cs="Arial" w:eastAsia="Arial" w:hAnsi="Arial"/>
                <w:sz w:val="16"/>
                <w:szCs w:val="16"/>
                <w:color w:val="auto"/>
              </w:rPr>
              <w:t>Total tradenames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404,542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38,858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365,684</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347,738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38,810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308,928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300" w:type="dxa"/>
            <w:vAlign w:val="bottom"/>
          </w:tcPr>
          <w:p>
            <w:pPr>
              <w:ind w:left="40"/>
              <w:spacing w:after="0"/>
              <w:rPr>
                <w:sz w:val="20"/>
                <w:szCs w:val="20"/>
                <w:color w:val="auto"/>
              </w:rPr>
            </w:pPr>
            <w:r>
              <w:rPr>
                <w:rFonts w:ascii="Arial" w:cs="Arial" w:eastAsia="Arial" w:hAnsi="Arial"/>
                <w:sz w:val="16"/>
                <w:szCs w:val="16"/>
                <w:color w:val="auto"/>
                <w:w w:val="97"/>
              </w:rPr>
              <w:t>Skip Hop customer relationships</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87"/>
              </w:rPr>
              <w:t>15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35,900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35,695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300" w:type="dxa"/>
            <w:vAlign w:val="bottom"/>
          </w:tcPr>
          <w:p>
            <w:pPr>
              <w:ind w:left="40"/>
              <w:spacing w:after="0"/>
              <w:rPr>
                <w:sz w:val="20"/>
                <w:szCs w:val="20"/>
                <w:color w:val="auto"/>
              </w:rPr>
            </w:pPr>
            <w:r>
              <w:rPr>
                <w:rFonts w:ascii="Arial" w:cs="Arial" w:eastAsia="Arial" w:hAnsi="Arial"/>
                <w:sz w:val="14"/>
                <w:szCs w:val="14"/>
                <w:color w:val="auto"/>
              </w:rPr>
              <w:t>(1)</w:t>
            </w: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00" w:type="dxa"/>
            <w:vAlign w:val="bottom"/>
          </w:tcPr>
          <w:p>
            <w:pPr>
              <w:ind w:left="40"/>
              <w:spacing w:after="0"/>
              <w:rPr>
                <w:sz w:val="20"/>
                <w:szCs w:val="20"/>
                <w:color w:val="auto"/>
              </w:rPr>
            </w:pPr>
            <w:r>
              <w:rPr>
                <w:rFonts w:ascii="Arial" w:cs="Arial" w:eastAsia="Arial" w:hAnsi="Arial"/>
                <w:sz w:val="16"/>
                <w:szCs w:val="16"/>
                <w:color w:val="auto"/>
              </w:rPr>
              <w:t>Total tradenames and other</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12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440,442</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39,063</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401,379</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347,738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38,810</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308,928</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right="120" w:firstLine="8"/>
        <w:spacing w:after="0" w:line="273" w:lineRule="auto"/>
        <w:tabs>
          <w:tab w:leader="none" w:pos="204"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revision. The measurement period, as defined in ASC 805, Business Combinations, is open for certain assets and liabilities related to the Skip Hop business acquisition that closed on February 22, 2017.</w:t>
      </w:r>
    </w:p>
    <w:p>
      <w:pPr>
        <w:spacing w:after="0" w:line="173" w:lineRule="exact"/>
        <w:rPr>
          <w:rFonts w:ascii="Arial" w:cs="Arial" w:eastAsia="Arial" w:hAnsi="Arial"/>
          <w:sz w:val="14"/>
          <w:szCs w:val="14"/>
          <w:color w:val="auto"/>
        </w:rPr>
      </w:pPr>
    </w:p>
    <w:p>
      <w:pPr>
        <w:ind w:right="40" w:firstLine="8"/>
        <w:spacing w:after="0" w:line="273" w:lineRule="auto"/>
        <w:tabs>
          <w:tab w:leader="none" w:pos="204"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Relates to the acquisition of rights to the </w:t>
      </w:r>
      <w:r>
        <w:rPr>
          <w:rFonts w:ascii="Arial" w:cs="Arial" w:eastAsia="Arial" w:hAnsi="Arial"/>
          <w:sz w:val="14"/>
          <w:szCs w:val="14"/>
          <w:i w:val="1"/>
          <w:iCs w:val="1"/>
          <w:color w:val="auto"/>
        </w:rPr>
        <w:t>Carter's</w:t>
      </w:r>
      <w:r>
        <w:rPr>
          <w:rFonts w:ascii="Arial" w:cs="Arial" w:eastAsia="Arial" w:hAnsi="Arial"/>
          <w:sz w:val="14"/>
          <w:szCs w:val="14"/>
          <w:color w:val="auto"/>
        </w:rPr>
        <w:t xml:space="preserve"> brand in Chile in December 2014, the </w:t>
      </w:r>
      <w:r>
        <w:rPr>
          <w:rFonts w:ascii="Arial" w:cs="Arial" w:eastAsia="Arial" w:hAnsi="Arial"/>
          <w:sz w:val="14"/>
          <w:szCs w:val="14"/>
          <w:i w:val="1"/>
          <w:iCs w:val="1"/>
          <w:color w:val="auto"/>
        </w:rPr>
        <w:t>Carter's Watch to Wear</w:t>
      </w:r>
      <w:r>
        <w:rPr>
          <w:rFonts w:ascii="Arial" w:cs="Arial" w:eastAsia="Arial" w:hAnsi="Arial"/>
          <w:sz w:val="14"/>
          <w:szCs w:val="14"/>
          <w:color w:val="auto"/>
        </w:rPr>
        <w:t xml:space="preserve"> and </w:t>
      </w:r>
      <w:r>
        <w:rPr>
          <w:rFonts w:ascii="Arial" w:cs="Arial" w:eastAsia="Arial" w:hAnsi="Arial"/>
          <w:sz w:val="14"/>
          <w:szCs w:val="14"/>
          <w:i w:val="1"/>
          <w:iCs w:val="1"/>
          <w:color w:val="auto"/>
        </w:rPr>
        <w:t>H.W. Carter &amp; Sons</w:t>
      </w:r>
      <w:r>
        <w:rPr>
          <w:rFonts w:ascii="Arial" w:cs="Arial" w:eastAsia="Arial" w:hAnsi="Arial"/>
          <w:sz w:val="14"/>
          <w:szCs w:val="14"/>
          <w:color w:val="auto"/>
        </w:rPr>
        <w:t xml:space="preserve"> brand worldwide in 2013, and the Bonnie Togs (Canada) acquisition in 2011. At April 1, 2017, the remaining unamortized balance relates only to the </w:t>
      </w:r>
      <w:r>
        <w:rPr>
          <w:rFonts w:ascii="Arial" w:cs="Arial" w:eastAsia="Arial" w:hAnsi="Arial"/>
          <w:sz w:val="14"/>
          <w:szCs w:val="14"/>
          <w:i w:val="1"/>
          <w:iCs w:val="1"/>
          <w:color w:val="auto"/>
        </w:rPr>
        <w:t>Carter's</w:t>
      </w:r>
      <w:r>
        <w:rPr>
          <w:rFonts w:ascii="Arial" w:cs="Arial" w:eastAsia="Arial" w:hAnsi="Arial"/>
          <w:sz w:val="14"/>
          <w:szCs w:val="14"/>
          <w:color w:val="auto"/>
        </w:rPr>
        <w:t xml:space="preserve"> brand in Chile.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-571500</wp:posOffset>
            </wp:positionV>
            <wp:extent cx="49136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April 2, 2016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average useful</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6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life</w:t>
            </w:r>
          </w:p>
        </w:tc>
        <w:tc>
          <w:tcPr>
            <w:tcW w:w="100" w:type="dxa"/>
            <w:vAlign w:val="bottom"/>
          </w:tcPr>
          <w:p>
            <w:pPr>
              <w:spacing w:after="0"/>
              <w:rPr>
                <w:sz w:val="18"/>
                <w:szCs w:val="18"/>
                <w:color w:val="auto"/>
              </w:rPr>
            </w:pPr>
          </w:p>
        </w:tc>
        <w:tc>
          <w:tcPr>
            <w:tcW w:w="1180" w:type="dxa"/>
            <w:vAlign w:val="bottom"/>
            <w:gridSpan w:val="3"/>
          </w:tcPr>
          <w:p>
            <w:pPr>
              <w:ind w:left="60"/>
              <w:spacing w:after="0"/>
              <w:rPr>
                <w:sz w:val="20"/>
                <w:szCs w:val="20"/>
                <w:color w:val="auto"/>
              </w:rPr>
            </w:pPr>
            <w:r>
              <w:rPr>
                <w:rFonts w:ascii="Arial" w:cs="Arial" w:eastAsia="Arial" w:hAnsi="Arial"/>
                <w:sz w:val="16"/>
                <w:szCs w:val="16"/>
                <w:b w:val="1"/>
                <w:bCs w:val="1"/>
                <w:color w:val="auto"/>
              </w:rPr>
              <w:t>Gross amount</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Net amount</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4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Carter's goodwill</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Indefinite</w:t>
            </w: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136,570</w:t>
            </w:r>
          </w:p>
        </w:tc>
        <w:tc>
          <w:tcPr>
            <w:tcW w:w="0" w:type="dxa"/>
            <w:vAlign w:val="bottom"/>
          </w:tcPr>
          <w:p>
            <w:pPr>
              <w:spacing w:after="0"/>
              <w:rPr>
                <w:sz w:val="1"/>
                <w:szCs w:val="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color w:val="auto"/>
              </w:rPr>
              <w:t>Canadian acquisition</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Indefinite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40,668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40,668</w:t>
            </w: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goodwill</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177,238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177,238</w:t>
            </w: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Indefinite</w:t>
            </w: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Indefinite</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85,500</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Finite-life tradenames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2-20 years</w:t>
            </w:r>
          </w:p>
        </w:tc>
        <w:tc>
          <w:tcPr>
            <w:tcW w:w="100" w:type="dxa"/>
            <w:vAlign w:val="bottom"/>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4,120</w:t>
            </w:r>
          </w:p>
        </w:tc>
        <w:tc>
          <w:tcPr>
            <w:tcW w:w="0" w:type="dxa"/>
            <w:vAlign w:val="bottom"/>
          </w:tcPr>
          <w:p>
            <w:pPr>
              <w:spacing w:after="0"/>
              <w:rPr>
                <w:sz w:val="1"/>
                <w:szCs w:val="1"/>
                <w:color w:val="auto"/>
              </w:rPr>
            </w:pPr>
          </w:p>
        </w:tc>
      </w:tr>
      <w:tr>
        <w:trPr>
          <w:trHeight w:val="217"/>
        </w:trPr>
        <w:tc>
          <w:tcPr>
            <w:tcW w:w="2460" w:type="dxa"/>
            <w:vAlign w:val="bottom"/>
          </w:tcPr>
          <w:p>
            <w:pPr>
              <w:ind w:left="40"/>
              <w:spacing w:after="0"/>
              <w:rPr>
                <w:sz w:val="20"/>
                <w:szCs w:val="20"/>
                <w:color w:val="auto"/>
              </w:rPr>
            </w:pPr>
            <w:r>
              <w:rPr>
                <w:rFonts w:ascii="Arial" w:cs="Arial" w:eastAsia="Arial" w:hAnsi="Arial"/>
                <w:sz w:val="16"/>
                <w:szCs w:val="16"/>
                <w:color w:val="auto"/>
              </w:rPr>
              <w:t>Total tradenames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347,752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37,899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309,853</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substantial majority of Skip Hop wholesale operations became part of the Company's U.S. Wholesale reportable segment, with the remainder becoming part of the Company's International reportable segment. Skip Hop's eCommerce operations became part of the U.S. Retail reportable segment. The assignment of goodwill to reporting units has not been completed.</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Changes in the carrying values between comparative periods for goodwill related to the Company's 2011 acquisition of its Canadian business (Bonnie Togs) were due to fluctuations in the foreign currency exchange rates between the Canadian and U.S. dollar that were used in the remeasurement process for preparing the Company's consolidated financial statements. The portion of the changes in the carrying values for other trademarks, including the related accumulated amortization, that was not attributable to amortization expense was also impacted by these same foreign currency exchange rate fluctuations.</w:t>
      </w:r>
    </w:p>
    <w:p>
      <w:pPr>
        <w:spacing w:after="0" w:line="154"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 xml:space="preserve">Included in finite-life tradenames is the Company's exclusive rights to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brands including trademark registrations in Chile. The Company acquired the Chile rights in 2014 for approximately $3.6 million in cash. This tradename is being amortized over 20 years using a straight-line method. The Company recorded approximately $0.1 million and $1.0 million in amortization expense for the fiscal quarters ended April 1, 2017 and April 2, 2016, respectively.</w:t>
      </w:r>
    </w:p>
    <w:p>
      <w:pPr>
        <w:ind w:right="320"/>
        <w:spacing w:after="0" w:line="261" w:lineRule="auto"/>
        <w:rPr>
          <w:sz w:val="20"/>
          <w:szCs w:val="20"/>
          <w:color w:val="auto"/>
        </w:rPr>
      </w:pPr>
      <w:r>
        <w:rPr>
          <w:rFonts w:ascii="Arial" w:cs="Arial" w:eastAsia="Arial" w:hAnsi="Arial"/>
          <w:sz w:val="18"/>
          <w:szCs w:val="18"/>
          <w:color w:val="auto"/>
        </w:rPr>
        <w:t>Future amortization expense is estimated to be approximately $0.2 million for each of the next five fiscal years. All other finite-life tradenames were fully amortized prior to fiscal 2017.</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37" w:right="2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For the Skip Hop customer relationships intangible asset acquired in February 2017, the Company recorded approximately $0.2 million of amortization expense for the first quarter of fiscal 2017. Future amortization expense is estimated to be approximately $2.4 million each year for the next 15 years.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total aggregate remaining capacity under outstanding repurchase authorizations as of April 1, 2017 was approximately $227.8 million, based on settled repurchase transactions. The authorizations have no expiration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repurchased and retired shares in open market transactions in the following amounts for the fiscal periods indicated:</w:t>
      </w:r>
    </w:p>
    <w:p>
      <w:pPr>
        <w:spacing w:after="0" w:line="172" w:lineRule="exact"/>
        <w:rPr>
          <w:sz w:val="20"/>
          <w:szCs w:val="20"/>
          <w:color w:val="auto"/>
        </w:rPr>
      </w:pPr>
    </w:p>
    <w:tbl>
      <w:tblPr>
        <w:tblLayout w:type="fixed"/>
        <w:tblInd w:w="246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auto"/>
                <w:w w:val="90"/>
              </w:rPr>
              <w:t>Fiscal quarter ended</w:t>
            </w:r>
          </w:p>
        </w:tc>
      </w:tr>
      <w:tr>
        <w:trPr>
          <w:trHeight w:val="47"/>
        </w:trPr>
        <w:tc>
          <w:tcPr>
            <w:tcW w:w="30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31"/>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April 1, 2017</w:t>
            </w:r>
          </w:p>
        </w:tc>
        <w:tc>
          <w:tcPr>
            <w:tcW w:w="280" w:type="dxa"/>
            <w:vAlign w:val="bottom"/>
          </w:tcPr>
          <w:p>
            <w:pPr>
              <w:spacing w:after="0"/>
              <w:rPr>
                <w:sz w:val="20"/>
                <w:szCs w:val="20"/>
                <w:color w:val="auto"/>
              </w:rPr>
            </w:pP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April 2, 2016</w:t>
            </w:r>
          </w:p>
        </w:tc>
      </w:tr>
      <w:tr>
        <w:trPr>
          <w:trHeight w:val="33"/>
        </w:trPr>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543,944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722,364</w:t>
            </w:r>
          </w:p>
        </w:tc>
      </w:tr>
      <w:tr>
        <w:trPr>
          <w:trHeight w:val="220"/>
        </w:trPr>
        <w:tc>
          <w:tcPr>
            <w:tcW w:w="3000" w:type="dxa"/>
            <w:vAlign w:val="bottom"/>
          </w:tcPr>
          <w:p>
            <w:pPr>
              <w:ind w:left="20"/>
              <w:spacing w:after="0"/>
              <w:rPr>
                <w:sz w:val="20"/>
                <w:szCs w:val="20"/>
                <w:color w:val="auto"/>
              </w:rPr>
            </w:pPr>
            <w:r>
              <w:rPr>
                <w:rFonts w:ascii="Arial" w:cs="Arial" w:eastAsia="Arial" w:hAnsi="Arial"/>
                <w:sz w:val="16"/>
                <w:szCs w:val="16"/>
                <w:color w:val="auto"/>
                <w:w w:val="90"/>
              </w:rPr>
              <w:t>Aggregate cost of shares repurchased (dollars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6"/>
        </w:trPr>
        <w:tc>
          <w:tcPr>
            <w:tcW w:w="30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46,627</w:t>
            </w:r>
          </w:p>
        </w:tc>
        <w:tc>
          <w:tcPr>
            <w:tcW w:w="120" w:type="dxa"/>
            <w:vAlign w:val="bottom"/>
          </w:tcPr>
          <w:p>
            <w:pPr>
              <w:spacing w:after="0"/>
              <w:rPr>
                <w:sz w:val="17"/>
                <w:szCs w:val="17"/>
                <w:color w:val="auto"/>
              </w:rPr>
            </w:pPr>
          </w:p>
        </w:tc>
        <w:tc>
          <w:tcPr>
            <w:tcW w:w="280" w:type="dxa"/>
            <w:vAlign w:val="bottom"/>
          </w:tcPr>
          <w:p>
            <w:pPr>
              <w:jc w:val="center"/>
              <w:ind w:right="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71,561</w:t>
            </w:r>
          </w:p>
        </w:tc>
      </w:tr>
      <w:tr>
        <w:trPr>
          <w:trHeight w:val="33"/>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99.07</w:t>
            </w:r>
          </w:p>
        </w:tc>
      </w:tr>
      <w:tr>
        <w:trPr>
          <w:trHeight w:val="33"/>
        </w:trPr>
        <w:tc>
          <w:tcPr>
            <w:tcW w:w="3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Future repurchases may occur from time to time in the open market, in privately negotiated transactions, or otherwise. The timing and amount of any repurchases will be determined by the Company's management, based on its evaluation of market conditions, share price, other investment priorities, and other factors.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first fiscal quarters ended April 1, 2017 and April 2, 2016, the Company declared and paid cash dividends per share of $0.37 and $0.33, respectively. Future declarations of dividends and the establishment of future record and payment dates are at the discretion of the Company's Board of Directors and based on a number of factors, including the Company's future financial performance and other investment priorities.</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Provisions in the indenture governing the senior notes TWCC and in TWCC's secured revolving credit facility could have the effect of restricting the Company's ability to pay future cash dividends on, or make future repurchases of, its common stock. Provisions related to the indenture governing the senior notes are described in the Company's Annual Report on Form 10-K for the 2016 fiscal year ended December 31, 2016.</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32" w:lineRule="exact"/>
        <w:rPr>
          <w:sz w:val="20"/>
          <w:szCs w:val="20"/>
          <w:color w:val="auto"/>
        </w:rPr>
      </w:pPr>
    </w:p>
    <w:tbl>
      <w:tblPr>
        <w:tblLayout w:type="fixed"/>
        <w:tblInd w:w="1440" w:type="dxa"/>
        <w:tblCellMar>
          <w:top w:w="0" w:type="dxa"/>
          <w:left w:w="0" w:type="dxa"/>
          <w:bottom w:w="0" w:type="dxa"/>
          <w:right w:w="0" w:type="dxa"/>
        </w:tblCellMar>
      </w:tblPr>
      <w:tr>
        <w:trPr>
          <w:trHeight w:val="210"/>
        </w:trPr>
        <w:tc>
          <w:tcPr>
            <w:tcW w:w="474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8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April 1, 2017</w:t>
            </w:r>
          </w:p>
        </w:tc>
        <w:tc>
          <w:tcPr>
            <w:tcW w:w="158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2016</w:t>
            </w:r>
          </w:p>
        </w:tc>
        <w:tc>
          <w:tcPr>
            <w:tcW w:w="20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rPr>
              <w:t>April 2, 2016</w:t>
            </w:r>
          </w:p>
        </w:tc>
      </w:tr>
      <w:tr>
        <w:trPr>
          <w:trHeight w:val="33"/>
        </w:trPr>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at amounts repayable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37"/>
        </w:trPr>
        <w:tc>
          <w:tcPr>
            <w:tcW w:w="4740" w:type="dxa"/>
            <w:vAlign w:val="bottom"/>
          </w:tcPr>
          <w:p>
            <w:pPr>
              <w:ind w:left="20"/>
              <w:spacing w:after="0"/>
              <w:rPr>
                <w:sz w:val="20"/>
                <w:szCs w:val="20"/>
                <w:color w:val="auto"/>
              </w:rPr>
            </w:pPr>
            <w:r>
              <w:rPr>
                <w:rFonts w:ascii="Arial" w:cs="Arial" w:eastAsia="Arial" w:hAnsi="Arial"/>
                <w:sz w:val="16"/>
                <w:szCs w:val="16"/>
                <w:color w:val="auto"/>
              </w:rPr>
              <w:t>Less unamortized issuance-related costs for senior notes</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(4,379)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(5,250)</w:t>
            </w:r>
          </w:p>
        </w:tc>
      </w:tr>
      <w:tr>
        <w:trPr>
          <w:trHeight w:val="33"/>
        </w:trPr>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Senior notes, net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395,621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395,399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394,750</w:t>
            </w:r>
          </w:p>
        </w:tc>
      </w:tr>
      <w:tr>
        <w:trPr>
          <w:trHeight w:val="237"/>
        </w:trPr>
        <w:tc>
          <w:tcPr>
            <w:tcW w:w="4740" w:type="dxa"/>
            <w:vAlign w:val="bottom"/>
          </w:tcPr>
          <w:p>
            <w:pPr>
              <w:ind w:left="20"/>
              <w:spacing w:after="0"/>
              <w:rPr>
                <w:sz w:val="20"/>
                <w:szCs w:val="20"/>
                <w:color w:val="auto"/>
              </w:rPr>
            </w:pPr>
            <w:r>
              <w:rPr>
                <w:rFonts w:ascii="Arial" w:cs="Arial" w:eastAsia="Arial" w:hAnsi="Arial"/>
                <w:sz w:val="16"/>
                <w:szCs w:val="16"/>
                <w:color w:val="auto"/>
              </w:rPr>
              <w:t>Secured revolving credit facility</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186,000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184,977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185,569</w:t>
            </w:r>
          </w:p>
        </w:tc>
      </w:tr>
      <w:tr>
        <w:trPr>
          <w:trHeight w:val="33"/>
        </w:trPr>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4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long-term debt,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581,621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580,376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580,319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During the first quarter of fiscal 2017, the Company repaid CAD $25.5 million, which approximated $19.0 million, of outstanding borrowings under the multicurrency credit facility and simultaneously borrowed $20.0 million under the U.S. dollar credit facility. These transactions are reflected on the Company's consolidated statement of cash flows.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Facility</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aggregate principal amount of the Company's amended and restated secured revolving credit facility is $500 million consisting of (i) a $400 million U.S. dollar revolving credit facility (including a $175 million sub-limit for letters of credit and a swing line sub-limit of $50 million) available for borrowings by TWCC and (ii) a $100 million multicurrency revolving credit facility (including a $40 million sub-limit for letters of credit and a swing line sub-limit of $15 million) available for borrowings by TWCC and certain other subsidiaries of TWCC in U.S. dollars, Canadian dollars, Euros, Pounds Sterling, or other currencies agreed to by the applicable lenders. The secured revolving credit facility also provides for incremental facilities in an aggregate amount not to exceed $250 million, either in the form of a commitment increase under the existing revolving credit facility or the incurrence of one or more tranches of term loans (with the aggregate U.S. dollar amount available to the Company not to exceed $200 million and the aggregate multicurrency amount available not to exceed $50 million). The Company's secured revolving credit facility matures on September 16, 2020.</w:t>
      </w:r>
    </w:p>
    <w:p>
      <w:pPr>
        <w:spacing w:after="0" w:line="1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of April 1, 2017, the Company had $186.0 million in outstanding borrowings under its secured revolving credit facility, exclusive of $4.8 million of outstanding letters of credit. As of April 1, 2017, approximately $309.2 million remained available for future borrowing.</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April 1, 2017, the interest rate margins applicable to the secured revolving credit facility were 1.375% for LIBOR (London Interbank Offered Rate) rate loans (which may be adjusted based on a leverage-based pricing grid ranging from 1.125% to 1.875%) and 0.375% for base rate loans (which may be adjusted based on a leverage-based pricing grid ranging from 0.125% to 0.875%).</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As of April 1, 2017, U.S. dollar borrowings outstanding under the secured revolving credit facility accrued interest at a LIBOR rate plus the applicable base rate, which was 2.29% on that date. All outstanding Canadian dollar borrowings were repaid during the first quarter of fiscal 2017.</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the Company's most recent Annual Report on Form 10-K for the 2016 fiscal year ended December 31, 2016, the Company's secured revolving credit facility contains covenants, including affirmative and financial covenants. As of April 1, 2017, the Company was in compliance with the financial and other covenants under the secured revolving credit facility.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As of April 1, 2017, TWCC had outstanding $400 million principal amount of senior notes bearing interest at a fixed rate of 5.25% per annum and maturing on August 15, 2021. The senior notes are unsecured and are fully and unconditionally guaranteed by Carter's, Inc. and certain subsidiaries of TWCC. On the Company's consolidated balance sheet, the senior notes are reported net of certain unamortized issuance-related costs, as described in the table above.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37" w:right="2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32" w:lineRule="exact"/>
        <w:rPr>
          <w:sz w:val="20"/>
          <w:szCs w:val="20"/>
          <w:color w:val="auto"/>
        </w:rPr>
      </w:pPr>
    </w:p>
    <w:tbl>
      <w:tblPr>
        <w:tblLayout w:type="fixed"/>
        <w:tblInd w:w="266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Fiscal quarter ended</w:t>
            </w:r>
          </w:p>
        </w:tc>
      </w:tr>
      <w:tr>
        <w:trPr>
          <w:trHeight w:val="33"/>
        </w:trPr>
        <w:tc>
          <w:tcPr>
            <w:tcW w:w="3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April 1, 2017</w:t>
            </w:r>
          </w:p>
        </w:tc>
        <w:tc>
          <w:tcPr>
            <w:tcW w:w="200" w:type="dxa"/>
            <w:vAlign w:val="bottom"/>
          </w:tcPr>
          <w:p>
            <w:pPr>
              <w:spacing w:after="0"/>
              <w:rPr>
                <w:sz w:val="20"/>
                <w:szCs w:val="20"/>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b w:val="1"/>
                <w:bCs w:val="1"/>
                <w:color w:val="auto"/>
              </w:rPr>
              <w:t>April 2, 2016</w:t>
            </w:r>
          </w:p>
        </w:tc>
      </w:tr>
      <w:tr>
        <w:trPr>
          <w:trHeight w:val="33"/>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r>
      <w:tr>
        <w:trPr>
          <w:trHeight w:val="237"/>
        </w:trPr>
        <w:tc>
          <w:tcPr>
            <w:tcW w:w="318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Time-based awards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2,145</w:t>
            </w:r>
          </w:p>
        </w:tc>
      </w:tr>
      <w:tr>
        <w:trPr>
          <w:trHeight w:val="237"/>
        </w:trPr>
        <w:tc>
          <w:tcPr>
            <w:tcW w:w="3180" w:type="dxa"/>
            <w:vAlign w:val="bottom"/>
          </w:tcPr>
          <w:p>
            <w:pPr>
              <w:ind w:left="140"/>
              <w:spacing w:after="0"/>
              <w:rPr>
                <w:sz w:val="20"/>
                <w:szCs w:val="20"/>
                <w:color w:val="auto"/>
              </w:rPr>
            </w:pPr>
            <w:r>
              <w:rPr>
                <w:rFonts w:ascii="Arial" w:cs="Arial" w:eastAsia="Arial" w:hAnsi="Arial"/>
                <w:sz w:val="16"/>
                <w:szCs w:val="16"/>
                <w:color w:val="auto"/>
              </w:rPr>
              <w:t>Performance-based awards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1,115</w:t>
            </w:r>
          </w:p>
        </w:tc>
      </w:tr>
      <w:tr>
        <w:trPr>
          <w:trHeight w:val="33"/>
        </w:trPr>
        <w:tc>
          <w:tcPr>
            <w:tcW w:w="3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18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4,556</w:t>
            </w:r>
          </w:p>
        </w:tc>
      </w:tr>
      <w:tr>
        <w:trPr>
          <w:trHeight w:val="20"/>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February 14, 2017, the Company's Board of Directors approved the issuance of the following new awards to certain key employees under the Company's existing stock-based compensation plan, subject to vesting: 295,964 stock options with an exercise price of $83.84 and grant-date fair value of $19.50</w:t>
      </w:r>
    </w:p>
    <w:p>
      <w:pPr>
        <w:spacing w:after="0" w:line="261" w:lineRule="auto"/>
        <w:rPr>
          <w:sz w:val="20"/>
          <w:szCs w:val="20"/>
          <w:color w:val="auto"/>
        </w:rPr>
      </w:pPr>
      <w:r>
        <w:rPr>
          <w:rFonts w:ascii="Arial" w:cs="Arial" w:eastAsia="Arial" w:hAnsi="Arial"/>
          <w:sz w:val="18"/>
          <w:szCs w:val="18"/>
          <w:color w:val="auto"/>
        </w:rPr>
        <w:t>each; 91,592 shares of time-based restricted stock awards with a grant-date fair value of $83.84 each; and 58,784 shares of performance-based restricted stock awards with a grant-date fair value of $83.84 each.</w:t>
      </w:r>
    </w:p>
    <w:p>
      <w:pPr>
        <w:spacing w:after="0" w:line="18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first quarter of fiscal 2017, a total of 148,171 restricted stock awards (time- and performance-based) vested with a weighted-average grant-date fair value of $72.47 each. During the first quarter of fiscal 2016, a total of 199,937 restricted stock awards (time- and performance-based) vested with a weighted average grant-date fair value of $60.23 each.</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EMPLOYEE BENEFIT PLANS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maintains a defined contribution plan and two defined benefit plans. The two defined benefit plans include the OshKosh B'Gosh pension plan and a post-retirement life and medical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OSHKOSH B'GOSH PENSION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cost included in the statement of operations were comprised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auto"/>
                <w:w w:val="91"/>
              </w:rPr>
              <w:t>Fiscal quarter ended</w:t>
            </w:r>
          </w:p>
        </w:tc>
      </w:tr>
      <w:tr>
        <w:trPr>
          <w:trHeight w:val="33"/>
        </w:trPr>
        <w:tc>
          <w:tcPr>
            <w:tcW w:w="4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41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2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1, 2017</w:t>
            </w:r>
          </w:p>
        </w:tc>
        <w:tc>
          <w:tcPr>
            <w:tcW w:w="300" w:type="dxa"/>
            <w:vAlign w:val="bottom"/>
          </w:tcPr>
          <w:p>
            <w:pPr>
              <w:spacing w:after="0"/>
              <w:rPr>
                <w:sz w:val="18"/>
                <w:szCs w:val="18"/>
                <w:color w:val="auto"/>
              </w:rPr>
            </w:pPr>
          </w:p>
        </w:tc>
        <w:tc>
          <w:tcPr>
            <w:tcW w:w="1580" w:type="dxa"/>
            <w:vAlign w:val="bottom"/>
          </w:tcPr>
          <w:p>
            <w:pPr>
              <w:jc w:val="right"/>
              <w:ind w:right="419"/>
              <w:spacing w:after="0"/>
              <w:rPr>
                <w:sz w:val="20"/>
                <w:szCs w:val="20"/>
                <w:color w:val="auto"/>
              </w:rPr>
            </w:pPr>
            <w:r>
              <w:rPr>
                <w:rFonts w:ascii="Arial" w:cs="Arial" w:eastAsia="Arial" w:hAnsi="Arial"/>
                <w:sz w:val="16"/>
                <w:szCs w:val="16"/>
                <w:b w:val="1"/>
                <w:bCs w:val="1"/>
                <w:color w:val="auto"/>
              </w:rPr>
              <w:t>April 2, 2016</w:t>
            </w:r>
          </w:p>
        </w:tc>
      </w:tr>
      <w:tr>
        <w:trPr>
          <w:trHeight w:val="33"/>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w:t>
            </w:r>
          </w:p>
        </w:tc>
      </w:tr>
      <w:tr>
        <w:trPr>
          <w:trHeight w:val="237"/>
        </w:trPr>
        <w:tc>
          <w:tcPr>
            <w:tcW w:w="418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(676)</w:t>
            </w:r>
          </w:p>
        </w:tc>
      </w:tr>
      <w:tr>
        <w:trPr>
          <w:trHeight w:val="33"/>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Recognized actuarial loss</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44"/>
        </w:trPr>
        <w:tc>
          <w:tcPr>
            <w:tcW w:w="4180" w:type="dxa"/>
            <w:vAlign w:val="bottom"/>
          </w:tcPr>
          <w:p>
            <w:pPr>
              <w:ind w:left="280"/>
              <w:spacing w:after="0"/>
              <w:rPr>
                <w:sz w:val="20"/>
                <w:szCs w:val="20"/>
                <w:color w:val="auto"/>
              </w:rPr>
            </w:pPr>
            <w:r>
              <w:rPr>
                <w:rFonts w:ascii="Arial" w:cs="Arial" w:eastAsia="Arial" w:hAnsi="Arial"/>
                <w:sz w:val="16"/>
                <w:szCs w:val="16"/>
                <w:color w:val="auto"/>
              </w:rPr>
              <w:t>Net periodic pension cost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LIFE AND MEDICAL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post-retirement (benefit) cost included in the statement of operations were comprised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Fiscal quarter ended</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4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22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April 1, 2017</w:t>
            </w:r>
          </w:p>
        </w:tc>
        <w:tc>
          <w:tcPr>
            <w:tcW w:w="300" w:type="dxa"/>
            <w:vAlign w:val="bottom"/>
          </w:tcPr>
          <w:p>
            <w:pPr>
              <w:spacing w:after="0"/>
              <w:rPr>
                <w:sz w:val="20"/>
                <w:szCs w:val="20"/>
                <w:color w:val="auto"/>
              </w:rPr>
            </w:pPr>
          </w:p>
        </w:tc>
        <w:tc>
          <w:tcPr>
            <w:tcW w:w="1540" w:type="dxa"/>
            <w:vAlign w:val="bottom"/>
          </w:tcPr>
          <w:p>
            <w:pPr>
              <w:jc w:val="right"/>
              <w:ind w:right="399"/>
              <w:spacing w:after="0"/>
              <w:rPr>
                <w:sz w:val="20"/>
                <w:szCs w:val="20"/>
                <w:color w:val="auto"/>
              </w:rPr>
            </w:pPr>
            <w:r>
              <w:rPr>
                <w:rFonts w:ascii="Arial" w:cs="Arial" w:eastAsia="Arial" w:hAnsi="Arial"/>
                <w:sz w:val="16"/>
                <w:szCs w:val="16"/>
                <w:b w:val="1"/>
                <w:bCs w:val="1"/>
                <w:color w:val="auto"/>
              </w:rPr>
              <w:t>April 2, 2016</w:t>
            </w:r>
          </w:p>
        </w:tc>
        <w:tc>
          <w:tcPr>
            <w:tcW w:w="0" w:type="dxa"/>
            <w:vAlign w:val="bottom"/>
          </w:tcPr>
          <w:p>
            <w:pPr>
              <w:spacing w:after="0"/>
              <w:rPr>
                <w:sz w:val="1"/>
                <w:szCs w:val="1"/>
                <w:color w:val="auto"/>
              </w:rPr>
            </w:pPr>
          </w:p>
        </w:tc>
      </w:tr>
      <w:tr>
        <w:trPr>
          <w:trHeight w:val="33"/>
        </w:trPr>
        <w:tc>
          <w:tcPr>
            <w:tcW w:w="4740" w:type="dxa"/>
            <w:vAlign w:val="bottom"/>
            <w:vMerge w:val="restart"/>
          </w:tcPr>
          <w:p>
            <w:pPr>
              <w:ind w:left="60"/>
              <w:spacing w:after="0"/>
              <w:rPr>
                <w:sz w:val="20"/>
                <w:szCs w:val="20"/>
                <w:color w:val="auto"/>
              </w:rPr>
            </w:pPr>
            <w:r>
              <w:rPr>
                <w:rFonts w:ascii="Arial" w:cs="Arial" w:eastAsia="Arial" w:hAnsi="Arial"/>
                <w:sz w:val="16"/>
                <w:szCs w:val="16"/>
                <w:color w:val="auto"/>
              </w:rPr>
              <w:t>Service cost – benefits attributed to service during the period</w:t>
            </w: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40" w:type="dxa"/>
            <w:vAlign w:val="bottom"/>
            <w:vMerge w:val="continue"/>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Interest cost on accumulated post-retirement benefit obligation</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4740" w:type="dxa"/>
            <w:vAlign w:val="bottom"/>
          </w:tcPr>
          <w:p>
            <w:pPr>
              <w:ind w:left="60"/>
              <w:spacing w:after="0"/>
              <w:rPr>
                <w:sz w:val="20"/>
                <w:szCs w:val="20"/>
                <w:color w:val="auto"/>
              </w:rPr>
            </w:pPr>
            <w:r>
              <w:rPr>
                <w:rFonts w:ascii="Arial" w:cs="Arial" w:eastAsia="Arial" w:hAnsi="Arial"/>
                <w:sz w:val="16"/>
                <w:szCs w:val="16"/>
                <w:color w:val="auto"/>
              </w:rPr>
              <w:t>Amortization net actuarial gain</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4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net periodic post-retirement (benefit) cost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37"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April 1, 2017, the Company had gross unrecognized income tax benefits of approximately $11.9 million, of which $7.8 million, if ultimately recognized, may affect the Company's effective tax rate in the periods settled. The Company has recorded tax positions for which the ultimate deductibility is more likely than not, but for which there is uncertainty about the timing of such deductions.</w:t>
      </w:r>
    </w:p>
    <w:p>
      <w:pPr>
        <w:spacing w:after="0" w:line="18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Included in the reserves for unrecognized tax benefits at April 1, 2017 were approximately $1.5 million of reserves for which the statute of limitations is expected to expire within the next fiscal year. If these tax benefits are ultimately recognized, such recognition, net of federal income taxes, may affect the annual effective tax rate for fiscal 2017 or fiscal 2018 along with the effective tax rate in the quarter in which the benefits are recognized.</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recognizes interest related to unrecognized tax benefits as a component of interest expense and recognizes penalties related to unrecognized tax benefits as a component of income tax expense. During the first quarters of 2017 and 2016, interest expense recorded on uncertain tax positions was not significant. The Company had approximately $1.0 million, $0.8 million, and $0.7 million of interest accrued on uncertain tax positions as of April 1, 2017, December 31, 2016, and April 2, 2016, respectively.</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disclosed in note 2, the Company's adoption of ASU 2016-09 benefited consolidated income tax expense by approximately $1.0 million for the first quarter of fiscal 2017. The adoption of ASU 2016-09 had no impact on income tax expense for prior periods.</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As disclosed in note 2, the Company prospectively adopted the provisions for classification of deferred income tax assets and liabilities on the Company's consolidated balance sheet at the beginning of fiscal 2017. Classifications for deferred income tax assets and liabilities for prior periods have not been adjusted on the Company's consolidated balance sheets.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Deferred income tax liabilities on the Company's consolidated balance sheet at April 1, 2017 increased by $33.5 million due to the acquisition of Skip Hop during the first quarter of fiscal 2017.</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assets and liabilities that are remeasured at fair value each reporting period:</w:t>
      </w:r>
    </w:p>
    <w:p>
      <w:pPr>
        <w:spacing w:after="0" w:line="375" w:lineRule="exact"/>
        <w:rPr>
          <w:sz w:val="20"/>
          <w:szCs w:val="20"/>
          <w:color w:val="auto"/>
        </w:rPr>
      </w:pPr>
    </w:p>
    <w:tbl>
      <w:tblPr>
        <w:tblLayout w:type="fixed"/>
        <w:tblInd w:w="380" w:type="dxa"/>
        <w:tblCellMar>
          <w:top w:w="0" w:type="dxa"/>
          <w:left w:w="0" w:type="dxa"/>
          <w:bottom w:w="0" w:type="dxa"/>
          <w:right w:w="0" w:type="dxa"/>
        </w:tblCellMar>
      </w:tblPr>
      <w:tr>
        <w:trPr>
          <w:trHeight w:val="264"/>
        </w:trPr>
        <w:tc>
          <w:tcPr>
            <w:tcW w:w="3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2"/>
              </w:rPr>
              <w:t>April 1, 2017</w:t>
            </w:r>
          </w:p>
        </w:tc>
        <w:tc>
          <w:tcPr>
            <w:tcW w:w="2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4"/>
              </w:rPr>
              <w:t>April 2, 2016</w:t>
            </w:r>
          </w:p>
        </w:tc>
        <w:tc>
          <w:tcPr>
            <w:tcW w:w="680" w:type="dxa"/>
            <w:vAlign w:val="bottom"/>
            <w:tcBorders>
              <w:bottom w:val="single" w:sz="8" w:color="auto"/>
            </w:tcBorders>
          </w:tcPr>
          <w:p>
            <w:pPr>
              <w:spacing w:after="0"/>
              <w:rPr>
                <w:sz w:val="22"/>
                <w:szCs w:val="22"/>
                <w:color w:val="auto"/>
              </w:rPr>
            </w:pPr>
          </w:p>
        </w:tc>
      </w:tr>
      <w:tr>
        <w:trPr>
          <w:trHeight w:val="270"/>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(dollars in millions)</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Level 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Level 2</w:t>
            </w:r>
          </w:p>
        </w:tc>
        <w:tc>
          <w:tcPr>
            <w:tcW w:w="860" w:type="dxa"/>
            <w:vAlign w:val="bottom"/>
            <w:tcBorders>
              <w:right w:val="single" w:sz="8" w:color="auto"/>
            </w:tcBorders>
            <w:gridSpan w:val="3"/>
            <w:shd w:val="clear" w:color="auto" w:fill="CCEEFF"/>
          </w:tcPr>
          <w:p>
            <w:pPr>
              <w:ind w:left="80"/>
              <w:spacing w:after="0"/>
              <w:rPr>
                <w:sz w:val="20"/>
                <w:szCs w:val="20"/>
                <w:color w:val="auto"/>
              </w:rPr>
            </w:pPr>
            <w:r>
              <w:rPr>
                <w:rFonts w:ascii="Arial" w:cs="Arial" w:eastAsia="Arial" w:hAnsi="Arial"/>
                <w:sz w:val="18"/>
                <w:szCs w:val="18"/>
                <w:color w:val="auto"/>
              </w:rPr>
              <w:t>Level 3</w:t>
            </w:r>
          </w:p>
        </w:tc>
        <w:tc>
          <w:tcPr>
            <w:tcW w:w="100" w:type="dxa"/>
            <w:vAlign w:val="bottom"/>
            <w:shd w:val="clear" w:color="auto" w:fill="CCEEFF"/>
          </w:tcPr>
          <w:p>
            <w:pPr>
              <w:spacing w:after="0"/>
              <w:rPr>
                <w:sz w:val="23"/>
                <w:szCs w:val="23"/>
                <w:color w:val="auto"/>
              </w:rPr>
            </w:pPr>
          </w:p>
        </w:tc>
        <w:tc>
          <w:tcPr>
            <w:tcW w:w="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Level 1</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74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Level 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color w:val="auto"/>
                <w:w w:val="96"/>
              </w:rPr>
              <w:t>Level 2</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Level 3</w:t>
            </w:r>
          </w:p>
        </w:tc>
      </w:tr>
      <w:tr>
        <w:trPr>
          <w:trHeight w:val="237"/>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Investments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20" w:type="dxa"/>
            <w:vAlign w:val="bottom"/>
          </w:tcPr>
          <w:p>
            <w:pPr>
              <w:ind w:left="240"/>
              <w:spacing w:after="0"/>
              <w:rPr>
                <w:sz w:val="20"/>
                <w:szCs w:val="20"/>
                <w:color w:val="auto"/>
              </w:rPr>
            </w:pPr>
            <w:r>
              <w:rPr>
                <w:rFonts w:ascii="Arial" w:cs="Arial" w:eastAsia="Arial" w:hAnsi="Arial"/>
                <w:sz w:val="18"/>
                <w:szCs w:val="18"/>
                <w:color w:val="auto"/>
                <w:w w:val="94"/>
              </w:rPr>
              <w:t>Foreign exchange forward contracts (3)</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3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Contingent consideration (2)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right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20" w:type="dxa"/>
            <w:vAlign w:val="bottom"/>
          </w:tcPr>
          <w:p>
            <w:pPr>
              <w:ind w:left="240"/>
              <w:spacing w:after="0"/>
              <w:rPr>
                <w:sz w:val="20"/>
                <w:szCs w:val="20"/>
                <w:color w:val="auto"/>
              </w:rPr>
            </w:pPr>
            <w:r>
              <w:rPr>
                <w:rFonts w:ascii="Arial" w:cs="Arial" w:eastAsia="Arial" w:hAnsi="Arial"/>
                <w:sz w:val="18"/>
                <w:szCs w:val="18"/>
                <w:color w:val="auto"/>
                <w:w w:val="94"/>
              </w:rPr>
              <w:t>Foreign exchange forward contracts (4)</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r>
    </w:tbl>
    <w:p>
      <w:pPr>
        <w:spacing w:after="0" w:line="206"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Other Assets on the Company's consolidated balance sheet.</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Other Current Liabilities on the Company's consolidated balance sheet.</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on the Company's consolidated balance sheet.</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Other Current Liabilities 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invests in marketable securities, principally equity-based mutual funds, to mitigate the risk associated with the investment return on employee deferrals of compensation. Gains on the investments in marketable securities were $0.7 million for the fiscal quarter ended April 1, 2017. Losses on the investments in marketable securities were $0.4 million for the fiscal quarter ended April 2, 2016. These amounts are included in Other (income) expense, net.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connection with the Company's acquisition of Skip Hop on February 22, 2017, the Company may be obligated to pay up to $10 million of additional cash consideration to the sellers of Skip Hop if the acquired business achieves certain financial targets in fiscal 2017. The Company has preliminarily estimated the discounted fair value of this contingency to be approximately $3.6 million (undiscounted approximately $3.8 million) on the date of acquisition based on a weighted payout probability of 50%. Subsequent changes in the fair value of this contingency were not material through the end of the fiscal quarter ended April 1, 2017. The Company will remeasure the fair value of this contingency at the end of each reporting period in fiscal 2017.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FORWARD CONTRACTS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Fair values for unsettled foreign exchange forward contracts are calculated by using readily observable market inputs (market-quoted currency exchange rates in effect between U.S. and Canadian dollars) and are classified as Level 2 within the fair value hierarchy. At April 1, 2017 and December 31, 2016, there were no open foreign currency contracts. At April 2, 2016, the notional value of the open foreign currency forward contracts was $44.0 million.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outstanding debt obligations are reflected in the consolidated balance sheet at carrying value. These debt obligations are not remeasured at fair value each reporting period, however the following fair value disclosures are provided:</w:t>
      </w:r>
    </w:p>
    <w:p>
      <w:pPr>
        <w:spacing w:after="0" w:line="170" w:lineRule="exact"/>
        <w:rPr>
          <w:sz w:val="20"/>
          <w:szCs w:val="20"/>
          <w:color w:val="auto"/>
        </w:rPr>
      </w:pPr>
    </w:p>
    <w:p>
      <w:pPr>
        <w:ind w:left="980" w:right="960" w:hanging="648"/>
        <w:spacing w:after="0" w:line="277"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April 1, 2017, the fair value of the Company's $186.0 million in outstanding borrowings under its secured revolving credit facility approximated carrying value.</w:t>
      </w:r>
    </w:p>
    <w:p>
      <w:pPr>
        <w:spacing w:after="0" w:line="170" w:lineRule="exact"/>
        <w:rPr>
          <w:rFonts w:ascii="Arial" w:cs="Arial" w:eastAsia="Arial" w:hAnsi="Arial"/>
          <w:sz w:val="18"/>
          <w:szCs w:val="18"/>
          <w:color w:val="auto"/>
        </w:rPr>
      </w:pPr>
    </w:p>
    <w:p>
      <w:pPr>
        <w:ind w:left="980" w:right="220" w:hanging="648"/>
        <w:spacing w:after="0" w:line="286" w:lineRule="auto"/>
        <w:tabs>
          <w:tab w:leader="none" w:pos="65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fair value of the Company's senior notes at April 1, 2017 was approximately $412 million. The fair value of these senior notes with a notional value and carrying value of $400 million was estimated using a quoted price as provided in the secondary market, which considers the Company's credit risk and market related conditions, and is therefore within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6" w:name="page17"/>
    <w:bookmarkEnd w:id="16"/>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basic common shares outstanding to diluted common and common equivalent shares outstanding:</w:t>
      </w:r>
    </w:p>
    <w:p>
      <w:pPr>
        <w:spacing w:after="0" w:line="195" w:lineRule="exact"/>
        <w:rPr>
          <w:sz w:val="20"/>
          <w:szCs w:val="20"/>
          <w:color w:val="auto"/>
        </w:rPr>
      </w:pPr>
    </w:p>
    <w:tbl>
      <w:tblPr>
        <w:tblLayout w:type="fixed"/>
        <w:tblInd w:w="192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350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rPr>
              <w:t>Fiscal quarter ended</w:t>
            </w:r>
          </w:p>
        </w:tc>
        <w:tc>
          <w:tcPr>
            <w:tcW w:w="0" w:type="dxa"/>
            <w:vAlign w:val="bottom"/>
          </w:tcPr>
          <w:p>
            <w:pPr>
              <w:spacing w:after="0"/>
              <w:rPr>
                <w:sz w:val="1"/>
                <w:szCs w:val="1"/>
                <w:color w:val="auto"/>
              </w:rPr>
            </w:pPr>
          </w:p>
        </w:tc>
      </w:tr>
      <w:tr>
        <w:trPr>
          <w:trHeight w:val="47"/>
        </w:trPr>
        <w:tc>
          <w:tcPr>
            <w:tcW w:w="4100" w:type="dxa"/>
            <w:vAlign w:val="bottom"/>
          </w:tcPr>
          <w:p>
            <w:pPr>
              <w:spacing w:after="0"/>
              <w:rPr>
                <w:sz w:val="4"/>
                <w:szCs w:val="4"/>
                <w:color w:val="auto"/>
              </w:rPr>
            </w:pPr>
          </w:p>
        </w:tc>
        <w:tc>
          <w:tcPr>
            <w:tcW w:w="1660" w:type="dxa"/>
            <w:vAlign w:val="bottom"/>
            <w:tcBorders>
              <w:bottom w:val="single" w:sz="8" w:color="auto"/>
            </w:tcBorders>
            <w:gridSpan w:val="2"/>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100" w:type="dxa"/>
            <w:vAlign w:val="bottom"/>
          </w:tcPr>
          <w:p>
            <w:pPr>
              <w:spacing w:after="0"/>
              <w:rPr>
                <w:sz w:val="20"/>
                <w:szCs w:val="20"/>
                <w:color w:val="auto"/>
              </w:rPr>
            </w:pPr>
          </w:p>
        </w:tc>
        <w:tc>
          <w:tcPr>
            <w:tcW w:w="1660" w:type="dxa"/>
            <w:vAlign w:val="bottom"/>
            <w:gridSpan w:val="2"/>
          </w:tcPr>
          <w:p>
            <w:pPr>
              <w:ind w:left="320"/>
              <w:spacing w:after="0"/>
              <w:rPr>
                <w:sz w:val="20"/>
                <w:szCs w:val="20"/>
                <w:color w:val="auto"/>
              </w:rPr>
            </w:pPr>
            <w:r>
              <w:rPr>
                <w:rFonts w:ascii="Arial" w:cs="Arial" w:eastAsia="Arial" w:hAnsi="Arial"/>
                <w:sz w:val="16"/>
                <w:szCs w:val="16"/>
                <w:b w:val="1"/>
                <w:bCs w:val="1"/>
                <w:color w:val="auto"/>
              </w:rPr>
              <w:t>April 1, 2017</w:t>
            </w:r>
          </w:p>
        </w:tc>
        <w:tc>
          <w:tcPr>
            <w:tcW w:w="1840" w:type="dxa"/>
            <w:vAlign w:val="bottom"/>
          </w:tcPr>
          <w:p>
            <w:pPr>
              <w:jc w:val="right"/>
              <w:ind w:right="399"/>
              <w:spacing w:after="0"/>
              <w:rPr>
                <w:sz w:val="20"/>
                <w:szCs w:val="20"/>
                <w:color w:val="auto"/>
              </w:rPr>
            </w:pPr>
            <w:r>
              <w:rPr>
                <w:rFonts w:ascii="Arial" w:cs="Arial" w:eastAsia="Arial" w:hAnsi="Arial"/>
                <w:sz w:val="16"/>
                <w:szCs w:val="16"/>
                <w:b w:val="1"/>
                <w:bCs w:val="1"/>
                <w:color w:val="auto"/>
              </w:rPr>
              <w:t>April 2, 2016</w:t>
            </w:r>
          </w:p>
        </w:tc>
        <w:tc>
          <w:tcPr>
            <w:tcW w:w="0" w:type="dxa"/>
            <w:vAlign w:val="bottom"/>
          </w:tcPr>
          <w:p>
            <w:pPr>
              <w:spacing w:after="0"/>
              <w:rPr>
                <w:sz w:val="1"/>
                <w:szCs w:val="1"/>
                <w:color w:val="auto"/>
              </w:rPr>
            </w:pPr>
          </w:p>
        </w:tc>
      </w:tr>
      <w:tr>
        <w:trPr>
          <w:trHeight w:val="33"/>
        </w:trPr>
        <w:tc>
          <w:tcPr>
            <w:tcW w:w="4100" w:type="dxa"/>
            <w:vAlign w:val="bottom"/>
            <w:vMerge w:val="restart"/>
          </w:tcPr>
          <w:p>
            <w:pPr>
              <w:ind w:left="20"/>
              <w:spacing w:after="0"/>
              <w:rPr>
                <w:sz w:val="20"/>
                <w:szCs w:val="20"/>
                <w:color w:val="auto"/>
              </w:rPr>
            </w:pPr>
            <w:r>
              <w:rPr>
                <w:rFonts w:ascii="Arial" w:cs="Arial" w:eastAsia="Arial" w:hAnsi="Arial"/>
                <w:sz w:val="16"/>
                <w:szCs w:val="16"/>
                <w:color w:val="auto"/>
              </w:rPr>
              <w:t>Weighted-average number of common and common</w:t>
            </w: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41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180"/>
              <w:spacing w:after="0"/>
              <w:rPr>
                <w:sz w:val="20"/>
                <w:szCs w:val="20"/>
                <w:color w:val="auto"/>
              </w:rPr>
            </w:pPr>
            <w:r>
              <w:rPr>
                <w:rFonts w:ascii="Arial" w:cs="Arial" w:eastAsia="Arial" w:hAnsi="Arial"/>
                <w:sz w:val="16"/>
                <w:szCs w:val="16"/>
                <w:color w:val="auto"/>
              </w:rPr>
              <w:t>equivalent shares outstanding:</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 number of common shares outstanding</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48,322,692</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51,176,987</w:t>
            </w:r>
          </w:p>
        </w:tc>
        <w:tc>
          <w:tcPr>
            <w:tcW w:w="0" w:type="dxa"/>
            <w:vAlign w:val="bottom"/>
          </w:tcPr>
          <w:p>
            <w:pPr>
              <w:spacing w:after="0"/>
              <w:rPr>
                <w:sz w:val="1"/>
                <w:szCs w:val="1"/>
                <w:color w:val="auto"/>
              </w:rPr>
            </w:pPr>
          </w:p>
        </w:tc>
      </w:tr>
      <w:tr>
        <w:trPr>
          <w:trHeight w:val="237"/>
        </w:trPr>
        <w:tc>
          <w:tcPr>
            <w:tcW w:w="4100" w:type="dxa"/>
            <w:vAlign w:val="bottom"/>
          </w:tcPr>
          <w:p>
            <w:pPr>
              <w:ind w:left="340"/>
              <w:spacing w:after="0"/>
              <w:rPr>
                <w:sz w:val="20"/>
                <w:szCs w:val="20"/>
                <w:color w:val="auto"/>
              </w:rPr>
            </w:pPr>
            <w:r>
              <w:rPr>
                <w:rFonts w:ascii="Arial" w:cs="Arial" w:eastAsia="Arial" w:hAnsi="Arial"/>
                <w:sz w:val="16"/>
                <w:szCs w:val="16"/>
                <w:color w:val="auto"/>
              </w:rPr>
              <w:t>Dilutive effect of equity awards</w:t>
            </w:r>
          </w:p>
        </w:tc>
        <w:tc>
          <w:tcPr>
            <w:tcW w:w="1560" w:type="dxa"/>
            <w:vAlign w:val="bottom"/>
          </w:tcPr>
          <w:p>
            <w:pPr>
              <w:jc w:val="right"/>
              <w:spacing w:after="0"/>
              <w:rPr>
                <w:sz w:val="20"/>
                <w:szCs w:val="20"/>
                <w:color w:val="auto"/>
              </w:rPr>
            </w:pPr>
            <w:r>
              <w:rPr>
                <w:rFonts w:ascii="Arial" w:cs="Arial" w:eastAsia="Arial" w:hAnsi="Arial"/>
                <w:sz w:val="16"/>
                <w:szCs w:val="16"/>
                <w:color w:val="auto"/>
              </w:rPr>
              <w:t>554,994</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467,103</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 number of common and common equivalent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48,877,686</w:t>
            </w:r>
          </w:p>
        </w:tc>
        <w:tc>
          <w:tcPr>
            <w:tcW w:w="100" w:type="dxa"/>
            <w:vAlign w:val="bottom"/>
            <w:shd w:val="clear" w:color="auto" w:fill="CCEEFF"/>
          </w:tcPr>
          <w:p>
            <w:pPr>
              <w:spacing w:after="0"/>
              <w:rPr>
                <w:sz w:val="17"/>
                <w:szCs w:val="17"/>
                <w:color w:val="auto"/>
              </w:rPr>
            </w:pP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51,644,090</w:t>
            </w:r>
          </w:p>
        </w:tc>
        <w:tc>
          <w:tcPr>
            <w:tcW w:w="0" w:type="dxa"/>
            <w:vAlign w:val="bottom"/>
          </w:tcPr>
          <w:p>
            <w:pPr>
              <w:spacing w:after="0"/>
              <w:rPr>
                <w:sz w:val="1"/>
                <w:szCs w:val="1"/>
                <w:color w:val="auto"/>
              </w:rPr>
            </w:pPr>
          </w:p>
        </w:tc>
      </w:tr>
      <w:tr>
        <w:trPr>
          <w:trHeight w:val="219"/>
        </w:trPr>
        <w:tc>
          <w:tcPr>
            <w:tcW w:w="4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shares outstanding</w:t>
            </w: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428625</wp:posOffset>
            </wp:positionV>
            <wp:extent cx="4827905"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2790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Basic net income per common share (in thousands, except per</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share data):</w:t>
      </w:r>
    </w:p>
    <w:p>
      <w:pPr>
        <w:spacing w:after="0" w:line="82" w:lineRule="exact"/>
        <w:rPr>
          <w:sz w:val="20"/>
          <w:szCs w:val="20"/>
          <w:color w:val="auto"/>
        </w:rPr>
      </w:pPr>
    </w:p>
    <w:tbl>
      <w:tblPr>
        <w:tblLayout w:type="fixed"/>
        <w:tblInd w:w="1920" w:type="dxa"/>
        <w:tblCellMar>
          <w:top w:w="0" w:type="dxa"/>
          <w:left w:w="0" w:type="dxa"/>
          <w:bottom w:w="0" w:type="dxa"/>
          <w:right w:w="0" w:type="dxa"/>
        </w:tblCellMar>
      </w:tblPr>
      <w:tr>
        <w:trPr>
          <w:trHeight w:val="206"/>
        </w:trPr>
        <w:tc>
          <w:tcPr>
            <w:tcW w:w="41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46,664</w:t>
            </w:r>
          </w:p>
        </w:tc>
        <w:tc>
          <w:tcPr>
            <w:tcW w:w="100" w:type="dxa"/>
            <w:vAlign w:val="bottom"/>
          </w:tcPr>
          <w:p>
            <w:pPr>
              <w:spacing w:after="0"/>
              <w:rPr>
                <w:sz w:val="17"/>
                <w:szCs w:val="17"/>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53,980</w:t>
            </w:r>
          </w:p>
        </w:tc>
      </w:tr>
      <w:tr>
        <w:trPr>
          <w:trHeight w:val="33"/>
        </w:trPr>
        <w:tc>
          <w:tcPr>
            <w:tcW w:w="4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Income allocated to participating securities</w:t>
            </w: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284"/>
        </w:trPr>
        <w:tc>
          <w:tcPr>
            <w:tcW w:w="4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income available to common shareholders</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46,294</w:t>
            </w:r>
          </w:p>
        </w:tc>
        <w:tc>
          <w:tcPr>
            <w:tcW w:w="10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53,536</w:t>
            </w:r>
          </w:p>
        </w:tc>
      </w:tr>
      <w:tr>
        <w:trPr>
          <w:trHeight w:val="217"/>
        </w:trPr>
        <w:tc>
          <w:tcPr>
            <w:tcW w:w="4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7"/>
        </w:trPr>
        <w:tc>
          <w:tcPr>
            <w:tcW w:w="4100" w:type="dxa"/>
            <w:vAlign w:val="bottom"/>
          </w:tcPr>
          <w:p>
            <w:pPr>
              <w:ind w:left="340"/>
              <w:spacing w:after="0"/>
              <w:rPr>
                <w:sz w:val="20"/>
                <w:szCs w:val="20"/>
                <w:color w:val="auto"/>
              </w:rPr>
            </w:pPr>
            <w:r>
              <w:rPr>
                <w:rFonts w:ascii="Arial" w:cs="Arial" w:eastAsia="Arial" w:hAnsi="Arial"/>
                <w:sz w:val="16"/>
                <w:szCs w:val="16"/>
                <w:color w:val="auto"/>
              </w:rPr>
              <w:t>Basic net income per common share</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Pr>
          <w:p>
            <w:pPr>
              <w:spacing w:after="0"/>
              <w:rPr>
                <w:sz w:val="20"/>
                <w:szCs w:val="20"/>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33"/>
        </w:trPr>
        <w:tc>
          <w:tcPr>
            <w:tcW w:w="4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62"/>
        </w:trPr>
        <w:tc>
          <w:tcPr>
            <w:tcW w:w="4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20"/>
        </w:trPr>
        <w:tc>
          <w:tcPr>
            <w:tcW w:w="4100" w:type="dxa"/>
            <w:vAlign w:val="bottom"/>
          </w:tcPr>
          <w:p>
            <w:pPr>
              <w:ind w:left="40"/>
              <w:spacing w:after="0"/>
              <w:rPr>
                <w:sz w:val="20"/>
                <w:szCs w:val="20"/>
                <w:color w:val="auto"/>
              </w:rPr>
            </w:pPr>
            <w:r>
              <w:rPr>
                <w:rFonts w:ascii="Arial" w:cs="Arial" w:eastAsia="Arial" w:hAnsi="Arial"/>
                <w:sz w:val="16"/>
                <w:szCs w:val="16"/>
                <w:color w:val="auto"/>
                <w:w w:val="94"/>
              </w:rPr>
              <w:t>Diluted net income per common share (in thousands, except</w:t>
            </w: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4100" w:type="dxa"/>
            <w:vAlign w:val="bottom"/>
          </w:tcPr>
          <w:p>
            <w:pPr>
              <w:ind w:left="40"/>
              <w:spacing w:after="0"/>
              <w:rPr>
                <w:sz w:val="20"/>
                <w:szCs w:val="20"/>
                <w:color w:val="auto"/>
              </w:rPr>
            </w:pPr>
            <w:r>
              <w:rPr>
                <w:rFonts w:ascii="Arial" w:cs="Arial" w:eastAsia="Arial" w:hAnsi="Arial"/>
                <w:sz w:val="16"/>
                <w:szCs w:val="16"/>
                <w:color w:val="auto"/>
              </w:rPr>
              <w:t>per share data):</w:t>
            </w: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3"/>
        </w:trPr>
        <w:tc>
          <w:tcPr>
            <w:tcW w:w="4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46,664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53,980</w:t>
            </w:r>
          </w:p>
        </w:tc>
      </w:tr>
      <w:tr>
        <w:trPr>
          <w:trHeight w:val="237"/>
        </w:trPr>
        <w:tc>
          <w:tcPr>
            <w:tcW w:w="4100" w:type="dxa"/>
            <w:vAlign w:val="bottom"/>
          </w:tcPr>
          <w:p>
            <w:pPr>
              <w:ind w:left="340"/>
              <w:spacing w:after="0"/>
              <w:rPr>
                <w:sz w:val="20"/>
                <w:szCs w:val="20"/>
                <w:color w:val="auto"/>
              </w:rPr>
            </w:pPr>
            <w:r>
              <w:rPr>
                <w:rFonts w:ascii="Arial" w:cs="Arial" w:eastAsia="Arial" w:hAnsi="Arial"/>
                <w:sz w:val="16"/>
                <w:szCs w:val="16"/>
                <w:color w:val="auto"/>
              </w:rPr>
              <w:t>Income allocated to participating securities</w:t>
            </w: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33"/>
        </w:trPr>
        <w:tc>
          <w:tcPr>
            <w:tcW w:w="4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available to common shareholders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46,297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53,539</w:t>
            </w:r>
          </w:p>
        </w:tc>
      </w:tr>
      <w:tr>
        <w:trPr>
          <w:trHeight w:val="20"/>
        </w:trPr>
        <w:tc>
          <w:tcPr>
            <w:tcW w:w="4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 net income per common share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162"/>
        </w:trPr>
        <w:tc>
          <w:tcPr>
            <w:tcW w:w="4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213"/>
        </w:trPr>
        <w:tc>
          <w:tcPr>
            <w:tcW w:w="41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Anti-dilutive shares excluded from dilutive earnings per</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6"/>
        </w:trPr>
        <w:tc>
          <w:tcPr>
            <w:tcW w:w="4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 computation</w:t>
            </w: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530,697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386,030</w:t>
            </w:r>
          </w:p>
        </w:tc>
      </w:tr>
      <w:tr>
        <w:trPr>
          <w:trHeight w:val="33"/>
        </w:trPr>
        <w:tc>
          <w:tcPr>
            <w:tcW w:w="4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337" w:right="1440" w:bottom="1440" w:gutter="0" w:footer="0" w:header="0"/>
        </w:sectPr>
      </w:pPr>
    </w:p>
    <w:bookmarkStart w:id="17" w:name="page18"/>
    <w:bookmarkEnd w:id="17"/>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CURRENT AND LONG-TERM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that exceeded five percent of total current liabilities, at the end of any comparable period, were as follows:</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530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24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b w:val="1"/>
                <w:bCs w:val="1"/>
                <w:color w:val="auto"/>
              </w:rPr>
              <w:t>April 1, 2017</w:t>
            </w: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2016</w:t>
            </w:r>
          </w:p>
        </w:tc>
        <w:tc>
          <w:tcPr>
            <w:tcW w:w="280" w:type="dxa"/>
            <w:vAlign w:val="bottom"/>
          </w:tcPr>
          <w:p>
            <w:pPr>
              <w:spacing w:after="0"/>
              <w:rPr>
                <w:sz w:val="18"/>
                <w:szCs w:val="18"/>
                <w:color w:val="auto"/>
              </w:rPr>
            </w:pPr>
          </w:p>
        </w:tc>
        <w:tc>
          <w:tcPr>
            <w:tcW w:w="1560" w:type="dxa"/>
            <w:vAlign w:val="bottom"/>
          </w:tcPr>
          <w:p>
            <w:pPr>
              <w:jc w:val="right"/>
              <w:ind w:right="399"/>
              <w:spacing w:after="0"/>
              <w:rPr>
                <w:sz w:val="20"/>
                <w:szCs w:val="20"/>
                <w:color w:val="auto"/>
              </w:rPr>
            </w:pPr>
            <w:r>
              <w:rPr>
                <w:rFonts w:ascii="Arial" w:cs="Arial" w:eastAsia="Arial" w:hAnsi="Arial"/>
                <w:sz w:val="16"/>
                <w:szCs w:val="16"/>
                <w:b w:val="1"/>
                <w:bCs w:val="1"/>
                <w:color w:val="auto"/>
              </w:rPr>
              <w:t>April 2, 2016</w:t>
            </w:r>
          </w:p>
        </w:tc>
      </w:tr>
      <w:tr>
        <w:trPr>
          <w:trHeight w:val="33"/>
        </w:trPr>
        <w:tc>
          <w:tcPr>
            <w:tcW w:w="5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bonuses and incentive compensation</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4,148</w:t>
            </w: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25,960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8,458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19,195</w:t>
            </w:r>
          </w:p>
        </w:tc>
      </w:tr>
      <w:tr>
        <w:trPr>
          <w:trHeight w:val="33"/>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customer loyalty program reserve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10,276</w:t>
            </w: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Accrued salaries and wages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11,616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4,312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10,284</w:t>
            </w:r>
          </w:p>
        </w:tc>
      </w:tr>
      <w:tr>
        <w:trPr>
          <w:trHeight w:val="33"/>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Unredeemed gift cards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9,996</w:t>
            </w:r>
          </w:p>
        </w:tc>
      </w:tr>
      <w:tr>
        <w:trPr>
          <w:trHeight w:val="237"/>
        </w:trPr>
        <w:tc>
          <w:tcPr>
            <w:tcW w:w="5300" w:type="dxa"/>
            <w:vAlign w:val="bottom"/>
          </w:tcPr>
          <w:p>
            <w:pPr>
              <w:ind w:left="20"/>
              <w:spacing w:after="0"/>
              <w:rPr>
                <w:sz w:val="20"/>
                <w:szCs w:val="20"/>
                <w:color w:val="auto"/>
              </w:rPr>
            </w:pPr>
            <w:r>
              <w:rPr>
                <w:rFonts w:ascii="Arial" w:cs="Arial" w:eastAsia="Arial" w:hAnsi="Arial"/>
                <w:sz w:val="16"/>
                <w:szCs w:val="16"/>
                <w:color w:val="auto"/>
              </w:rPr>
              <w:t>Accrued employee benefits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8,453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17,165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8,157</w:t>
            </w:r>
          </w:p>
        </w:tc>
      </w:tr>
      <w:tr>
        <w:trPr>
          <w:trHeight w:val="33"/>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and deferred rent</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15,632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13,409</w:t>
            </w:r>
          </w:p>
        </w:tc>
      </w:tr>
      <w:tr>
        <w:trPr>
          <w:trHeight w:val="33"/>
        </w:trPr>
        <w:tc>
          <w:tcPr>
            <w:tcW w:w="5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that exceeded five percent of total liabilities, at the end of any comparable period, were as follows:</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560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1, 2017</w:t>
            </w:r>
          </w:p>
        </w:tc>
        <w:tc>
          <w:tcPr>
            <w:tcW w:w="12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2016</w:t>
            </w:r>
          </w:p>
        </w:tc>
        <w:tc>
          <w:tcPr>
            <w:tcW w:w="280" w:type="dxa"/>
            <w:vAlign w:val="bottom"/>
          </w:tcPr>
          <w:p>
            <w:pPr>
              <w:spacing w:after="0"/>
              <w:rPr>
                <w:sz w:val="18"/>
                <w:szCs w:val="18"/>
                <w:color w:val="auto"/>
              </w:rPr>
            </w:pPr>
          </w:p>
        </w:tc>
        <w:tc>
          <w:tcPr>
            <w:tcW w:w="1580" w:type="dxa"/>
            <w:vAlign w:val="bottom"/>
          </w:tcPr>
          <w:p>
            <w:pPr>
              <w:jc w:val="right"/>
              <w:ind w:right="399"/>
              <w:spacing w:after="0"/>
              <w:rPr>
                <w:sz w:val="20"/>
                <w:szCs w:val="20"/>
                <w:color w:val="auto"/>
              </w:rPr>
            </w:pPr>
            <w:r>
              <w:rPr>
                <w:rFonts w:ascii="Arial" w:cs="Arial" w:eastAsia="Arial" w:hAnsi="Arial"/>
                <w:sz w:val="16"/>
                <w:szCs w:val="16"/>
                <w:b w:val="1"/>
                <w:bCs w:val="1"/>
                <w:color w:val="auto"/>
              </w:rPr>
              <w:t>April 2, 2016</w:t>
            </w:r>
          </w:p>
        </w:tc>
      </w:tr>
      <w:tr>
        <w:trPr>
          <w:trHeight w:val="33"/>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lease incentives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74,447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74,015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72,086</w:t>
            </w:r>
          </w:p>
        </w:tc>
      </w:tr>
      <w:tr>
        <w:trPr>
          <w:trHeight w:val="33"/>
        </w:trPr>
        <w:tc>
          <w:tcPr>
            <w:tcW w:w="5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the beginning of fiscal 2017, the Company combined its Carter's Retail and OshKosh Retail into a single U.S. Retail operating segment, and its Carter's Wholesale and OshKosh Wholesale into a single U.S. Wholesale operating segment, in order to reflect the sales-channel approach the Company's executive management now uses to evaluate its business performance and manage operations in the U.S. The Company's International segment was not affected by these changes. The Company's reportable segments are now U.S. Retail, U.S. Wholesale, and International.</w:t>
      </w:r>
    </w:p>
    <w:p>
      <w:pPr>
        <w:spacing w:after="0" w:line="17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Prior periods have been conformed to reflect the Company's current segment structure by adding together Carter's Retail and OshKosh Retail as U.S. Retail and Carter's Wholesale and OshKosh Wholesale as U.S. Wholesale. Prior results for the International segment and Corporate were not impacted.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certain information for our reportable segments and unallocated corporate expenses for the periods indicated:</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337" w:right="41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32" w:lineRule="exact"/>
        <w:rPr>
          <w:sz w:val="20"/>
          <w:szCs w:val="20"/>
          <w:color w:val="auto"/>
        </w:rPr>
      </w:pPr>
    </w:p>
    <w:tbl>
      <w:tblPr>
        <w:tblLayout w:type="fixed"/>
        <w:tblInd w:w="204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Fiscal quarter ended</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b w:val="1"/>
                <w:bCs w:val="1"/>
                <w:color w:val="auto"/>
              </w:rPr>
              <w:t>April 1,</w:t>
            </w:r>
          </w:p>
        </w:tc>
        <w:tc>
          <w:tcPr>
            <w:tcW w:w="1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Total Net</w:t>
            </w:r>
          </w:p>
        </w:tc>
        <w:tc>
          <w:tcPr>
            <w:tcW w:w="200" w:type="dxa"/>
            <w:vAlign w:val="bottom"/>
          </w:tcPr>
          <w:p>
            <w:pPr>
              <w:spacing w:after="0"/>
              <w:rPr>
                <w:sz w:val="17"/>
                <w:szCs w:val="17"/>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b w:val="1"/>
                <w:bCs w:val="1"/>
                <w:color w:val="auto"/>
              </w:rPr>
              <w:t>April 2,</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Total Net</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(dollars in thousands)</w:t>
            </w:r>
          </w:p>
        </w:tc>
        <w:tc>
          <w:tcPr>
            <w:tcW w:w="18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Sales</w:t>
            </w:r>
          </w:p>
        </w:tc>
        <w:tc>
          <w:tcPr>
            <w:tcW w:w="20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5"/>
              </w:rPr>
              <w:t>Sales</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6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U.S. Wholesale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292,555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292,054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U.S. Retail (a)</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363,771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354,089</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International (b)</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76,429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77,942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620" w:type="dxa"/>
            <w:vAlign w:val="bottom"/>
            <w:gridSpan w:val="3"/>
          </w:tcPr>
          <w:p>
            <w:pPr>
              <w:ind w:left="320"/>
              <w:spacing w:after="0"/>
              <w:rPr>
                <w:sz w:val="20"/>
                <w:szCs w:val="20"/>
                <w:color w:val="auto"/>
              </w:rPr>
            </w:pPr>
            <w:r>
              <w:rPr>
                <w:rFonts w:ascii="Arial" w:cs="Arial" w:eastAsia="Arial" w:hAnsi="Arial"/>
                <w:sz w:val="16"/>
                <w:szCs w:val="16"/>
                <w:color w:val="auto"/>
              </w:rPr>
              <w:t>Total net sales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732,755</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724,085</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4"/>
              </w:rPr>
              <w:t>%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Segment</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62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Operating income (loss):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88"/>
              </w:rPr>
              <w:t>Net Sales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Net Sales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1040" w:type="dxa"/>
            <w:vAlign w:val="bottom"/>
            <w:tcBorders>
              <w:top w:val="single" w:sz="8" w:color="auto"/>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U.S. Wholesale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69,695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68,411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U.S. Retail (a)</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39,469</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International (b)</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620" w:type="dxa"/>
            <w:vAlign w:val="bottom"/>
            <w:gridSpan w:val="3"/>
          </w:tcPr>
          <w:p>
            <w:pPr>
              <w:spacing w:after="0"/>
              <w:rPr>
                <w:sz w:val="20"/>
                <w:szCs w:val="20"/>
                <w:color w:val="auto"/>
              </w:rPr>
            </w:pPr>
            <w:r>
              <w:rPr>
                <w:rFonts w:ascii="Arial" w:cs="Arial" w:eastAsia="Arial" w:hAnsi="Arial"/>
                <w:sz w:val="16"/>
                <w:szCs w:val="16"/>
                <w:color w:val="auto"/>
              </w:rPr>
              <w:t>Corporate expenses (c) (d) (e) (f)</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(24,714)</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(23,313)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Total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78,566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93,008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retail store and eCommerce results.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Net sales include international retail, eCommerce, and wholesale sales.</w:t>
      </w:r>
    </w:p>
    <w:p>
      <w:pPr>
        <w:spacing w:after="0" w:line="5" w:lineRule="exact"/>
        <w:rPr>
          <w:rFonts w:ascii="Arial" w:cs="Arial" w:eastAsia="Arial" w:hAnsi="Arial"/>
          <w:sz w:val="16"/>
          <w:szCs w:val="16"/>
          <w:color w:val="auto"/>
        </w:rPr>
      </w:pPr>
    </w:p>
    <w:p>
      <w:pPr>
        <w:ind w:left="340" w:right="20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Corporate expenses include expenses related to incentive compensation, stock-based compensation, executive management, severance and relocation, finance, building occupancy, information technology, certain legal fees, consulting, and audit fees.</w:t>
      </w: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charges related to the amortization of the H.W. Carter and Sons tradenames of approximately $1.0 million for the fiscal quarter ended April 2, 2016.</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expenses related to the acquisition of Skip Hop of approximately $1.3 million for the fiscal quarter ended April 1, 2017.</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charges related to the Company's direct sourcing initiative of approximately $0.2 million for the fiscal quarter ended April 1, 2017.</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PENDING ADOPTION OF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(ASC 606)</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which since has been codified in Accounting Standards Codification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This guidance clarifies the principles for recognizing revenue and will be applicable to all contracts with customers regardless of industry-specific or transaction-specific fact patterns. Further, the guidance will require improved disclosures as well as additional disclosures to help users of financial statements better understand the nature, amount, timing, and uncertainty of revenue that is recognized. Since its original issuance, the FASB has issued several updates to this guidance, and additional updates are possible. The standard will be effective for the Company at the beginning of fiscal 2018, including interim periods within that fiscal year. Upon adoption, the Company will apply the provisions of ASC 606 either retrospectively to each prior reporting period presented or retrospectively with the cumulative effect of initially applying the guidance recognized at the date of initial application. Based on an assessment of the Company's significant sources of revenue, at this time the Company does not believe that the adoption of ASC 606, including any of the policy elections required or permitted by ASC 606, will have a material impact on its consolidated financial position, results of operations and cash flows. Based on this assessment, at this time the Company does not believe the adoption of ASC 606 will have a significant impact on processes, systems, or controls.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2016-02)</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February 2016, the FASB issued new lease accounting guidance in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ASU 2016-02 will have little or no impact on an entity's results of operations or cash flows. The new standard will be effective for the Company at the beginning of fiscal 2019, including interim periods within the year of adoption. The new standard requires a modified retrospective basis, and early adoption is permitted. The Company is still evaluating the potential impacts of ASU</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37"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2016-02 on its consolidated balance sheet. However, the Company expects that the adoption of ASU 2016-02 will require the Company to recognize right-of-use assets and lease liabilities that will be material to the Company's consolidated balance sheet.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2016-13)</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("ASU 2016-13")</w:t>
      </w:r>
      <w:r>
        <w:rPr>
          <w:rFonts w:ascii="Arial" w:cs="Arial" w:eastAsia="Arial" w:hAnsi="Arial"/>
          <w:sz w:val="16"/>
          <w:szCs w:val="16"/>
          <w:i w:val="1"/>
          <w:iCs w:val="1"/>
          <w:color w:val="auto"/>
        </w:rPr>
        <w:t>.</w:t>
      </w:r>
      <w:r>
        <w:rPr>
          <w:rFonts w:ascii="Arial" w:cs="Arial" w:eastAsia="Arial" w:hAnsi="Arial"/>
          <w:sz w:val="16"/>
          <w:szCs w:val="16"/>
          <w:color w:val="auto"/>
        </w:rPr>
        <w:t xml:space="preserve">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ASU 2016-13 is effective for public companies for fiscal years beginning after December 15, 2019 with early adoption permitted for fiscal years beginning after December 15, 2018, including interim periods therein.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Classification of Costs Related to Defined Benefit Pension and Other Post-retirement Benefit Plans </w:t>
      </w:r>
      <w:r>
        <w:rPr>
          <w:rFonts w:ascii="Arial" w:cs="Arial" w:eastAsia="Arial" w:hAnsi="Arial"/>
          <w:sz w:val="18"/>
          <w:szCs w:val="18"/>
          <w:color w:val="auto"/>
        </w:rPr>
        <w:t>(ASU 2017-07)</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March 2017, the FASB issued ASU No. 2017-07, </w:t>
      </w:r>
      <w:r>
        <w:rPr>
          <w:rFonts w:ascii="Arial" w:cs="Arial" w:eastAsia="Arial" w:hAnsi="Arial"/>
          <w:sz w:val="16"/>
          <w:szCs w:val="16"/>
          <w:i w:val="1"/>
          <w:iCs w:val="1"/>
          <w:color w:val="auto"/>
        </w:rPr>
        <w:t>Compensation - 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Cost and Net Periodic Post-retirement Benefit Cost </w:t>
      </w:r>
      <w:r>
        <w:rPr>
          <w:rFonts w:ascii="Arial" w:cs="Arial" w:eastAsia="Arial" w:hAnsi="Arial"/>
          <w:sz w:val="16"/>
          <w:szCs w:val="16"/>
          <w:color w:val="auto"/>
        </w:rPr>
        <w:t>("ASU 2017-07")</w:t>
      </w:r>
      <w:r>
        <w:rPr>
          <w:rFonts w:ascii="Arial" w:cs="Arial" w:eastAsia="Arial" w:hAnsi="Arial"/>
          <w:sz w:val="16"/>
          <w:szCs w:val="16"/>
          <w:i w:val="1"/>
          <w:iCs w:val="1"/>
          <w:color w:val="auto"/>
        </w:rPr>
        <w:t xml:space="preserve">. </w:t>
      </w:r>
      <w:r>
        <w:rPr>
          <w:rFonts w:ascii="Arial" w:cs="Arial" w:eastAsia="Arial" w:hAnsi="Arial"/>
          <w:sz w:val="16"/>
          <w:szCs w:val="16"/>
          <w:color w:val="auto"/>
        </w:rPr>
        <w:t>ASU 2017-07 will change how employers that sponsor defined benefit pension and/or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post-retirement benefit plans present the net periodic benefit costs in the statement of operations. Under this new guidance, an employer's statement of operations will present service cost arising in the current period in the same income statement line item as other employee compensation. However, all other components of current period costs related to defined benefit plans, such as prior service costs and actuarial gains and losses, will be presented on the income statement on a line item outside (or below) operating income. For public companies, the guidance is effective for fiscal years beginning after December 15, 2017, and interim periods within those years. Early adoption is permitted. Presentation of the components of net periodic benefit cost on the income statement will be applied retrospectively. The impact that ASU 2017-07 will have on the Company's operating income will depend on future periodic pension costs related to the Company's current frozen defined benefit pension plan and post-retirement medical benefit plan. However, based on these costs in recent annual and interim reporting periods, the adoption of ASU 2017-07 is not expected to be material to the Company's operating income.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Impairment Testing </w:t>
      </w:r>
      <w:r>
        <w:rPr>
          <w:rFonts w:ascii="Arial" w:cs="Arial" w:eastAsia="Arial" w:hAnsi="Arial"/>
          <w:sz w:val="18"/>
          <w:szCs w:val="18"/>
          <w:color w:val="auto"/>
        </w:rPr>
        <w:t>(ASU 2017-04)</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("ASU 2017-04")</w:t>
      </w:r>
      <w:r>
        <w:rPr>
          <w:rFonts w:ascii="Arial" w:cs="Arial" w:eastAsia="Arial" w:hAnsi="Arial"/>
          <w:sz w:val="16"/>
          <w:szCs w:val="16"/>
          <w:i w:val="1"/>
          <w:iCs w:val="1"/>
          <w:color w:val="auto"/>
        </w:rPr>
        <w:t>.</w:t>
      </w:r>
      <w:r>
        <w:rPr>
          <w:rFonts w:ascii="Arial" w:cs="Arial" w:eastAsia="Arial" w:hAnsi="Arial"/>
          <w:sz w:val="16"/>
          <w:szCs w:val="16"/>
          <w:color w:val="auto"/>
        </w:rPr>
        <w:t xml:space="preserve">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ASU 2017-04 will be applied prospectively. Adoption for public companies is effective for annual and interim impairment test performed in periods after December 15, 2019. Early adoption is permitted for annual and interim goodwill impairment testing dates after January 1, 2017. The impact that ASU 2017-04 may have on the Company's financial condition or results of operations will depend on the circumstances of any goodwill impairment event that may occur after adoption.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Statement of Cash Flows </w:t>
      </w:r>
      <w:r>
        <w:rPr>
          <w:rFonts w:ascii="Arial" w:cs="Arial" w:eastAsia="Arial" w:hAnsi="Arial"/>
          <w:sz w:val="18"/>
          <w:szCs w:val="18"/>
          <w:color w:val="auto"/>
        </w:rPr>
        <w:t>(ASU 2016-15)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37"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w:t>
      </w:r>
      <w:r>
        <w:rPr>
          <w:rFonts w:ascii="Arial" w:cs="Arial" w:eastAsia="Arial" w:hAnsi="Arial"/>
          <w:sz w:val="17"/>
          <w:szCs w:val="17"/>
          <w:color w:val="auto"/>
        </w:rPr>
        <w:t xml:space="preserve"> ("ASU 2016-15").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for investing activities. Payments made thereafter will be classified as cash outflows for financing activities up to the amount of the original contingent consideration liability. Payments made in excess of the amount of the original contingent consideration liability will be classified as cash outflows for operating activities. For public business entities, ASU 2016-15 is effective for financial statements issued for fiscal years beginning after December 15, 2017, and interim periods within those fiscal years. The guidance requires application using a retrospective transition method. Early adoption is permitted, provided that all of the amendments are adopted in the same period. At the current time, none of the other items contained in ASU 2016-15 are expected to impact the Company's classifications on its consolidated statement of cash flows.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1" w:name="page22"/>
    <w:bookmarkEnd w:id="21"/>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GUARANTOR UNAUDITED CONDENSED CONSOLIDATING FINANCIAL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senior notes constitute debt obligations of its wholly-owned subsidiary, The William Carter Company ("TWCC" or the "Subsidiary Issuer"), are unsecured and are fully and unconditionally guaranteed by Carter’s, Inc. (the "Parent"), by certain of the Parent's current domestic subsidiaries (other than TWCC), and, subject to certain exceptions, future restricted subsidiaries that guarantee the Company’s secured revolving credit facility or certain other debt of the Company or the subsidiary guarantors. Under specific customary conditions, the guarantees are not full and unconditional because subsidiary guarantors can be released and relieved of their obligations under customary circumstances contained in the indenture governing the senior notes. These circumstances include, among others, the following, so long as other applicable provisions of the indentures are adhered to: any sale or other disposition of all or substantially all of the assets of any subsidiary guarantor, any sale or other disposition of capital stock of any subsidiary guarantor, or designation of any restricted subsidiary that is a subsidiary guarantor as an unrestricted subsidiary.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refer to the Company's Annual Report on Form 10-K for the 2016 fiscal year ended December 31, 2016.</w:t>
      </w:r>
    </w:p>
    <w:p>
      <w:pPr>
        <w:spacing w:after="0" w:line="9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condensed consolidating financial information for the Parent, the Subsidiary Issuer, and the guarantor and non-guarantor subsidiaries has been prepared from the books and records maintained by the Company. The accompanying condensed consolidating financial information has been prepared and presented pursuant to SEC Regulation S-X Rule 3-10. The financial information may not necessarily be indicative of the financial position, results of operations, comprehensive income (loss), and cash flows, had the Parent, Subsidiary Issuer, guarantor or non-guarantor subsidiaries operated as independent entities.</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Intercompany revenues and expenses included in the subsidiary records are eliminated in consolidation. As a result of this activity, an amount due to/due from affiliates will exist at any time. The principal elimination entries relate to investments in subsidiaries and intercompany balances and transactions. The Company has accounted for investments in subsidiaries under the equity method. The guarantor subsidiaries are 100% owned directly or indirectly by the Parent and all guarantees are joint, several, and unconditional.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37"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April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Subsidiary</w:t>
            </w: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26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108,944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12,992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32,342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154,278</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168,560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206,707</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Intercompany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87,901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60,971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14,810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(163,682)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205,335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434,712</w:t>
            </w:r>
          </w:p>
        </w:tc>
        <w:tc>
          <w:tcPr>
            <w:tcW w:w="0" w:type="dxa"/>
            <w:vAlign w:val="bottom"/>
          </w:tcPr>
          <w:p>
            <w:pPr>
              <w:spacing w:after="0"/>
              <w:rPr>
                <w:sz w:val="1"/>
                <w:szCs w:val="1"/>
                <w:color w:val="auto"/>
              </w:rPr>
            </w:pPr>
          </w:p>
        </w:tc>
      </w:tr>
      <w:tr>
        <w:trPr>
          <w:trHeight w:val="220"/>
        </w:trPr>
        <w:tc>
          <w:tcPr>
            <w:tcW w:w="2640" w:type="dxa"/>
            <w:vAlign w:val="bottom"/>
          </w:tcPr>
          <w:p>
            <w:pPr>
              <w:ind w:left="180"/>
              <w:spacing w:after="0"/>
              <w:rPr>
                <w:sz w:val="20"/>
                <w:szCs w:val="20"/>
                <w:color w:val="auto"/>
              </w:rPr>
            </w:pPr>
            <w:r>
              <w:rPr>
                <w:rFonts w:ascii="Arial" w:cs="Arial" w:eastAsia="Arial" w:hAnsi="Arial"/>
                <w:sz w:val="16"/>
                <w:szCs w:val="16"/>
                <w:color w:val="auto"/>
                <w:w w:val="95"/>
              </w:rPr>
              <w:t>Prepaid expenses and other current</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180"/>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16,386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18,288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11,479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46,153</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578,813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330,228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113,070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(180,261)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841,850</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154,119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196,876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35,280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386,275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232,925</w:t>
            </w:r>
          </w:p>
        </w:tc>
        <w:tc>
          <w:tcPr>
            <w:tcW w:w="0" w:type="dxa"/>
            <w:vAlign w:val="bottom"/>
          </w:tcPr>
          <w:p>
            <w:pPr>
              <w:spacing w:after="0"/>
              <w:rPr>
                <w:sz w:val="1"/>
                <w:szCs w:val="1"/>
                <w:color w:val="auto"/>
              </w:rPr>
            </w:pP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Tradenames and other intangible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assets, net</w:t>
            </w:r>
          </w:p>
        </w:tc>
        <w:tc>
          <w:tcPr>
            <w:tcW w:w="2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223,384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177,995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401,379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23,034</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Intercompany long-term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423,287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(423,287)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Intercompany long-term note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receivable</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Investment in subsidiaries</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771,963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905,397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146,266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(1,823,626)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771,963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2,118,918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1,331,273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190,483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(2,527,174)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1,885,463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101,386</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Intercompany payables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71,796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88,529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(163,682)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57,324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123,661</w:t>
            </w:r>
          </w:p>
        </w:tc>
        <w:tc>
          <w:tcPr>
            <w:tcW w:w="0" w:type="dxa"/>
            <w:vAlign w:val="bottom"/>
          </w:tcPr>
          <w:p>
            <w:pPr>
              <w:spacing w:after="0"/>
              <w:rPr>
                <w:sz w:val="1"/>
                <w:szCs w:val="1"/>
                <w:color w:val="auto"/>
              </w:rPr>
            </w:pPr>
          </w:p>
        </w:tc>
      </w:tr>
      <w:tr>
        <w:trPr>
          <w:trHeight w:val="217"/>
        </w:trPr>
        <w:tc>
          <w:tcPr>
            <w:tcW w:w="264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185,991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181,627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21,111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(163,682)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225,047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581,621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581,621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133,552</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Intercompany long-term liability</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423,287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(423,287)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Intercompany long-term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68,227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91,385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13,668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173,280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771,963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788,542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896,061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155,602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(1,840,205)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771,963</w:t>
            </w:r>
          </w:p>
        </w:tc>
        <w:tc>
          <w:tcPr>
            <w:tcW w:w="0" w:type="dxa"/>
            <w:vAlign w:val="bottom"/>
          </w:tcPr>
          <w:p>
            <w:pPr>
              <w:spacing w:after="0"/>
              <w:rPr>
                <w:sz w:val="1"/>
                <w:szCs w:val="1"/>
                <w:color w:val="auto"/>
              </w:rPr>
            </w:pPr>
          </w:p>
        </w:tc>
      </w:tr>
      <w:tr>
        <w:trPr>
          <w:trHeight w:val="200"/>
        </w:trPr>
        <w:tc>
          <w:tcPr>
            <w:tcW w:w="2640" w:type="dxa"/>
            <w:vAlign w:val="bottom"/>
          </w:tcPr>
          <w:p>
            <w:pPr>
              <w:ind w:left="380"/>
              <w:spacing w:after="0"/>
              <w:rPr>
                <w:sz w:val="20"/>
                <w:szCs w:val="20"/>
                <w:color w:val="auto"/>
              </w:rPr>
            </w:pPr>
            <w:r>
              <w:rPr>
                <w:rFonts w:ascii="Arial" w:cs="Arial" w:eastAsia="Arial" w:hAnsi="Arial"/>
                <w:sz w:val="16"/>
                <w:szCs w:val="16"/>
                <w:color w:val="auto"/>
                <w:w w:val="97"/>
              </w:rPr>
              <w:t>Total liabilities and stockholders'</w:t>
            </w: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771,963</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2,118,918</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1,331,273</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190,483</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(2,527,174)</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1,885,463</w:t>
            </w:r>
          </w:p>
        </w:tc>
        <w:tc>
          <w:tcPr>
            <w:tcW w:w="0" w:type="dxa"/>
            <w:vAlign w:val="bottom"/>
          </w:tcPr>
          <w:p>
            <w:pPr>
              <w:spacing w:after="0"/>
              <w:rPr>
                <w:sz w:val="1"/>
                <w:szCs w:val="1"/>
                <w:color w:val="auto"/>
              </w:rPr>
            </w:pPr>
          </w:p>
        </w:tc>
      </w:tr>
      <w:tr>
        <w:trPr>
          <w:trHeight w:val="224"/>
        </w:trPr>
        <w:tc>
          <w:tcPr>
            <w:tcW w:w="2640" w:type="dxa"/>
            <w:vAlign w:val="bottom"/>
          </w:tcPr>
          <w:p>
            <w:pPr>
              <w:ind w:left="380"/>
              <w:spacing w:after="0"/>
              <w:rPr>
                <w:sz w:val="20"/>
                <w:szCs w:val="20"/>
                <w:color w:val="auto"/>
              </w:rPr>
            </w:pPr>
            <w:r>
              <w:rPr>
                <w:rFonts w:ascii="Arial" w:cs="Arial" w:eastAsia="Arial" w:hAnsi="Arial"/>
                <w:sz w:val="16"/>
                <w:szCs w:val="16"/>
                <w:color w:val="auto"/>
              </w:rPr>
              <w:t>equity</w:t>
            </w:r>
          </w:p>
        </w:tc>
        <w:tc>
          <w:tcPr>
            <w:tcW w:w="2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Subsidiary</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Guarantor</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Parent</w:t>
            </w:r>
          </w:p>
        </w:tc>
        <w:tc>
          <w:tcPr>
            <w:tcW w:w="1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2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229,056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11,817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58,485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299,358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176,825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202,471</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Intercompany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55,902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74,681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14,601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(145,184)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Finished goods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278,696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487,591</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9"/>
              </w:rPr>
              <w:t>Prepaid expenses and other current</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11,402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16,028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4,750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32,180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35,486</w:t>
            </w:r>
          </w:p>
        </w:tc>
        <w:tc>
          <w:tcPr>
            <w:tcW w:w="0" w:type="dxa"/>
            <w:vAlign w:val="bottom"/>
          </w:tcPr>
          <w:p>
            <w:pPr>
              <w:spacing w:after="0"/>
              <w:rPr>
                <w:sz w:val="1"/>
                <w:szCs w:val="1"/>
                <w:color w:val="auto"/>
              </w:rPr>
            </w:pPr>
          </w:p>
        </w:tc>
      </w:tr>
      <w:tr>
        <w:trPr>
          <w:trHeight w:val="217"/>
        </w:trPr>
        <w:tc>
          <w:tcPr>
            <w:tcW w:w="27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770,357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310,823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146,890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(170,984)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1,057,086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155,187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385,874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136,570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39,439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176,009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Tradenames,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308,928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17,771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18,700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long-term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5"/>
              </w:rPr>
              <w:t>Intercompany long-term note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subsidiaries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788,124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753,753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145,076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(1,686,953)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788,124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2,157,066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1,165,131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222,649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(2,386,373)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1,946,597</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LIABILITIES AND</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97,103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41,947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19,382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158,432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payables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16,473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90,718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11,986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119,177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199,470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187,922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(145,184)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277,609</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561,399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580,376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87,116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43,540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130,656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long-term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Intercompany long-term note payable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169,832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788,124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813,924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744,417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154,412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(1,712,753)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788,124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788,124</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2,157,066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1,165,131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222,649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(2,386,373)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1,946,597</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As of April 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Subsidiary</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Issuer</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2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331,672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19,802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43,667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395,141</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192,569</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Intercompany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67,203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120,901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(193,261)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Intercompany loan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Finished goods inventories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189,225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186,901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40,421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(40,048)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376,499</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Prepaid expenses and other current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assets</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14,273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36,791</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14,766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14,696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31,841</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787,588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376,785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101,777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(233,309)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1,032,841</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162,110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184,548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30,615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377,273</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177,238</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w w:val="94"/>
              </w:rPr>
              <w:t>Tradenames and other intangibles,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224,353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85,500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309,853</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15,258</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Intercompany long-term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294,017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(294,017)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long-term note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Investment in subsidiaries</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848,717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676,350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106,542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(1,631,609)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848,717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2,101,135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1,048,187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(2,258,935)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1,912,463</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90,387</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Intercompany payables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124,763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65,188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3,310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(193,261)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Intercompany loan payables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23,801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68,514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10,179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102,494</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207,190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153,256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(193,261)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192,881</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560,751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19,568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580,319</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128,815</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Intercompany long-term liability</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294,017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(294,017)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Intercompany long-term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66,487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83,027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161,731</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848,717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888,765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667,014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115,878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(1,671,657)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848,717</w:t>
            </w:r>
          </w:p>
        </w:tc>
        <w:tc>
          <w:tcPr>
            <w:tcW w:w="0" w:type="dxa"/>
            <w:vAlign w:val="bottom"/>
          </w:tcPr>
          <w:p>
            <w:pPr>
              <w:spacing w:after="0"/>
              <w:rPr>
                <w:sz w:val="1"/>
                <w:szCs w:val="1"/>
                <w:color w:val="auto"/>
              </w:rPr>
            </w:pPr>
          </w:p>
        </w:tc>
      </w:tr>
      <w:tr>
        <w:trPr>
          <w:trHeight w:val="200"/>
        </w:trPr>
        <w:tc>
          <w:tcPr>
            <w:tcW w:w="2620" w:type="dxa"/>
            <w:vAlign w:val="bottom"/>
          </w:tcPr>
          <w:p>
            <w:pPr>
              <w:ind w:left="380"/>
              <w:spacing w:after="0"/>
              <w:rPr>
                <w:sz w:val="20"/>
                <w:szCs w:val="20"/>
                <w:color w:val="auto"/>
              </w:rPr>
            </w:pPr>
            <w:r>
              <w:rPr>
                <w:rFonts w:ascii="Arial" w:cs="Arial" w:eastAsia="Arial" w:hAnsi="Arial"/>
                <w:sz w:val="16"/>
                <w:szCs w:val="16"/>
                <w:color w:val="auto"/>
                <w:w w:val="96"/>
              </w:rPr>
              <w:t>Total liabilities and stockholders'</w:t>
            </w:r>
          </w:p>
        </w:tc>
        <w:tc>
          <w:tcPr>
            <w:tcW w:w="2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848,717</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2,101,135</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1,048,187</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173,359</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(2,258,935)</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1,912,463</w:t>
            </w:r>
          </w:p>
        </w:tc>
        <w:tc>
          <w:tcPr>
            <w:tcW w:w="0" w:type="dxa"/>
            <w:vAlign w:val="bottom"/>
          </w:tcPr>
          <w:p>
            <w:pPr>
              <w:spacing w:after="0"/>
              <w:rPr>
                <w:sz w:val="1"/>
                <w:szCs w:val="1"/>
                <w:color w:val="auto"/>
              </w:rPr>
            </w:pPr>
          </w:p>
        </w:tc>
      </w:tr>
      <w:tr>
        <w:trPr>
          <w:trHeight w:val="224"/>
        </w:trPr>
        <w:tc>
          <w:tcPr>
            <w:tcW w:w="2620" w:type="dxa"/>
            <w:vAlign w:val="bottom"/>
          </w:tcPr>
          <w:p>
            <w:pPr>
              <w:ind w:left="380"/>
              <w:spacing w:after="0"/>
              <w:rPr>
                <w:sz w:val="20"/>
                <w:szCs w:val="20"/>
                <w:color w:val="auto"/>
              </w:rPr>
            </w:pPr>
            <w:r>
              <w:rPr>
                <w:rFonts w:ascii="Arial" w:cs="Arial" w:eastAsia="Arial" w:hAnsi="Arial"/>
                <w:sz w:val="16"/>
                <w:szCs w:val="16"/>
                <w:color w:val="auto"/>
              </w:rPr>
              <w:t>equity</w:t>
            </w:r>
          </w:p>
        </w:tc>
        <w:tc>
          <w:tcPr>
            <w:tcW w:w="2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37"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Operations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April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Guarantor</w:t>
            </w:r>
          </w:p>
        </w:tc>
        <w:tc>
          <w:tcPr>
            <w:tcW w:w="1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Subsidiary 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453,515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395,779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61,031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(177,570)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732,755</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330,633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228,766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37,429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(179,875)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416,953</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122,882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167,013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23,602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315,802</w:t>
            </w:r>
          </w:p>
        </w:tc>
      </w:tr>
      <w:tr>
        <w:trPr>
          <w:trHeight w:val="220"/>
        </w:trPr>
        <w:tc>
          <w:tcPr>
            <w:tcW w:w="2500" w:type="dxa"/>
            <w:vAlign w:val="bottom"/>
          </w:tcPr>
          <w:p>
            <w:pPr>
              <w:ind w:left="20"/>
              <w:spacing w:after="0"/>
              <w:rPr>
                <w:sz w:val="20"/>
                <w:szCs w:val="20"/>
                <w:color w:val="auto"/>
              </w:rPr>
            </w:pPr>
            <w:r>
              <w:rPr>
                <w:rFonts w:ascii="Arial" w:cs="Arial" w:eastAsia="Arial" w:hAnsi="Arial"/>
                <w:sz w:val="16"/>
                <w:szCs w:val="16"/>
                <w:color w:val="auto"/>
                <w:w w:val="98"/>
              </w:rPr>
              <w:t>Selling, general, and administrative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500" w:type="dxa"/>
            <w:vAlign w:val="bottom"/>
          </w:tcPr>
          <w:p>
            <w:pPr>
              <w:ind w:left="2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40,932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189,504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26,271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247,794</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(10,558)</w:t>
            </w:r>
          </w:p>
        </w:tc>
      </w:tr>
      <w:tr>
        <w:trPr>
          <w:trHeight w:val="217"/>
        </w:trPr>
        <w:tc>
          <w:tcPr>
            <w:tcW w:w="25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90,380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(18,366)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(2,669)</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78,566</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7,104</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21,031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46,664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64,183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(22,552)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(2,510)</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71,822</w:t>
            </w:r>
          </w:p>
        </w:tc>
      </w:tr>
      <w:tr>
        <w:trPr>
          <w:trHeight w:val="237"/>
        </w:trPr>
        <w:tc>
          <w:tcPr>
            <w:tcW w:w="2500" w:type="dxa"/>
            <w:vAlign w:val="bottom"/>
          </w:tcPr>
          <w:p>
            <w:pPr>
              <w:ind w:left="20"/>
              <w:spacing w:after="0"/>
              <w:rPr>
                <w:sz w:val="20"/>
                <w:szCs w:val="20"/>
                <w:color w:val="auto"/>
              </w:rPr>
            </w:pPr>
            <w:r>
              <w:rPr>
                <w:rFonts w:ascii="Arial" w:cs="Arial" w:eastAsia="Arial" w:hAnsi="Arial"/>
                <w:sz w:val="16"/>
                <w:szCs w:val="16"/>
                <w:color w:val="auto"/>
                <w:w w:val="98"/>
              </w:rPr>
              <w:t>Provision (benefit) for income taxes</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26,740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25,158</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46,664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46,664</w:t>
            </w:r>
          </w:p>
        </w:tc>
      </w:tr>
      <w:tr>
        <w:trPr>
          <w:trHeight w:val="20"/>
        </w:trPr>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37" w:right="25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April 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Subsidiary</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Guarantor</w:t>
            </w:r>
          </w:p>
        </w:tc>
        <w:tc>
          <w:tcPr>
            <w:tcW w:w="10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6"/>
                <w:szCs w:val="16"/>
                <w:b w:val="1"/>
                <w:bCs w:val="1"/>
                <w:color w:val="auto"/>
              </w:rPr>
              <w:t>Parent</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451,196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381,280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55,830</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(164,221)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724,085</w:t>
            </w:r>
          </w:p>
        </w:tc>
      </w:tr>
      <w:tr>
        <w:trPr>
          <w:trHeight w:val="237"/>
        </w:trPr>
        <w:tc>
          <w:tcPr>
            <w:tcW w:w="246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321,100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211,028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33,091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(152,063)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413,156</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170,252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22,739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310,929</w:t>
            </w:r>
          </w:p>
        </w:tc>
      </w:tr>
      <w:tr>
        <w:trPr>
          <w:trHeight w:val="220"/>
        </w:trPr>
        <w:tc>
          <w:tcPr>
            <w:tcW w:w="2460" w:type="dxa"/>
            <w:vAlign w:val="bottom"/>
          </w:tcPr>
          <w:p>
            <w:pPr>
              <w:ind w:left="20"/>
              <w:spacing w:after="0"/>
              <w:rPr>
                <w:sz w:val="20"/>
                <w:szCs w:val="20"/>
                <w:color w:val="auto"/>
              </w:rPr>
            </w:pPr>
            <w:r>
              <w:rPr>
                <w:rFonts w:ascii="Arial" w:cs="Arial" w:eastAsia="Arial" w:hAnsi="Arial"/>
                <w:sz w:val="16"/>
                <w:szCs w:val="16"/>
                <w:color w:val="auto"/>
                <w:w w:val="97"/>
              </w:rPr>
              <w:t>Selling, general, and administrative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460" w:type="dxa"/>
            <w:vAlign w:val="bottom"/>
          </w:tcPr>
          <w:p>
            <w:pPr>
              <w:ind w:left="2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42,587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172,142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23,377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228,996</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(11,075)</w:t>
            </w:r>
          </w:p>
        </w:tc>
      </w:tr>
      <w:tr>
        <w:trPr>
          <w:trHeight w:val="217"/>
        </w:trPr>
        <w:tc>
          <w:tcPr>
            <w:tcW w:w="24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96,581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2,321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(5,256)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93,008</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6,739</w:t>
            </w:r>
          </w:p>
        </w:tc>
      </w:tr>
      <w:tr>
        <w:trPr>
          <w:trHeight w:val="237"/>
        </w:trPr>
        <w:tc>
          <w:tcPr>
            <w:tcW w:w="24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46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3,207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3,193</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84,262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83,283</w:t>
            </w:r>
          </w:p>
        </w:tc>
      </w:tr>
      <w:tr>
        <w:trPr>
          <w:trHeight w:val="237"/>
        </w:trPr>
        <w:tc>
          <w:tcPr>
            <w:tcW w:w="246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4,846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29,303</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53,980</w:t>
            </w:r>
          </w:p>
        </w:tc>
      </w:tr>
      <w:tr>
        <w:trPr>
          <w:trHeight w:val="20"/>
        </w:trPr>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33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6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Consolidating Statements of Comprehensive Income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April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Guarantor</w:t>
            </w:r>
          </w:p>
        </w:tc>
        <w:tc>
          <w:tcPr>
            <w:tcW w:w="14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6"/>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Parent</w:t>
            </w: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46,664</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37,443</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(21,032)</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(13,963)</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46,664</w:t>
            </w:r>
          </w:p>
        </w:tc>
      </w:tr>
      <w:tr>
        <w:trPr>
          <w:trHeight w:val="220"/>
        </w:trPr>
        <w:tc>
          <w:tcPr>
            <w:tcW w:w="2540" w:type="dxa"/>
            <w:vAlign w:val="bottom"/>
          </w:tcPr>
          <w:p>
            <w:pPr>
              <w:ind w:left="40"/>
              <w:spacing w:after="0"/>
              <w:rPr>
                <w:sz w:val="20"/>
                <w:szCs w:val="20"/>
                <w:color w:val="auto"/>
              </w:rPr>
            </w:pPr>
            <w:r>
              <w:rPr>
                <w:rFonts w:ascii="Arial" w:cs="Arial" w:eastAsia="Arial" w:hAnsi="Arial"/>
                <w:sz w:val="16"/>
                <w:szCs w:val="16"/>
                <w:color w:val="auto"/>
              </w:rPr>
              <w:t>Foreign currency translation</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5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947</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947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947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947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(2,841)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947</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47,611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38,390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47,611</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April 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Guarantor</w:t>
            </w:r>
          </w:p>
        </w:tc>
        <w:tc>
          <w:tcPr>
            <w:tcW w:w="14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6"/>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Parent</w:t>
            </w: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53,980</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59,236</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(49,400)</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53,980</w:t>
            </w:r>
          </w:p>
        </w:tc>
      </w:tr>
      <w:tr>
        <w:trPr>
          <w:trHeight w:val="220"/>
        </w:trPr>
        <w:tc>
          <w:tcPr>
            <w:tcW w:w="2540" w:type="dxa"/>
            <w:vAlign w:val="bottom"/>
          </w:tcPr>
          <w:p>
            <w:pPr>
              <w:ind w:left="40"/>
              <w:spacing w:after="0"/>
              <w:rPr>
                <w:sz w:val="20"/>
                <w:szCs w:val="20"/>
                <w:color w:val="auto"/>
              </w:rPr>
            </w:pPr>
            <w:r>
              <w:rPr>
                <w:rFonts w:ascii="Arial" w:cs="Arial" w:eastAsia="Arial" w:hAnsi="Arial"/>
                <w:sz w:val="16"/>
                <w:szCs w:val="16"/>
                <w:color w:val="auto"/>
              </w:rPr>
              <w:t>Foreign currency translation</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25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5,286</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5,286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5,286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(15,858)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5,286</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59,266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64,522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(65,258)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59,266</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CARTER’S, INC.</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April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Non-Guarantor</w:t>
            </w:r>
          </w:p>
        </w:tc>
        <w:tc>
          <w:tcPr>
            <w:tcW w:w="140" w:type="dxa"/>
            <w:vAlign w:val="bottom"/>
          </w:tcPr>
          <w:p>
            <w:pPr>
              <w:spacing w:after="0"/>
              <w:rPr>
                <w:sz w:val="17"/>
                <w:szCs w:val="17"/>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9"/>
              </w:rPr>
              <w:t>Consolidating</w:t>
            </w:r>
          </w:p>
        </w:tc>
        <w:tc>
          <w:tcPr>
            <w:tcW w:w="110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Parent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ind w:left="100"/>
              <w:spacing w:after="0"/>
              <w:rPr>
                <w:sz w:val="20"/>
                <w:szCs w:val="20"/>
                <w:color w:val="auto"/>
              </w:rPr>
            </w:pPr>
            <w:r>
              <w:rPr>
                <w:rFonts w:ascii="Arial" w:cs="Arial" w:eastAsia="Arial" w:hAnsi="Arial"/>
                <w:sz w:val="16"/>
                <w:szCs w:val="16"/>
                <w:b w:val="1"/>
                <w:bCs w:val="1"/>
                <w:color w:val="auto"/>
              </w:rPr>
              <w:t>Subsidiary Issuer</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4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0"/>
              </w:rPr>
              <w:t>Adjustments</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3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provided by (used in)</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3"/>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101,914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84,180</w:t>
            </w:r>
          </w:p>
        </w:tc>
      </w:tr>
      <w:tr>
        <w:trPr>
          <w:trHeight w:val="20"/>
        </w:trPr>
        <w:tc>
          <w:tcPr>
            <w:tcW w:w="3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1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113" w:lineRule="exact"/>
        <w:rPr>
          <w:sz w:val="20"/>
          <w:szCs w:val="20"/>
          <w:color w:val="auto"/>
        </w:rPr>
      </w:pPr>
    </w:p>
    <w:p>
      <w:pPr>
        <w:ind w:left="180" w:right="300"/>
        <w:spacing w:after="0" w:line="375" w:lineRule="auto"/>
        <w:rPr>
          <w:sz w:val="20"/>
          <w:szCs w:val="20"/>
          <w:color w:val="auto"/>
        </w:rPr>
      </w:pPr>
      <w:r>
        <w:rPr>
          <w:rFonts w:ascii="Arial" w:cs="Arial" w:eastAsia="Arial" w:hAnsi="Arial"/>
          <w:sz w:val="15"/>
          <w:szCs w:val="15"/>
          <w:color w:val="auto"/>
        </w:rPr>
        <w:t>Capital expenditures Intercompany investing activity</w:t>
      </w:r>
    </w:p>
    <w:p>
      <w:pPr>
        <w:spacing w:after="0" w:line="1" w:lineRule="exact"/>
        <w:rPr>
          <w:sz w:val="20"/>
          <w:szCs w:val="20"/>
          <w:color w:val="auto"/>
        </w:rPr>
      </w:pPr>
    </w:p>
    <w:p>
      <w:pPr>
        <w:ind w:left="180" w:right="60"/>
        <w:spacing w:after="0" w:line="293" w:lineRule="auto"/>
        <w:rPr>
          <w:sz w:val="20"/>
          <w:szCs w:val="20"/>
          <w:color w:val="auto"/>
        </w:rPr>
      </w:pPr>
      <w:r>
        <w:rPr>
          <w:rFonts w:ascii="Arial" w:cs="Arial" w:eastAsia="Arial" w:hAnsi="Arial"/>
          <w:sz w:val="16"/>
          <w:szCs w:val="16"/>
          <w:color w:val="auto"/>
        </w:rPr>
        <w:t>Acquisition of business, net of cash acquired</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provided by (used in)</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(6,503)</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(9,548)</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(1,940)</w:t>
            </w:r>
          </w:p>
        </w:tc>
        <w:tc>
          <w:tcPr>
            <w:tcW w:w="10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(17,991)</w:t>
            </w:r>
          </w:p>
        </w:tc>
        <w:tc>
          <w:tcPr>
            <w:tcW w:w="0" w:type="dxa"/>
            <w:vAlign w:val="bottom"/>
          </w:tcPr>
          <w:p>
            <w:pPr>
              <w:spacing w:after="0"/>
              <w:rPr>
                <w:sz w:val="1"/>
                <w:szCs w:val="1"/>
                <w:color w:val="auto"/>
              </w:rPr>
            </w:pPr>
          </w:p>
        </w:tc>
      </w:tr>
      <w:tr>
        <w:trPr>
          <w:trHeight w:val="270"/>
        </w:trPr>
        <w:tc>
          <w:tcPr>
            <w:tcW w:w="1160" w:type="dxa"/>
            <w:vAlign w:val="bottom"/>
          </w:tcPr>
          <w:p>
            <w:pPr>
              <w:jc w:val="right"/>
              <w:ind w:right="39"/>
              <w:spacing w:after="0"/>
              <w:rPr>
                <w:sz w:val="20"/>
                <w:szCs w:val="20"/>
                <w:color w:val="auto"/>
              </w:rPr>
            </w:pPr>
            <w:r>
              <w:rPr>
                <w:rFonts w:ascii="Arial" w:cs="Arial" w:eastAsia="Arial" w:hAnsi="Arial"/>
                <w:sz w:val="16"/>
                <w:szCs w:val="16"/>
                <w:color w:val="auto"/>
              </w:rPr>
              <w:t>68,551</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(3,926)</w:t>
            </w:r>
          </w:p>
        </w:tc>
        <w:tc>
          <w:tcPr>
            <w:tcW w:w="1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(64,625)</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1"/>
        </w:trPr>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(144,520)</w:t>
            </w:r>
          </w:p>
        </w:tc>
        <w:tc>
          <w:tcPr>
            <w:tcW w:w="120" w:type="dxa"/>
            <w:vAlign w:val="bottom"/>
          </w:tcPr>
          <w:p>
            <w:pPr>
              <w:spacing w:after="0"/>
              <w:rPr>
                <w:sz w:val="24"/>
                <w:szCs w:val="24"/>
                <w:color w:val="auto"/>
              </w:rPr>
            </w:pPr>
          </w:p>
        </w:tc>
        <w:tc>
          <w:tcPr>
            <w:tcW w:w="1260" w:type="dxa"/>
            <w:vAlign w:val="bottom"/>
            <w:vMerge w:val="restart"/>
          </w:tcPr>
          <w:p>
            <w:pPr>
              <w:jc w:val="right"/>
              <w:ind w:right="39"/>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24"/>
                <w:szCs w:val="24"/>
                <w:color w:val="auto"/>
              </w:rPr>
            </w:pPr>
          </w:p>
        </w:tc>
        <w:tc>
          <w:tcPr>
            <w:tcW w:w="1360" w:type="dxa"/>
            <w:vAlign w:val="bottom"/>
            <w:vMerge w:val="restart"/>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4"/>
                <w:szCs w:val="24"/>
                <w:color w:val="auto"/>
              </w:rPr>
            </w:pP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(143,704)</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1160" w:type="dxa"/>
            <w:vAlign w:val="bottom"/>
          </w:tcPr>
          <w:p>
            <w:pPr>
              <w:jc w:val="right"/>
              <w:ind w:right="39"/>
              <w:spacing w:after="0"/>
              <w:rPr>
                <w:sz w:val="20"/>
                <w:szCs w:val="20"/>
                <w:color w:val="auto"/>
              </w:rPr>
            </w:pPr>
            <w:r>
              <w:rPr>
                <w:rFonts w:ascii="Arial" w:cs="Arial" w:eastAsia="Arial" w:hAnsi="Arial"/>
                <w:sz w:val="16"/>
                <w:szCs w:val="16"/>
                <w:color w:val="auto"/>
              </w:rPr>
              <w:t>68,551</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(154,949)</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(8,802)</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(1,870)</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(64,625)</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(161,695)</w:t>
            </w:r>
          </w:p>
        </w:tc>
        <w:tc>
          <w:tcPr>
            <w:tcW w:w="0" w:type="dxa"/>
            <w:vAlign w:val="bottom"/>
          </w:tcPr>
          <w:p>
            <w:pPr>
              <w:spacing w:after="0"/>
              <w:rPr>
                <w:sz w:val="1"/>
                <w:szCs w:val="1"/>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-762635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-299720</wp:posOffset>
            </wp:positionV>
            <wp:extent cx="724662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2540" w:space="560"/>
            <w:col w:w="832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100" w:type="dxa"/>
            <w:vAlign w:val="bottom"/>
          </w:tcPr>
          <w:p>
            <w:pPr>
              <w:ind w:left="180"/>
              <w:spacing w:after="0"/>
              <w:rPr>
                <w:sz w:val="20"/>
                <w:szCs w:val="20"/>
                <w:color w:val="auto"/>
              </w:rPr>
            </w:pPr>
            <w:r>
              <w:rPr>
                <w:rFonts w:ascii="Arial" w:cs="Arial" w:eastAsia="Arial" w:hAnsi="Arial"/>
                <w:sz w:val="16"/>
                <w:szCs w:val="16"/>
                <w:color w:val="auto"/>
              </w:rPr>
              <w:t>Intercompany financing activity</w:t>
            </w:r>
          </w:p>
        </w:tc>
        <w:tc>
          <w:tcPr>
            <w:tcW w:w="3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(87,077)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23,655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64,625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Borrowings under secured revolving credit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facility</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0"/>
        </w:trPr>
        <w:tc>
          <w:tcPr>
            <w:tcW w:w="3100" w:type="dxa"/>
            <w:vAlign w:val="bottom"/>
          </w:tcPr>
          <w:p>
            <w:pPr>
              <w:ind w:left="180"/>
              <w:spacing w:after="0"/>
              <w:rPr>
                <w:sz w:val="20"/>
                <w:szCs w:val="20"/>
                <w:color w:val="auto"/>
              </w:rPr>
            </w:pPr>
            <w:r>
              <w:rPr>
                <w:rFonts w:ascii="Arial" w:cs="Arial" w:eastAsia="Arial" w:hAnsi="Arial"/>
                <w:sz w:val="16"/>
                <w:szCs w:val="16"/>
                <w:color w:val="auto"/>
              </w:rPr>
              <w:t>Payments on secured revolving credit</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facility</w:t>
            </w:r>
          </w:p>
        </w:tc>
        <w:tc>
          <w:tcPr>
            <w:tcW w:w="3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(18,965)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(18,965)</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(17,998)</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(46,627)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(46,627)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Withholdings from vestings of restricted</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w:t>
            </w: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(5,552)</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w w:val="99"/>
              </w:rPr>
              <w:t>Proceeds from exercises of stock options</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1,626</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(used in) provided by</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(68,551)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(67,077)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23,655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(67,516)</w:t>
            </w:r>
          </w:p>
        </w:tc>
        <w:tc>
          <w:tcPr>
            <w:tcW w:w="0" w:type="dxa"/>
            <w:vAlign w:val="bottom"/>
          </w:tcPr>
          <w:p>
            <w:pPr>
              <w:spacing w:after="0"/>
              <w:rPr>
                <w:sz w:val="1"/>
                <w:szCs w:val="1"/>
                <w:color w:val="auto"/>
              </w:rPr>
            </w:pPr>
          </w:p>
        </w:tc>
      </w:tr>
      <w:tr>
        <w:trPr>
          <w:trHeight w:val="217"/>
        </w:trPr>
        <w:tc>
          <w:tcPr>
            <w:tcW w:w="3100" w:type="dxa"/>
            <w:vAlign w:val="bottom"/>
          </w:tcPr>
          <w:p>
            <w:pPr>
              <w:ind w:left="180"/>
              <w:spacing w:after="0"/>
              <w:rPr>
                <w:sz w:val="20"/>
                <w:szCs w:val="20"/>
                <w:color w:val="auto"/>
              </w:rPr>
            </w:pPr>
            <w:r>
              <w:rPr>
                <w:rFonts w:ascii="Arial" w:cs="Arial" w:eastAsia="Arial" w:hAnsi="Arial"/>
                <w:sz w:val="16"/>
                <w:szCs w:val="16"/>
                <w:color w:val="auto"/>
                <w:w w:val="99"/>
              </w:rPr>
              <w:t>Effect of exchange rate changes on cash</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Net (decrease) increase in cash and cash</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equivalents</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(120,112)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(26,143)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(145,080)</w:t>
            </w:r>
          </w:p>
        </w:tc>
        <w:tc>
          <w:tcPr>
            <w:tcW w:w="0" w:type="dxa"/>
            <w:vAlign w:val="bottom"/>
          </w:tcPr>
          <w:p>
            <w:pPr>
              <w:spacing w:after="0"/>
              <w:rPr>
                <w:sz w:val="1"/>
                <w:szCs w:val="1"/>
                <w:color w:val="auto"/>
              </w:rPr>
            </w:pPr>
          </w:p>
        </w:tc>
      </w:tr>
      <w:tr>
        <w:trPr>
          <w:trHeight w:val="220"/>
        </w:trPr>
        <w:tc>
          <w:tcPr>
            <w:tcW w:w="3100" w:type="dxa"/>
            <w:vAlign w:val="bottom"/>
          </w:tcPr>
          <w:p>
            <w:pPr>
              <w:ind w:left="180"/>
              <w:spacing w:after="0"/>
              <w:rPr>
                <w:sz w:val="20"/>
                <w:szCs w:val="20"/>
                <w:color w:val="auto"/>
              </w:rPr>
            </w:pPr>
            <w:r>
              <w:rPr>
                <w:rFonts w:ascii="Arial" w:cs="Arial" w:eastAsia="Arial" w:hAnsi="Arial"/>
                <w:sz w:val="16"/>
                <w:szCs w:val="16"/>
                <w:color w:val="auto"/>
              </w:rPr>
              <w:t>Cash and cash equivalents, beginning of</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period</w:t>
            </w:r>
          </w:p>
        </w:tc>
        <w:tc>
          <w:tcPr>
            <w:tcW w:w="3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229,056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11,817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58,485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299,358</w:t>
            </w:r>
          </w:p>
        </w:tc>
        <w:tc>
          <w:tcPr>
            <w:tcW w:w="0" w:type="dxa"/>
            <w:vAlign w:val="bottom"/>
          </w:tcPr>
          <w:p>
            <w:pPr>
              <w:spacing w:after="0"/>
              <w:rPr>
                <w:sz w:val="1"/>
                <w:szCs w:val="1"/>
                <w:color w:val="auto"/>
              </w:rPr>
            </w:pPr>
          </w:p>
        </w:tc>
      </w:tr>
      <w:tr>
        <w:trPr>
          <w:trHeight w:val="33"/>
        </w:trPr>
        <w:tc>
          <w:tcPr>
            <w:tcW w:w="3100" w:type="dxa"/>
            <w:vAlign w:val="bottom"/>
            <w:vMerge w:val="restart"/>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00" w:type="dxa"/>
            <w:vAlign w:val="bottom"/>
            <w:vMerge w:val="continue"/>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108,944</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12,992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32,342</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154,278</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type w:val="continuous"/>
        </w:sectPr>
      </w:pPr>
    </w:p>
    <w:bookmarkStart w:id="29" w:name="page30"/>
    <w:bookmarkEnd w:id="29"/>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quarter ended April 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Guarantor</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Consolidating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Parent</w:t>
            </w:r>
          </w:p>
        </w:tc>
        <w:tc>
          <w:tcPr>
            <w:tcW w:w="1520" w:type="dxa"/>
            <w:vAlign w:val="bottom"/>
            <w:gridSpan w:val="3"/>
          </w:tcPr>
          <w:p>
            <w:pPr>
              <w:ind w:left="100"/>
              <w:spacing w:after="0"/>
              <w:rPr>
                <w:sz w:val="20"/>
                <w:szCs w:val="20"/>
                <w:color w:val="auto"/>
              </w:rPr>
            </w:pPr>
            <w:r>
              <w:rPr>
                <w:rFonts w:ascii="Arial" w:cs="Arial" w:eastAsia="Arial" w:hAnsi="Arial"/>
                <w:sz w:val="16"/>
                <w:szCs w:val="16"/>
                <w:b w:val="1"/>
                <w:bCs w:val="1"/>
                <w:color w:val="auto"/>
              </w:rPr>
              <w:t>Subsidiary Issuer</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provided by (used in)</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117,433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128,282</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(25,552)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investing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93,300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100" w:type="dxa"/>
            <w:vAlign w:val="bottom"/>
          </w:tcPr>
          <w:p>
            <w:pPr>
              <w:ind w:left="340"/>
              <w:spacing w:after="0"/>
              <w:rPr>
                <w:sz w:val="20"/>
                <w:szCs w:val="20"/>
                <w:color w:val="auto"/>
              </w:rPr>
            </w:pPr>
            <w:r>
              <w:rPr>
                <w:rFonts w:ascii="Arial" w:cs="Arial" w:eastAsia="Arial" w:hAnsi="Arial"/>
                <w:sz w:val="16"/>
                <w:szCs w:val="16"/>
                <w:color w:val="auto"/>
              </w:rPr>
              <w:t>Net cash provided by (used in)</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340"/>
              <w:spacing w:after="0"/>
              <w:rPr>
                <w:sz w:val="20"/>
                <w:szCs w:val="20"/>
                <w:color w:val="auto"/>
              </w:rPr>
            </w:pPr>
            <w:r>
              <w:rPr>
                <w:rFonts w:ascii="Arial" w:cs="Arial" w:eastAsia="Arial" w:hAnsi="Arial"/>
                <w:sz w:val="16"/>
                <w:szCs w:val="16"/>
                <w:color w:val="auto"/>
              </w:rPr>
              <w:t>investing activities</w:t>
            </w: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93,300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(88,593)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(25,552)</w:t>
            </w:r>
          </w:p>
        </w:tc>
        <w:tc>
          <w:tcPr>
            <w:tcW w:w="0" w:type="dxa"/>
            <w:vAlign w:val="bottom"/>
          </w:tcPr>
          <w:p>
            <w:pPr>
              <w:spacing w:after="0"/>
              <w:rPr>
                <w:sz w:val="1"/>
                <w:szCs w:val="1"/>
                <w:color w:val="auto"/>
              </w:rPr>
            </w:pPr>
          </w:p>
        </w:tc>
      </w:tr>
      <w:tr>
        <w:trPr>
          <w:trHeight w:val="33"/>
        </w:trPr>
        <w:tc>
          <w:tcPr>
            <w:tcW w:w="3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3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Intercompany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(17,032)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(17,032)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benefit from stock-based</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compensation</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3,144</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(71,561)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(71,561)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Withholdings from vestings of restricted</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w:t>
            </w:r>
          </w:p>
        </w:tc>
        <w:tc>
          <w:tcPr>
            <w:tcW w:w="2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(8,454)</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w w:val="99"/>
              </w:rPr>
              <w:t>Proceeds from exercises of stock options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3,747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3,747</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(used in) provided by</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(93,300)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(90,156)</w:t>
            </w:r>
          </w:p>
        </w:tc>
        <w:tc>
          <w:tcPr>
            <w:tcW w:w="0" w:type="dxa"/>
            <w:vAlign w:val="bottom"/>
          </w:tcPr>
          <w:p>
            <w:pPr>
              <w:spacing w:after="0"/>
              <w:rPr>
                <w:sz w:val="1"/>
                <w:szCs w:val="1"/>
                <w:color w:val="auto"/>
              </w:rPr>
            </w:pP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13,932</w:t>
            </w:r>
          </w:p>
        </w:tc>
        <w:tc>
          <w:tcPr>
            <w:tcW w:w="0" w:type="dxa"/>
            <w:vAlign w:val="bottom"/>
          </w:tcPr>
          <w:p>
            <w:pPr>
              <w:spacing w:after="0"/>
              <w:rPr>
                <w:sz w:val="1"/>
                <w:szCs w:val="1"/>
                <w:color w:val="auto"/>
              </w:rPr>
            </w:pPr>
          </w:p>
        </w:tc>
      </w:tr>
      <w:tr>
        <w:trPr>
          <w:trHeight w:val="200"/>
        </w:trPr>
        <w:tc>
          <w:tcPr>
            <w:tcW w:w="3100" w:type="dxa"/>
            <w:vAlign w:val="bottom"/>
          </w:tcPr>
          <w:p>
            <w:pPr>
              <w:ind w:left="40"/>
              <w:spacing w:after="0"/>
              <w:rPr>
                <w:sz w:val="20"/>
                <w:szCs w:val="20"/>
                <w:color w:val="auto"/>
              </w:rPr>
            </w:pPr>
            <w:r>
              <w:rPr>
                <w:rFonts w:ascii="Arial" w:cs="Arial" w:eastAsia="Arial" w:hAnsi="Arial"/>
                <w:sz w:val="16"/>
                <w:szCs w:val="16"/>
                <w:color w:val="auto"/>
              </w:rPr>
              <w:t>Cash and cash equivalents, beginning of</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40"/>
              <w:spacing w:after="0"/>
              <w:rPr>
                <w:sz w:val="20"/>
                <w:szCs w:val="20"/>
                <w:color w:val="auto"/>
              </w:rPr>
            </w:pPr>
            <w:r>
              <w:rPr>
                <w:rFonts w:ascii="Arial" w:cs="Arial" w:eastAsia="Arial" w:hAnsi="Arial"/>
                <w:sz w:val="16"/>
                <w:szCs w:val="16"/>
                <w:color w:val="auto"/>
              </w:rPr>
              <w:t>period</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325,771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14,652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40,786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381,209</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331,672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395,141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AND RESULTS OF OPERATIONS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2017 or any other future period, assessment of our performance and financial position, and drivers of our sales and earnings growth.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under the heading "Risk Factors" in our most recently filed Annual Report on Form 10-K and other reports filed with the Securities and Exchange Commission from time to time.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 xml:space="preserve">We are the largest branded marketer in the United States ("U.S.") and in Canada of apparel exclusively for babies and young children. We own the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and </w:t>
      </w:r>
      <w:r>
        <w:rPr>
          <w:rFonts w:ascii="Arial" w:cs="Arial" w:eastAsia="Arial" w:hAnsi="Arial"/>
          <w:sz w:val="17"/>
          <w:szCs w:val="17"/>
          <w:i w:val="1"/>
          <w:iCs w:val="1"/>
          <w:color w:val="auto"/>
        </w:rPr>
        <w:t>OshKosh B'gosh</w:t>
      </w:r>
      <w:r>
        <w:rPr>
          <w:rFonts w:ascii="Arial" w:cs="Arial" w:eastAsia="Arial" w:hAnsi="Arial"/>
          <w:sz w:val="17"/>
          <w:szCs w:val="17"/>
          <w:color w:val="auto"/>
        </w:rPr>
        <w:t xml:space="preserv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brands, two of the most recognized brands in the marketplace. Established in 1865, our </w:t>
      </w:r>
      <w:r>
        <w:rPr>
          <w:rFonts w:ascii="Arial" w:cs="Arial" w:eastAsia="Arial" w:hAnsi="Arial"/>
          <w:sz w:val="17"/>
          <w:szCs w:val="17"/>
          <w:i w:val="1"/>
          <w:iCs w:val="1"/>
          <w:color w:val="auto"/>
        </w:rPr>
        <w:t>Carter's</w:t>
      </w:r>
      <w:r>
        <w:rPr>
          <w:rFonts w:ascii="Arial" w:cs="Arial" w:eastAsia="Arial" w:hAnsi="Arial"/>
          <w:sz w:val="17"/>
          <w:szCs w:val="17"/>
          <w:color w:val="auto"/>
        </w:rPr>
        <w:t xml:space="preserve"> brand is recognized and trusted by consumers for high-quality apparel and accessories for children sizes newborn to eight. Established in 1895,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is a well-known brand, trusted by consumers for apparel and accessories for children sizes newborn to 14, with a focus on playclothes for toddlers and young children. Given each brand's product category emphasis and brand aesthetic, we believe they provide a complementary product offering. We have extensive experience in the young children's apparel market and focus on delivering products that satisfy our consumers' needs.</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market high-quality products at an attractive value proposition for consumers, and offer multiple product categories. Our multi-channel international business model - retail stores, online and wholesale - enables us to reach a broad range of consumers around the world.</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acquired 100% ownership in Skip Hop Holdings, Inc. and its subsidiaries ("Skip Hop") after the close of business on February 22, 2017. The balance sheet, results of operations and cash flows for Skip Hop are included in our consolidated financial statements beginning on February 23, 2017. Skip Hop's products are sold in U.S. and international wholesale and eCommerce channels primarily to families with young children, and the product lines include diaper bags, kid’s backpacks, travel accessories, home gear, and hardline goods for playtime, mealtime, and bath time.</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2016 fiscal year ended December 31, 2016.</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At the beginning of fiscal 2017, we combined our Carter's Retail and OshKosh Retail into a single U.S. Retail operating segment, and our Carter's Wholesale and OshKosh Wholesale into a single U.S. Wholesale operating segment, to reflect the sales-channel approach executive management now uses to evaluate business performance and manage operations in the U.S. Our International segment was not affected by these changes. Our reportable segments are now U.S. Retail, U.S. Wholesale, and International. Prior periods have been conformed to reflect our current segment structure.</w:t>
      </w:r>
    </w:p>
    <w:p>
      <w:pPr>
        <w:spacing w:after="0" w:line="15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 xml:space="preserve">Our U.S. Retail segment consists of revenue from sales of products in the United States, including </w:t>
      </w:r>
      <w:r>
        <w:rPr>
          <w:rFonts w:ascii="Arial" w:cs="Arial" w:eastAsia="Arial" w:hAnsi="Arial"/>
          <w:sz w:val="17"/>
          <w:szCs w:val="17"/>
          <w:i w:val="1"/>
          <w:iCs w:val="1"/>
          <w:color w:val="auto"/>
        </w:rPr>
        <w:t>Carter’s, 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products, through our retail and online stores. Similarly, our U.S. Wholesale segment consists of revenue from sales in the United States of </w:t>
      </w:r>
      <w:r>
        <w:rPr>
          <w:rFonts w:ascii="Arial" w:cs="Arial" w:eastAsia="Arial" w:hAnsi="Arial"/>
          <w:sz w:val="17"/>
          <w:szCs w:val="17"/>
          <w:i w:val="1"/>
          <w:iCs w:val="1"/>
          <w:color w:val="auto"/>
        </w:rPr>
        <w:t>Carter’s, 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products, respectively, through our wholesale partners. Finally, our International segment consists of income from sales of </w:t>
      </w:r>
      <w:r>
        <w:rPr>
          <w:rFonts w:ascii="Arial" w:cs="Arial" w:eastAsia="Arial" w:hAnsi="Arial"/>
          <w:sz w:val="17"/>
          <w:szCs w:val="17"/>
          <w:i w:val="1"/>
          <w:iCs w:val="1"/>
          <w:color w:val="auto"/>
        </w:rPr>
        <w:t>Carter’s, 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products through retail and online stores outside the United States, primarily through our retail and online stores in Canada and stores operated by our international partners, as well as sales to our international wholesale partners.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4" w:right="239" w:bottom="1440" w:gutter="0" w:footer="0" w:header="0"/>
        </w:sectPr>
      </w:pPr>
    </w:p>
    <w:bookmarkStart w:id="31" w:name="page32"/>
    <w:bookmarkEnd w:id="31"/>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selected statement of operations data expressed as a percentage of consolidated net sales:</w:t>
      </w:r>
    </w:p>
    <w:p>
      <w:pPr>
        <w:spacing w:after="0" w:line="208" w:lineRule="exact"/>
        <w:rPr>
          <w:sz w:val="20"/>
          <w:szCs w:val="20"/>
          <w:color w:val="auto"/>
        </w:rPr>
      </w:pPr>
    </w:p>
    <w:p>
      <w:pPr>
        <w:ind w:left="7400"/>
        <w:spacing w:after="0"/>
        <w:rPr>
          <w:sz w:val="20"/>
          <w:szCs w:val="20"/>
          <w:color w:val="auto"/>
        </w:rPr>
      </w:pPr>
      <w:r>
        <w:rPr>
          <w:rFonts w:ascii="Arial" w:cs="Arial" w:eastAsia="Arial" w:hAnsi="Arial"/>
          <w:sz w:val="16"/>
          <w:szCs w:val="16"/>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37465</wp:posOffset>
            </wp:positionV>
            <wp:extent cx="21355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66" w:lineRule="exact"/>
        <w:rPr>
          <w:sz w:val="20"/>
          <w:szCs w:val="20"/>
          <w:color w:val="auto"/>
        </w:rPr>
      </w:pPr>
    </w:p>
    <w:tbl>
      <w:tblPr>
        <w:tblLayout w:type="fixed"/>
        <w:tblInd w:w="16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100" w:type="dxa"/>
            <w:vAlign w:val="bottom"/>
          </w:tcPr>
          <w:p>
            <w:pPr>
              <w:jc w:val="center"/>
              <w:ind w:left="479"/>
              <w:spacing w:after="0"/>
              <w:rPr>
                <w:sz w:val="20"/>
                <w:szCs w:val="20"/>
                <w:color w:val="auto"/>
              </w:rPr>
            </w:pPr>
            <w:r>
              <w:rPr>
                <w:rFonts w:ascii="Arial" w:cs="Arial" w:eastAsia="Arial" w:hAnsi="Arial"/>
                <w:sz w:val="16"/>
                <w:szCs w:val="16"/>
                <w:b w:val="1"/>
                <w:bCs w:val="1"/>
                <w:color w:val="auto"/>
                <w:w w:val="99"/>
              </w:rPr>
              <w:t>April 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459"/>
              <w:spacing w:after="0"/>
              <w:rPr>
                <w:sz w:val="20"/>
                <w:szCs w:val="20"/>
                <w:color w:val="auto"/>
              </w:rPr>
            </w:pPr>
            <w:r>
              <w:rPr>
                <w:rFonts w:ascii="Arial" w:cs="Arial" w:eastAsia="Arial" w:hAnsi="Arial"/>
                <w:sz w:val="16"/>
                <w:szCs w:val="16"/>
                <w:b w:val="1"/>
                <w:bCs w:val="1"/>
                <w:color w:val="auto"/>
              </w:rPr>
              <w:t>April 2,</w:t>
            </w:r>
          </w:p>
        </w:tc>
      </w:tr>
      <w:tr>
        <w:trPr>
          <w:trHeight w:val="210"/>
        </w:trPr>
        <w:tc>
          <w:tcPr>
            <w:tcW w:w="58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U.S. Wholesale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40.3 %</w:t>
            </w:r>
          </w:p>
        </w:tc>
      </w:tr>
      <w:tr>
        <w:trPr>
          <w:trHeight w:val="237"/>
        </w:trPr>
        <w:tc>
          <w:tcPr>
            <w:tcW w:w="20" w:type="dxa"/>
            <w:vAlign w:val="bottom"/>
          </w:tcPr>
          <w:p>
            <w:pPr>
              <w:spacing w:after="0"/>
              <w:rPr>
                <w:sz w:val="20"/>
                <w:szCs w:val="20"/>
                <w:color w:val="auto"/>
              </w:rPr>
            </w:pPr>
          </w:p>
        </w:tc>
        <w:tc>
          <w:tcPr>
            <w:tcW w:w="5840" w:type="dxa"/>
            <w:vAlign w:val="bottom"/>
            <w:gridSpan w:val="3"/>
          </w:tcPr>
          <w:p>
            <w:pPr>
              <w:spacing w:after="0"/>
              <w:rPr>
                <w:sz w:val="20"/>
                <w:szCs w:val="20"/>
                <w:color w:val="auto"/>
              </w:rPr>
            </w:pPr>
            <w:r>
              <w:rPr>
                <w:rFonts w:ascii="Arial" w:cs="Arial" w:eastAsia="Arial" w:hAnsi="Arial"/>
                <w:sz w:val="16"/>
                <w:szCs w:val="16"/>
                <w:color w:val="auto"/>
              </w:rPr>
              <w:t>U.S. Retail</w:t>
            </w:r>
          </w:p>
        </w:tc>
        <w:tc>
          <w:tcPr>
            <w:tcW w:w="600" w:type="dxa"/>
            <w:vAlign w:val="bottom"/>
          </w:tcPr>
          <w:p>
            <w:pPr>
              <w:jc w:val="right"/>
              <w:spacing w:after="0"/>
              <w:rPr>
                <w:sz w:val="20"/>
                <w:szCs w:val="20"/>
                <w:color w:val="auto"/>
              </w:rPr>
            </w:pPr>
            <w:r>
              <w:rPr>
                <w:rFonts w:ascii="Arial" w:cs="Arial" w:eastAsia="Arial" w:hAnsi="Arial"/>
                <w:sz w:val="16"/>
                <w:szCs w:val="16"/>
                <w:color w:val="auto"/>
              </w:rPr>
              <w:t>49.6 %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48.9 %</w:t>
            </w: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International</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183"/>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Consolidated net sales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20" w:type="dxa"/>
            <w:vAlign w:val="bottom"/>
          </w:tcPr>
          <w:p>
            <w:pPr>
              <w:spacing w:after="0"/>
              <w:rPr>
                <w:sz w:val="20"/>
                <w:szCs w:val="20"/>
                <w:color w:val="auto"/>
              </w:rPr>
            </w:pPr>
          </w:p>
        </w:tc>
        <w:tc>
          <w:tcPr>
            <w:tcW w:w="5840" w:type="dxa"/>
            <w:vAlign w:val="bottom"/>
            <w:gridSpan w:val="3"/>
          </w:tcPr>
          <w:p>
            <w:pPr>
              <w:spacing w:after="0"/>
              <w:rPr>
                <w:sz w:val="20"/>
                <w:szCs w:val="20"/>
                <w:color w:val="auto"/>
              </w:rPr>
            </w:pPr>
            <w:r>
              <w:rPr>
                <w:rFonts w:ascii="Arial" w:cs="Arial" w:eastAsia="Arial" w:hAnsi="Arial"/>
                <w:sz w:val="16"/>
                <w:szCs w:val="16"/>
                <w:color w:val="auto"/>
              </w:rPr>
              <w:t>Cost of goods sold</w:t>
            </w:r>
          </w:p>
        </w:tc>
        <w:tc>
          <w:tcPr>
            <w:tcW w:w="600" w:type="dxa"/>
            <w:vAlign w:val="bottom"/>
          </w:tcPr>
          <w:p>
            <w:pPr>
              <w:jc w:val="right"/>
              <w:spacing w:after="0"/>
              <w:rPr>
                <w:sz w:val="20"/>
                <w:szCs w:val="20"/>
                <w:color w:val="auto"/>
              </w:rPr>
            </w:pPr>
            <w:r>
              <w:rPr>
                <w:rFonts w:ascii="Arial" w:cs="Arial" w:eastAsia="Arial" w:hAnsi="Arial"/>
                <w:sz w:val="16"/>
                <w:szCs w:val="16"/>
                <w:color w:val="auto"/>
              </w:rPr>
              <w:t>56.9 %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57.1 %</w:t>
            </w:r>
          </w:p>
        </w:tc>
      </w:tr>
      <w:tr>
        <w:trPr>
          <w:trHeight w:val="33"/>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5840" w:type="dxa"/>
            <w:vAlign w:val="bottom"/>
            <w:gridSpan w:val="3"/>
          </w:tcPr>
          <w:p>
            <w:pPr>
              <w:spacing w:after="0"/>
              <w:rPr>
                <w:sz w:val="20"/>
                <w:szCs w:val="20"/>
                <w:color w:val="auto"/>
              </w:rPr>
            </w:pPr>
            <w:r>
              <w:rPr>
                <w:rFonts w:ascii="Arial" w:cs="Arial" w:eastAsia="Arial" w:hAnsi="Arial"/>
                <w:sz w:val="16"/>
                <w:szCs w:val="16"/>
                <w:color w:val="auto"/>
              </w:rPr>
              <w:t>Gross margin</w:t>
            </w:r>
          </w:p>
        </w:tc>
        <w:tc>
          <w:tcPr>
            <w:tcW w:w="600" w:type="dxa"/>
            <w:vAlign w:val="bottom"/>
          </w:tcPr>
          <w:p>
            <w:pPr>
              <w:jc w:val="right"/>
              <w:spacing w:after="0"/>
              <w:rPr>
                <w:sz w:val="20"/>
                <w:szCs w:val="20"/>
                <w:color w:val="auto"/>
              </w:rPr>
            </w:pPr>
            <w:r>
              <w:rPr>
                <w:rFonts w:ascii="Arial" w:cs="Arial" w:eastAsia="Arial" w:hAnsi="Arial"/>
                <w:sz w:val="16"/>
                <w:szCs w:val="16"/>
                <w:color w:val="auto"/>
              </w:rPr>
              <w:t>43.1 %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42.9 %</w:t>
            </w: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31.6 %</w:t>
            </w:r>
          </w:p>
        </w:tc>
      </w:tr>
      <w:tr>
        <w:trPr>
          <w:trHeight w:val="237"/>
        </w:trPr>
        <w:tc>
          <w:tcPr>
            <w:tcW w:w="20" w:type="dxa"/>
            <w:vAlign w:val="bottom"/>
          </w:tcPr>
          <w:p>
            <w:pPr>
              <w:spacing w:after="0"/>
              <w:rPr>
                <w:sz w:val="20"/>
                <w:szCs w:val="20"/>
                <w:color w:val="auto"/>
              </w:rPr>
            </w:pPr>
          </w:p>
        </w:tc>
        <w:tc>
          <w:tcPr>
            <w:tcW w:w="5840" w:type="dxa"/>
            <w:vAlign w:val="bottom"/>
            <w:gridSpan w:val="3"/>
          </w:tcPr>
          <w:p>
            <w:pPr>
              <w:spacing w:after="0"/>
              <w:rPr>
                <w:sz w:val="20"/>
                <w:szCs w:val="20"/>
                <w:color w:val="auto"/>
              </w:rPr>
            </w:pPr>
            <w:r>
              <w:rPr>
                <w:rFonts w:ascii="Arial" w:cs="Arial" w:eastAsia="Arial" w:hAnsi="Arial"/>
                <w:sz w:val="16"/>
                <w:szCs w:val="16"/>
                <w:color w:val="auto"/>
              </w:rPr>
              <w:t>Royalty income</w:t>
            </w: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840" w:type="dxa"/>
            <w:vAlign w:val="bottom"/>
            <w:gridSpan w:val="3"/>
          </w:tcPr>
          <w:p>
            <w:pPr>
              <w:spacing w:after="0"/>
              <w:rPr>
                <w:sz w:val="20"/>
                <w:szCs w:val="20"/>
                <w:color w:val="auto"/>
              </w:rPr>
            </w:pPr>
            <w:r>
              <w:rPr>
                <w:rFonts w:ascii="Arial" w:cs="Arial" w:eastAsia="Arial" w:hAnsi="Arial"/>
                <w:sz w:val="16"/>
                <w:szCs w:val="16"/>
                <w:color w:val="auto"/>
              </w:rPr>
              <w:t>Operating income</w:t>
            </w:r>
          </w:p>
        </w:tc>
        <w:tc>
          <w:tcPr>
            <w:tcW w:w="600" w:type="dxa"/>
            <w:vAlign w:val="bottom"/>
          </w:tcPr>
          <w:p>
            <w:pPr>
              <w:jc w:val="right"/>
              <w:spacing w:after="0"/>
              <w:rPr>
                <w:sz w:val="20"/>
                <w:szCs w:val="20"/>
                <w:color w:val="auto"/>
              </w:rPr>
            </w:pPr>
            <w:r>
              <w:rPr>
                <w:rFonts w:ascii="Arial" w:cs="Arial" w:eastAsia="Arial" w:hAnsi="Arial"/>
                <w:sz w:val="16"/>
                <w:szCs w:val="16"/>
                <w:color w:val="auto"/>
              </w:rPr>
              <w:t>10.7 %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12.8 %</w:t>
            </w: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37"/>
        </w:trPr>
        <w:tc>
          <w:tcPr>
            <w:tcW w:w="20" w:type="dxa"/>
            <w:vAlign w:val="bottom"/>
          </w:tcPr>
          <w:p>
            <w:pPr>
              <w:spacing w:after="0"/>
              <w:rPr>
                <w:sz w:val="20"/>
                <w:szCs w:val="20"/>
                <w:color w:val="auto"/>
              </w:rPr>
            </w:pPr>
          </w:p>
        </w:tc>
        <w:tc>
          <w:tcPr>
            <w:tcW w:w="5840" w:type="dxa"/>
            <w:vAlign w:val="bottom"/>
            <w:gridSpan w:val="3"/>
          </w:tcPr>
          <w:p>
            <w:pPr>
              <w:spacing w:after="0"/>
              <w:rPr>
                <w:sz w:val="20"/>
                <w:szCs w:val="20"/>
                <w:color w:val="auto"/>
              </w:rPr>
            </w:pPr>
            <w:r>
              <w:rPr>
                <w:rFonts w:ascii="Arial" w:cs="Arial" w:eastAsia="Arial" w:hAnsi="Arial"/>
                <w:sz w:val="16"/>
                <w:szCs w:val="16"/>
                <w:color w:val="auto"/>
              </w:rPr>
              <w:t>Interest income</w:t>
            </w:r>
          </w:p>
        </w:tc>
        <w:tc>
          <w:tcPr>
            <w:tcW w:w="720" w:type="dxa"/>
            <w:vAlign w:val="bottom"/>
            <w:gridSpan w:val="2"/>
          </w:tcPr>
          <w:p>
            <w:pPr>
              <w:ind w:left="120"/>
              <w:spacing w:after="0"/>
              <w:rPr>
                <w:sz w:val="20"/>
                <w:szCs w:val="20"/>
                <w:color w:val="auto"/>
              </w:rPr>
            </w:pPr>
            <w:r>
              <w:rPr>
                <w:rFonts w:ascii="Arial" w:cs="Arial" w:eastAsia="Arial" w:hAnsi="Arial"/>
                <w:sz w:val="16"/>
                <w:szCs w:val="16"/>
                <w:color w:val="auto"/>
              </w:rPr>
              <w:t>n/m</w:t>
            </w:r>
          </w:p>
        </w:tc>
        <w:tc>
          <w:tcPr>
            <w:tcW w:w="1540" w:type="dxa"/>
            <w:vAlign w:val="bottom"/>
          </w:tcPr>
          <w:p>
            <w:pPr>
              <w:jc w:val="right"/>
              <w:ind w:right="139"/>
              <w:spacing w:after="0"/>
              <w:rPr>
                <w:sz w:val="20"/>
                <w:szCs w:val="20"/>
                <w:color w:val="auto"/>
              </w:rPr>
            </w:pPr>
            <w:r>
              <w:rPr>
                <w:rFonts w:ascii="Arial" w:cs="Arial" w:eastAsia="Arial" w:hAnsi="Arial"/>
                <w:sz w:val="16"/>
                <w:szCs w:val="16"/>
                <w:color w:val="auto"/>
              </w:rPr>
              <w:t>n/m</w:t>
            </w: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n/m</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183"/>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r>
      <w:tr>
        <w:trPr>
          <w:trHeight w:val="250"/>
        </w:trPr>
        <w:tc>
          <w:tcPr>
            <w:tcW w:w="58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r>
      <w:tr>
        <w:trPr>
          <w:trHeight w:val="237"/>
        </w:trPr>
        <w:tc>
          <w:tcPr>
            <w:tcW w:w="5860" w:type="dxa"/>
            <w:vAlign w:val="bottom"/>
            <w:gridSpan w:val="4"/>
          </w:tcPr>
          <w:p>
            <w:pPr>
              <w:spacing w:after="0"/>
              <w:rPr>
                <w:sz w:val="20"/>
                <w:szCs w:val="20"/>
                <w:color w:val="auto"/>
              </w:rPr>
            </w:pPr>
            <w:r>
              <w:rPr>
                <w:rFonts w:ascii="Arial" w:cs="Arial" w:eastAsia="Arial" w:hAnsi="Arial"/>
                <w:sz w:val="16"/>
                <w:szCs w:val="16"/>
                <w:color w:val="auto"/>
              </w:rPr>
              <w:t>Provision for income taxes</w:t>
            </w:r>
          </w:p>
        </w:tc>
        <w:tc>
          <w:tcPr>
            <w:tcW w:w="60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33"/>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20" w:type="dxa"/>
            <w:vAlign w:val="bottom"/>
            <w:shd w:val="clear" w:color="auto" w:fill="CCEEFF"/>
          </w:tcPr>
          <w:p>
            <w:pPr>
              <w:spacing w:after="0"/>
              <w:rPr>
                <w:sz w:val="21"/>
                <w:szCs w:val="21"/>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rounds to less than 0.1%, therefore not material.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Results may not be additive due to rounding.</w:t>
      </w:r>
    </w:p>
    <w:p>
      <w:pPr>
        <w:sectPr>
          <w:pgSz w:w="11900" w:h="16838" w:orient="portrait"/>
          <w:cols w:equalWidth="0" w:num="1">
            <w:col w:w="10480"/>
          </w:cols>
          <w:pgMar w:left="240" w:top="121"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480"/>
          </w:cols>
          <w:pgMar w:left="240" w:top="121" w:right="1179" w:bottom="1440" w:gutter="0" w:footer="0" w:header="0"/>
          <w:type w:val="continuous"/>
        </w:sectPr>
      </w:pPr>
    </w:p>
    <w:bookmarkStart w:id="32" w:name="page33"/>
    <w:bookmarkEnd w:id="32"/>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ENDED APRIL 1, 2017 COMPARED TO FISCAL QUARTER ENDED APRIL 2,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SALES</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the first quarter of fiscal 2017, consolidated net sales increased $8.7 million, or 1.2%, to $732.8 million from $724.1 million in the first quarter of fiscal 2016. The increase was primarily driven by higher eCommerce sales in our U.S. Retail segment. Changes in foreign currency exchange rates in the first quarter of fiscal 2017, as compared to the first quarter of fiscal 2016, had a favorable impact on our consolidated net sales of approximately $1.4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Net sales by segment, and each segment's percentage of consolidated net sales, were as follows:</w:t>
      </w:r>
    </w:p>
    <w:p>
      <w:pPr>
        <w:spacing w:after="0" w:line="388" w:lineRule="exact"/>
        <w:rPr>
          <w:sz w:val="20"/>
          <w:szCs w:val="20"/>
          <w:color w:val="auto"/>
        </w:rPr>
      </w:pPr>
    </w:p>
    <w:tbl>
      <w:tblPr>
        <w:tblLayout w:type="fixed"/>
        <w:tblInd w:w="24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5"/>
          </w:tcPr>
          <w:p>
            <w:pPr>
              <w:ind w:left="260"/>
              <w:spacing w:after="0"/>
              <w:rPr>
                <w:sz w:val="20"/>
                <w:szCs w:val="20"/>
                <w:color w:val="auto"/>
              </w:rPr>
            </w:pPr>
            <w:r>
              <w:rPr>
                <w:rFonts w:ascii="Arial" w:cs="Arial" w:eastAsia="Arial" w:hAnsi="Arial"/>
                <w:sz w:val="16"/>
                <w:szCs w:val="16"/>
                <w:b w:val="1"/>
                <w:bCs w:val="1"/>
                <w:color w:val="auto"/>
              </w:rPr>
              <w:t>Fiscal quarter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6"/>
                <w:szCs w:val="16"/>
                <w:color w:val="auto"/>
              </w:rPr>
              <w:t>(dollars in thousands)</w:t>
            </w: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April 1, 2017</w:t>
            </w:r>
          </w:p>
        </w:tc>
        <w:tc>
          <w:tcPr>
            <w:tcW w:w="102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6"/>
                <w:szCs w:val="16"/>
                <w:b w:val="1"/>
                <w:bCs w:val="1"/>
                <w:color w:val="auto"/>
              </w:rPr>
              <w:t>April 2, 2016</w:t>
            </w:r>
          </w:p>
        </w:tc>
        <w:tc>
          <w:tcPr>
            <w:tcW w:w="102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sales:</w:t>
            </w: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0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U.S. Wholesale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292,555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292,054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Arial" w:cs="Arial" w:eastAsia="Arial" w:hAnsi="Arial"/>
                <w:sz w:val="16"/>
                <w:szCs w:val="16"/>
                <w:color w:val="auto"/>
              </w:rPr>
              <w:t>U.S. Retail</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363,771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354,089</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76,429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77,942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20" w:type="dxa"/>
            <w:vAlign w:val="bottom"/>
            <w:gridSpan w:val="2"/>
          </w:tcPr>
          <w:p>
            <w:pPr>
              <w:ind w:left="320"/>
              <w:spacing w:after="0"/>
              <w:rPr>
                <w:sz w:val="20"/>
                <w:szCs w:val="20"/>
                <w:color w:val="auto"/>
              </w:rPr>
            </w:pPr>
            <w:r>
              <w:rPr>
                <w:rFonts w:ascii="Arial" w:cs="Arial" w:eastAsia="Arial" w:hAnsi="Arial"/>
                <w:sz w:val="16"/>
                <w:szCs w:val="16"/>
                <w:color w:val="auto"/>
              </w:rPr>
              <w:t>Total net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732,755</w:t>
            </w:r>
          </w:p>
        </w:tc>
        <w:tc>
          <w:tcPr>
            <w:tcW w:w="1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724,085</w:t>
            </w:r>
          </w:p>
        </w:tc>
        <w:tc>
          <w:tcPr>
            <w:tcW w:w="1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 SALES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U.S. Wholesale segment net sales increased $0.5 million, or 0.2%, in the first quarter of fiscal 2017 to $292.6 million from $292.1 million in the first quarter of fiscal 2016. For the post-acquisition period of February 23 to April 1, 2017, Skip Hop's wholesale sales were approximately $6.8 million. The increase in net sales was offset by a 1.8% decrease in the number of units shipped, as well as a decrease of 0.4% in the average price per unit for the remaining U.S. Wholesale business.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Count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Store count data for our U.S. Retail stores was as follows during the first quarter of fiscal 2017:</w:t>
      </w:r>
    </w:p>
    <w:p>
      <w:pPr>
        <w:spacing w:after="0" w:line="167" w:lineRule="exact"/>
        <w:rPr>
          <w:sz w:val="20"/>
          <w:szCs w:val="20"/>
          <w:color w:val="auto"/>
        </w:rPr>
      </w:pPr>
    </w:p>
    <w:tbl>
      <w:tblPr>
        <w:tblLayout w:type="fixed"/>
        <w:tblInd w:w="336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U.S. Retail</w:t>
            </w:r>
          </w:p>
        </w:tc>
      </w:tr>
      <w:tr>
        <w:trPr>
          <w:trHeight w:val="234"/>
        </w:trPr>
        <w:tc>
          <w:tcPr>
            <w:tcW w:w="3540" w:type="dxa"/>
            <w:vAlign w:val="bottom"/>
          </w:tcPr>
          <w:p>
            <w:pPr>
              <w:spacing w:after="0"/>
              <w:rPr>
                <w:sz w:val="20"/>
                <w:szCs w:val="20"/>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Stores</w:t>
            </w:r>
          </w:p>
        </w:tc>
      </w:tr>
      <w:tr>
        <w:trPr>
          <w:trHeight w:val="27"/>
        </w:trPr>
        <w:tc>
          <w:tcPr>
            <w:tcW w:w="3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3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Store count at December 31, 2016</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792</w:t>
            </w:r>
          </w:p>
        </w:tc>
      </w:tr>
      <w:tr>
        <w:trPr>
          <w:trHeight w:val="27"/>
        </w:trPr>
        <w:tc>
          <w:tcPr>
            <w:tcW w:w="3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Openings</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color w:val="auto"/>
              </w:rPr>
              <w:t>Closings</w:t>
            </w: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5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Store count at April 1, 2017</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802</w:t>
            </w:r>
          </w:p>
        </w:tc>
      </w:tr>
      <w:tr>
        <w:trPr>
          <w:trHeight w:val="20"/>
        </w:trPr>
        <w:tc>
          <w:tcPr>
            <w:tcW w:w="35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92"/>
        </w:trPr>
        <w:tc>
          <w:tcPr>
            <w:tcW w:w="35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Approximate new store projections for all of</w:t>
            </w:r>
          </w:p>
        </w:tc>
        <w:tc>
          <w:tcPr>
            <w:tcW w:w="1180" w:type="dxa"/>
            <w:vAlign w:val="bottom"/>
            <w:shd w:val="clear" w:color="auto" w:fill="CCEEFF"/>
          </w:tcPr>
          <w:p>
            <w:pPr>
              <w:spacing w:after="0"/>
              <w:rPr>
                <w:sz w:val="18"/>
                <w:szCs w:val="18"/>
                <w:color w:val="auto"/>
              </w:rPr>
            </w:pPr>
          </w:p>
        </w:tc>
      </w:tr>
      <w:tr>
        <w:trPr>
          <w:trHeight w:val="223"/>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fiscal 2017:</w:t>
            </w:r>
          </w:p>
        </w:tc>
        <w:tc>
          <w:tcPr>
            <w:tcW w:w="1180" w:type="dxa"/>
            <w:vAlign w:val="bottom"/>
            <w:tcBorders>
              <w:bottom w:val="single" w:sz="8" w:color="CCEEFF"/>
            </w:tcBorders>
            <w:shd w:val="clear" w:color="auto" w:fill="CCEEFF"/>
          </w:tcPr>
          <w:p>
            <w:pPr>
              <w:spacing w:after="0"/>
              <w:rPr>
                <w:sz w:val="19"/>
                <w:szCs w:val="19"/>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6"/>
                <w:szCs w:val="16"/>
                <w:color w:val="auto"/>
              </w:rPr>
              <w:t>Openings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3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Closings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5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00"/>
          </w:cols>
          <w:pgMar w:left="24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00"/>
          </w:cols>
          <w:pgMar w:left="240" w:top="121" w:right="359" w:bottom="1440" w:gutter="0" w:footer="0" w:header="0"/>
          <w:type w:val="continuous"/>
        </w:sectPr>
      </w:pPr>
    </w:p>
    <w:bookmarkStart w:id="33" w:name="page34"/>
    <w:bookmarkEnd w:id="33"/>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the first quarter of fiscal 2016 to the first quarter of fiscal 2017, changes in comparable sales for our U.S. Retail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100330</wp:posOffset>
            </wp:positionV>
            <wp:extent cx="238379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171450"/>
                    </a:xfrm>
                    <a:prstGeom prst="rect">
                      <a:avLst/>
                    </a:prstGeom>
                    <a:noFill/>
                  </pic:spPr>
                </pic:pic>
              </a:graphicData>
            </a:graphic>
          </wp:anchor>
        </w:drawing>
      </w:r>
    </w:p>
    <w:p>
      <w:pPr>
        <w:spacing w:after="0" w:line="214" w:lineRule="exact"/>
        <w:rPr>
          <w:sz w:val="20"/>
          <w:szCs w:val="20"/>
          <w:color w:val="auto"/>
        </w:rPr>
      </w:pPr>
    </w:p>
    <w:p>
      <w:pPr>
        <w:ind w:left="4460"/>
        <w:spacing w:after="0"/>
        <w:rPr>
          <w:sz w:val="20"/>
          <w:szCs w:val="20"/>
          <w:color w:val="auto"/>
        </w:rPr>
      </w:pPr>
      <w:r>
        <w:rPr>
          <w:rFonts w:ascii="Arial" w:cs="Arial" w:eastAsia="Arial" w:hAnsi="Arial"/>
          <w:sz w:val="14"/>
          <w:szCs w:val="14"/>
          <w:i w:val="1"/>
          <w:iCs w:val="1"/>
          <w:color w:val="auto"/>
        </w:rPr>
        <w:t>Increase (Decrease)</w:t>
      </w:r>
    </w:p>
    <w:p>
      <w:pPr>
        <w:spacing w:after="0" w:line="249" w:lineRule="exact"/>
        <w:rPr>
          <w:sz w:val="20"/>
          <w:szCs w:val="20"/>
          <w:color w:val="auto"/>
        </w:rPr>
      </w:pPr>
    </w:p>
    <w:tbl>
      <w:tblPr>
        <w:tblLayout w:type="fixed"/>
        <w:tblInd w:w="3840" w:type="dxa"/>
        <w:tblCellMar>
          <w:top w:w="0" w:type="dxa"/>
          <w:left w:w="0" w:type="dxa"/>
          <w:bottom w:w="0" w:type="dxa"/>
          <w:right w:w="0" w:type="dxa"/>
        </w:tblCellMar>
      </w:tblPr>
      <w:tr>
        <w:trPr>
          <w:trHeight w:val="250"/>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Retail stores</w:t>
            </w:r>
          </w:p>
        </w:tc>
        <w:tc>
          <w:tcPr>
            <w:tcW w:w="2020" w:type="dxa"/>
            <w:vAlign w:val="bottom"/>
            <w:tcBorders>
              <w:bottom w:val="single" w:sz="8" w:color="CCEEFF"/>
            </w:tcBorders>
            <w:shd w:val="clear" w:color="auto" w:fill="CCEEFF"/>
          </w:tcPr>
          <w:p>
            <w:pPr>
              <w:jc w:val="center"/>
              <w:ind w:left="279"/>
              <w:spacing w:after="0"/>
              <w:rPr>
                <w:sz w:val="20"/>
                <w:szCs w:val="20"/>
                <w:color w:val="auto"/>
              </w:rPr>
            </w:pPr>
            <w:r>
              <w:rPr>
                <w:rFonts w:ascii="Arial" w:cs="Arial" w:eastAsia="Arial" w:hAnsi="Arial"/>
                <w:sz w:val="16"/>
                <w:szCs w:val="16"/>
                <w:color w:val="auto"/>
                <w:w w:val="96"/>
              </w:rPr>
              <w:t>(10.4)%</w:t>
            </w:r>
          </w:p>
        </w:tc>
      </w:tr>
      <w:tr>
        <w:trPr>
          <w:trHeight w:val="237"/>
        </w:trPr>
        <w:tc>
          <w:tcPr>
            <w:tcW w:w="1740" w:type="dxa"/>
            <w:vAlign w:val="bottom"/>
          </w:tcPr>
          <w:p>
            <w:pPr>
              <w:ind w:left="20"/>
              <w:spacing w:after="0"/>
              <w:rPr>
                <w:sz w:val="20"/>
                <w:szCs w:val="20"/>
                <w:color w:val="auto"/>
              </w:rPr>
            </w:pPr>
            <w:r>
              <w:rPr>
                <w:rFonts w:ascii="Arial" w:cs="Arial" w:eastAsia="Arial" w:hAnsi="Arial"/>
                <w:sz w:val="16"/>
                <w:szCs w:val="16"/>
                <w:color w:val="auto"/>
              </w:rPr>
              <w:t>eCommerce</w:t>
            </w:r>
          </w:p>
        </w:tc>
        <w:tc>
          <w:tcPr>
            <w:tcW w:w="2020" w:type="dxa"/>
            <w:vAlign w:val="bottom"/>
          </w:tcPr>
          <w:p>
            <w:pPr>
              <w:jc w:val="center"/>
              <w:ind w:left="279"/>
              <w:spacing w:after="0"/>
              <w:rPr>
                <w:sz w:val="20"/>
                <w:szCs w:val="20"/>
                <w:color w:val="auto"/>
              </w:rPr>
            </w:pPr>
            <w:r>
              <w:rPr>
                <w:rFonts w:ascii="Arial" w:cs="Arial" w:eastAsia="Arial" w:hAnsi="Arial"/>
                <w:sz w:val="16"/>
                <w:szCs w:val="16"/>
                <w:color w:val="auto"/>
                <w:w w:val="91"/>
              </w:rPr>
              <w:t>+19.9%</w:t>
            </w:r>
          </w:p>
        </w:tc>
      </w:tr>
      <w:tr>
        <w:trPr>
          <w:trHeight w:val="33"/>
        </w:trPr>
        <w:tc>
          <w:tcPr>
            <w:tcW w:w="17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2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w w:val="97"/>
              </w:rPr>
              <w:t>(3.5)%</w:t>
            </w:r>
          </w:p>
        </w:tc>
      </w:tr>
      <w:tr>
        <w:trPr>
          <w:trHeight w:val="33"/>
        </w:trPr>
        <w:tc>
          <w:tcPr>
            <w:tcW w:w="17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decrease in comparable retail store sales during the first quarter of fiscal 2017 compared to the first quarter of fiscal 2016 was primarily due to a decrease in the number of transactions and a lower price per unit. We believe this resulted from delays for certain income tax refunds and the shift of the Easter holiday from first quarter to second quarter. The increase in eCommerce comparable sales during first quarter of fiscal 2017 compared to the first quarter of fiscal 2016 was primarily due to an increase in the number of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Results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U.S. Retail segment net sales increased $9.7 million, or 2.7%, in the first quarter of fiscal 2017 to $363.8 million from $354.1 million in the first quarter of fiscal 2016. This increase in net sales primarily reflected a/an:</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of $20.5 million from new and non-comparable store sales;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of $17.3 million from eCommerce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of $0.4 million from Skip Hop eCommerce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 of $28.3 million in comparable store sales;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 of $2.9 million due to the impact of store closings.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SALES</w:t>
      </w:r>
    </w:p>
    <w:p>
      <w:pPr>
        <w:spacing w:after="0" w:line="225"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International segment net sales decreased $1.5 million, or 1.9%, in the first quarter of fiscal 2017 to $76.4 million from $77.9 million in the first quarter of fiscal 2016. Changes in foreign currency exchange rates, primarily between the U.S. dollar and the Canadian dollar, had a favorable impact on International segment net sales of approximately $1.4 million in the first quarter of fiscal 2017 compared to the first quarter of fiscal 2016. For the post-acquisition period of February 23 to April 1, 2017, Skip Hop's international sales were approximately $3.3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$1.5 million decrease in net sales in the International segment primarily reflected a:</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of $4.6 million from our Canada, China, and Skip Hop wholesale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 of $7.9 million from our other international wholesale partners in certain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of $1.8 million from eCommerce, primarily from our websites in Canada and China.</w:t>
      </w:r>
    </w:p>
    <w:p>
      <w:pPr>
        <w:spacing w:after="0" w:line="200" w:lineRule="exact"/>
        <w:rPr>
          <w:sz w:val="20"/>
          <w:szCs w:val="20"/>
          <w:color w:val="auto"/>
        </w:rPr>
      </w:pPr>
    </w:p>
    <w:p>
      <w:pPr>
        <w:spacing w:after="0" w:line="22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Compared to the first quarter of fiscal 2016, our Canadian total retail comparable sales decreased 8.0% in the first quarter of fiscal 2017, primarily due to eCommerce comparable sales growth of 40.1%, which was more than offset by retail stores comparable sales decline of 11.7%.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Count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Store count data for our Canada retail stores was as follows during the first quarter of fiscal 2017:</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4" w:name="page35"/>
    <w:bookmarkEnd w:id="34"/>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34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4"/>
              </w:rPr>
              <w:t>Canada Retail</w:t>
            </w:r>
          </w:p>
        </w:tc>
      </w:tr>
      <w:tr>
        <w:trPr>
          <w:trHeight w:val="234"/>
        </w:trPr>
        <w:tc>
          <w:tcPr>
            <w:tcW w:w="3580" w:type="dxa"/>
            <w:vAlign w:val="bottom"/>
          </w:tcPr>
          <w:p>
            <w:pPr>
              <w:spacing w:after="0"/>
              <w:rPr>
                <w:sz w:val="20"/>
                <w:szCs w:val="20"/>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Stores</w:t>
            </w:r>
          </w:p>
        </w:tc>
      </w:tr>
      <w:tr>
        <w:trPr>
          <w:trHeight w:val="27"/>
        </w:trPr>
        <w:tc>
          <w:tcPr>
            <w:tcW w:w="35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3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Store count at December 31, 2016</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164</w:t>
            </w:r>
          </w:p>
        </w:tc>
      </w:tr>
      <w:tr>
        <w:trPr>
          <w:trHeight w:val="27"/>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Openings</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color w:val="auto"/>
              </w:rPr>
              <w:t>Closings</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5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Store count at April 1, 2017</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0"/>
        </w:trPr>
        <w:tc>
          <w:tcPr>
            <w:tcW w:w="3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92"/>
        </w:trPr>
        <w:tc>
          <w:tcPr>
            <w:tcW w:w="3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Approximate new store projections for all of</w:t>
            </w:r>
          </w:p>
        </w:tc>
        <w:tc>
          <w:tcPr>
            <w:tcW w:w="1180" w:type="dxa"/>
            <w:vAlign w:val="bottom"/>
            <w:shd w:val="clear" w:color="auto" w:fill="CCEEFF"/>
          </w:tcPr>
          <w:p>
            <w:pPr>
              <w:spacing w:after="0"/>
              <w:rPr>
                <w:sz w:val="18"/>
                <w:szCs w:val="18"/>
                <w:color w:val="auto"/>
              </w:rPr>
            </w:pPr>
          </w:p>
        </w:tc>
      </w:tr>
      <w:tr>
        <w:trPr>
          <w:trHeight w:val="223"/>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fiscal 2017:</w:t>
            </w:r>
          </w:p>
        </w:tc>
        <w:tc>
          <w:tcPr>
            <w:tcW w:w="1180" w:type="dxa"/>
            <w:vAlign w:val="bottom"/>
            <w:tcBorders>
              <w:bottom w:val="single" w:sz="8" w:color="CCEEFF"/>
            </w:tcBorders>
            <w:shd w:val="clear" w:color="auto" w:fill="CCEEFF"/>
          </w:tcPr>
          <w:p>
            <w:pPr>
              <w:spacing w:after="0"/>
              <w:rPr>
                <w:sz w:val="19"/>
                <w:szCs w:val="19"/>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color w:val="auto"/>
              </w:rPr>
              <w:t>Openings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Closings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5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AND GROSS PROFIT</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consolidated gross margin increased from 42.9% in the first quarter of fiscal 2016 to 43.1% in the first quarter of fiscal 2017, primarily due to a shift to higher margin retail business, lower inventory charges, and lower product costs. Our consolidated gross profit increased $4.9 million, or 1.6%, to $315.8 million in the first quarter of fiscal 2017 from $310.9 million in the first quarter of fiscal 2016 primarily due to the increase in sales.</w:t>
      </w:r>
    </w:p>
    <w:p>
      <w:pPr>
        <w:spacing w:after="0" w:line="16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include distribution costs in selling, general, and administrative ("SG&amp;A") expenses. Accordingly, our gross margin and gross profit may not be comparable to other entities that include such distribution costs in their cost of goods sold.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5"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Consolidated SG&amp;A expenses in the first quarter of fiscal 2017 increased $18.8 million, or 8.2%, to $247.8 million from $229.0 million in the first quarter of fiscal 2016. As a percentage of net sales, SG&amp;A expenses increased from 31.6% in the first quarter of fiscal 2016 to 33.8% in the first quarter of fiscal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SG&amp;A expenses, as a percentage of net sales, in the first quarter of fiscal 2017 primarily reflected a:</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$10.2 million increase in expenses related to retail store operations, primarily due to new store openings;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$3.3 million increase in expenses related to eCommerce operations, including investments in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$3.1 million increase in expenses related to legal and other general and administrative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$2.1 million increase in expenses primarily related to selling and distribution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 million increase in expenses related to Skip Hop acquisition costs and direct sourcing initiatives;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 million increase in expenses related to marketing and brand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which were partially offset by a:</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$1.6 million decrease in performance-based compensation expenses;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 million decrease in amortization of the H.W.Carter &amp; Sons trademarks;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$0.3 million decrease in information technology and systems costs.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INCOME</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We license the use of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Just One You</w:t>
      </w:r>
      <w:r>
        <w:rPr>
          <w:rFonts w:ascii="Arial" w:cs="Arial" w:eastAsia="Arial" w:hAnsi="Arial"/>
          <w:sz w:val="16"/>
          <w:szCs w:val="16"/>
          <w:color w:val="auto"/>
        </w:rPr>
        <w:t xml:space="preserve">,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w:t>
      </w:r>
      <w:r>
        <w:rPr>
          <w:rFonts w:ascii="Arial" w:cs="Arial" w:eastAsia="Arial" w:hAnsi="Arial"/>
          <w:sz w:val="16"/>
          <w:szCs w:val="16"/>
          <w:i w:val="1"/>
          <w:iCs w:val="1"/>
          <w:color w:val="auto"/>
        </w:rPr>
        <w:t>OshKosh B'gosh</w:t>
      </w:r>
      <w:r>
        <w:rPr>
          <w:rFonts w:ascii="Arial" w:cs="Arial" w:eastAsia="Arial" w:hAnsi="Arial"/>
          <w:sz w:val="16"/>
          <w:szCs w:val="16"/>
          <w:color w:val="auto"/>
        </w:rPr>
        <w:t xml:space="preserv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w:t>
      </w:r>
      <w:r>
        <w:rPr>
          <w:rFonts w:ascii="Arial" w:cs="Arial" w:eastAsia="Arial" w:hAnsi="Arial"/>
          <w:sz w:val="16"/>
          <w:szCs w:val="16"/>
          <w:i w:val="1"/>
          <w:iCs w:val="1"/>
          <w:color w:val="auto"/>
        </w:rPr>
        <w:t>Genuine Kids from OshKosh</w:t>
      </w:r>
      <w:r>
        <w:rPr>
          <w:rFonts w:ascii="Arial" w:cs="Arial" w:eastAsia="Arial" w:hAnsi="Arial"/>
          <w:sz w:val="16"/>
          <w:szCs w:val="16"/>
          <w:color w:val="auto"/>
        </w:rPr>
        <w:t xml:space="preserve">, </w:t>
      </w:r>
      <w:r>
        <w:rPr>
          <w:rFonts w:ascii="Arial" w:cs="Arial" w:eastAsia="Arial" w:hAnsi="Arial"/>
          <w:sz w:val="16"/>
          <w:szCs w:val="16"/>
          <w:i w:val="1"/>
          <w:iCs w:val="1"/>
          <w:color w:val="auto"/>
        </w:rPr>
        <w:t>and Precious Firsts</w:t>
      </w:r>
      <w:r>
        <w:rPr>
          <w:rFonts w:ascii="Arial" w:cs="Arial" w:eastAsia="Arial" w:hAnsi="Arial"/>
          <w:sz w:val="16"/>
          <w:szCs w:val="16"/>
          <w:color w:val="auto"/>
        </w:rPr>
        <w:t xml:space="preserve"> brand names. Royalty income from these brands for the first quarter of fiscal 2017 decreased $0.5 million, or 4.7%, to $10.6 million from $11.1 million in the first quarter of fiscal 2016. The decrease in the fiscal 2017 period, as compared to the corresponding fiscal 2016 period, was primarily attributable to a decrease in income from certain licensees due to the insourcing of formerly licensed product categories, partially offset by sales growth from other domestic licensees.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1" w:right="279" w:bottom="1440" w:gutter="0" w:footer="0" w:header="0"/>
        </w:sectPr>
      </w:pPr>
    </w:p>
    <w:bookmarkStart w:id="35" w:name="page36"/>
    <w:bookmarkEnd w:id="35"/>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Consolidated operating income decreased $14.4 million, or 15.5%, to $78.6 million in the first quarter of fiscal 2017 from $93.0 million in the first quarter of fiscal 2016. Consolidated operating margin decreased from 12.8% in the first quarter of fiscal 2016 to 10.7% in the first quarter of fiscal 2017. The tables below summarize the changes in each of our segments' operating results and unallocated corporate expenses between the fiscal periods indicated:</w:t>
      </w:r>
    </w:p>
    <w:p>
      <w:pPr>
        <w:spacing w:after="0" w:line="305"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Corporate</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Wholesale</w:t>
            </w:r>
          </w:p>
        </w:tc>
        <w:tc>
          <w:tcPr>
            <w:tcW w:w="10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U.S. Retail</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International</w:t>
            </w:r>
          </w:p>
        </w:tc>
        <w:tc>
          <w:tcPr>
            <w:tcW w:w="22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Expenses</w:t>
            </w:r>
          </w:p>
        </w:tc>
        <w:tc>
          <w:tcPr>
            <w:tcW w:w="200" w:type="dxa"/>
            <w:vAlign w:val="bottom"/>
          </w:tcPr>
          <w:p>
            <w:pPr>
              <w:spacing w:after="0"/>
              <w:rPr>
                <w:sz w:val="20"/>
                <w:szCs w:val="20"/>
                <w:color w:val="auto"/>
              </w:rPr>
            </w:pPr>
          </w:p>
        </w:tc>
        <w:tc>
          <w:tcPr>
            <w:tcW w:w="780" w:type="dxa"/>
            <w:vAlign w:val="bottom"/>
          </w:tcPr>
          <w:p>
            <w:pPr>
              <w:jc w:val="right"/>
              <w:ind w:right="217"/>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 for first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quarter of fiscal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68,411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93,008</w:t>
            </w:r>
          </w:p>
        </w:tc>
        <w:tc>
          <w:tcPr>
            <w:tcW w:w="0" w:type="dxa"/>
            <w:vAlign w:val="bottom"/>
          </w:tcPr>
          <w:p>
            <w:pPr>
              <w:spacing w:after="0"/>
              <w:rPr>
                <w:sz w:val="1"/>
                <w:szCs w:val="1"/>
                <w:color w:val="auto"/>
              </w:rPr>
            </w:pPr>
          </w:p>
        </w:tc>
      </w:tr>
      <w:tr>
        <w:trPr>
          <w:trHeight w:val="157"/>
        </w:trPr>
        <w:tc>
          <w:tcPr>
            <w:tcW w:w="2540" w:type="dxa"/>
            <w:vAlign w:val="bottom"/>
          </w:tcPr>
          <w:p>
            <w:pPr>
              <w:ind w:left="140"/>
              <w:spacing w:after="0" w:line="157" w:lineRule="exact"/>
              <w:rPr>
                <w:sz w:val="20"/>
                <w:szCs w:val="20"/>
                <w:color w:val="auto"/>
              </w:rPr>
            </w:pPr>
            <w:r>
              <w:rPr>
                <w:rFonts w:ascii="Arial" w:cs="Arial" w:eastAsia="Arial" w:hAnsi="Arial"/>
                <w:sz w:val="14"/>
                <w:szCs w:val="14"/>
                <w:color w:val="auto"/>
              </w:rPr>
              <w:t>Favorable (unfavorable) change in the</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540" w:type="dxa"/>
            <w:vAlign w:val="bottom"/>
          </w:tcPr>
          <w:p>
            <w:pPr>
              <w:ind w:left="160"/>
              <w:spacing w:after="0"/>
              <w:rPr>
                <w:sz w:val="20"/>
                <w:szCs w:val="20"/>
                <w:color w:val="auto"/>
              </w:rPr>
            </w:pPr>
            <w:r>
              <w:rPr>
                <w:rFonts w:ascii="Arial" w:cs="Arial" w:eastAsia="Arial" w:hAnsi="Arial"/>
                <w:sz w:val="14"/>
                <w:szCs w:val="14"/>
                <w:color w:val="auto"/>
              </w:rPr>
              <w:t>first quarter of fiscal 2017</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4,873</w:t>
            </w:r>
          </w:p>
        </w:tc>
        <w:tc>
          <w:tcPr>
            <w:tcW w:w="0" w:type="dxa"/>
            <w:vAlign w:val="bottom"/>
          </w:tcPr>
          <w:p>
            <w:pPr>
              <w:spacing w:after="0"/>
              <w:rPr>
                <w:sz w:val="1"/>
                <w:szCs w:val="1"/>
                <w:color w:val="auto"/>
              </w:rPr>
            </w:pPr>
          </w:p>
        </w:tc>
      </w:tr>
      <w:tr>
        <w:trPr>
          <w:trHeight w:val="237"/>
        </w:trPr>
        <w:tc>
          <w:tcPr>
            <w:tcW w:w="2540" w:type="dxa"/>
            <w:vAlign w:val="bottom"/>
          </w:tcPr>
          <w:p>
            <w:pPr>
              <w:jc w:val="right"/>
              <w:ind w:right="61"/>
              <w:spacing w:after="0"/>
              <w:rPr>
                <w:sz w:val="20"/>
                <w:szCs w:val="20"/>
                <w:color w:val="auto"/>
              </w:rPr>
            </w:pPr>
            <w:r>
              <w:rPr>
                <w:rFonts w:ascii="Arial" w:cs="Arial" w:eastAsia="Arial" w:hAnsi="Arial"/>
                <w:sz w:val="16"/>
                <w:szCs w:val="16"/>
                <w:color w:val="auto"/>
              </w:rPr>
              <w:t>Royalty income</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SG&amp;A expenses</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(18,798)</w:t>
            </w:r>
          </w:p>
        </w:tc>
        <w:tc>
          <w:tcPr>
            <w:tcW w:w="0" w:type="dxa"/>
            <w:vAlign w:val="bottom"/>
          </w:tcPr>
          <w:p>
            <w:pPr>
              <w:spacing w:after="0"/>
              <w:rPr>
                <w:sz w:val="1"/>
                <w:szCs w:val="1"/>
                <w:color w:val="auto"/>
              </w:rPr>
            </w:pPr>
          </w:p>
        </w:tc>
      </w:tr>
      <w:tr>
        <w:trPr>
          <w:trHeight w:val="196"/>
        </w:trPr>
        <w:tc>
          <w:tcPr>
            <w:tcW w:w="254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 for first</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69,695</w:t>
            </w:r>
          </w:p>
        </w:tc>
        <w:tc>
          <w:tcPr>
            <w:tcW w:w="120" w:type="dxa"/>
            <w:vAlign w:val="bottom"/>
          </w:tcPr>
          <w:p>
            <w:pPr>
              <w:spacing w:after="0"/>
              <w:rPr>
                <w:sz w:val="17"/>
                <w:szCs w:val="1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29,900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3,685</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(24,714)</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78,566</w:t>
            </w:r>
          </w:p>
        </w:tc>
        <w:tc>
          <w:tcPr>
            <w:tcW w:w="0" w:type="dxa"/>
            <w:vAlign w:val="bottom"/>
          </w:tcPr>
          <w:p>
            <w:pPr>
              <w:spacing w:after="0"/>
              <w:rPr>
                <w:sz w:val="1"/>
                <w:szCs w:val="1"/>
                <w:color w:val="auto"/>
              </w:rPr>
            </w:pPr>
          </w:p>
        </w:tc>
      </w:tr>
      <w:tr>
        <w:trPr>
          <w:trHeight w:val="263"/>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quarter of fiscal 2017</w:t>
            </w:r>
          </w:p>
        </w:tc>
        <w:tc>
          <w:tcPr>
            <w:tcW w:w="12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3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tables present changes in the operating margin for each of our three operating segments. The primary drivers of these changes are presented in terms of the difference in each driver's margin (based on net sales) between the respective periods, in each case expressed in basis points ("bps").</w:t>
      </w:r>
    </w:p>
    <w:p>
      <w:pPr>
        <w:spacing w:after="0" w:line="66"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Wholesale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U.S. Retail</w:t>
            </w:r>
          </w:p>
        </w:tc>
        <w:tc>
          <w:tcPr>
            <w:tcW w:w="1480" w:type="dxa"/>
            <w:vAlign w:val="bottom"/>
          </w:tcPr>
          <w:p>
            <w:pPr>
              <w:ind w:left="220"/>
              <w:spacing w:after="0"/>
              <w:rPr>
                <w:sz w:val="20"/>
                <w:szCs w:val="20"/>
                <w:color w:val="auto"/>
              </w:rPr>
            </w:pPr>
            <w:r>
              <w:rPr>
                <w:rFonts w:ascii="Arial" w:cs="Arial" w:eastAsia="Arial" w:hAnsi="Arial"/>
                <w:sz w:val="18"/>
                <w:szCs w:val="18"/>
                <w:b w:val="1"/>
                <w:bCs w:val="1"/>
                <w:color w:val="auto"/>
              </w:rPr>
              <w:t>International</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margin for the first</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quarter of fiscal 2016</w:t>
            </w:r>
          </w:p>
        </w:tc>
        <w:tc>
          <w:tcPr>
            <w:tcW w:w="12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w w:val="96"/>
              </w:rPr>
              <w:t>23.4%</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57"/>
        </w:trPr>
        <w:tc>
          <w:tcPr>
            <w:tcW w:w="2800" w:type="dxa"/>
            <w:vAlign w:val="bottom"/>
          </w:tcPr>
          <w:p>
            <w:pPr>
              <w:ind w:left="140"/>
              <w:spacing w:after="0" w:line="157" w:lineRule="exact"/>
              <w:rPr>
                <w:sz w:val="20"/>
                <w:szCs w:val="20"/>
                <w:color w:val="auto"/>
              </w:rPr>
            </w:pPr>
            <w:r>
              <w:rPr>
                <w:rFonts w:ascii="Arial" w:cs="Arial" w:eastAsia="Arial" w:hAnsi="Arial"/>
                <w:sz w:val="14"/>
                <w:szCs w:val="14"/>
                <w:color w:val="auto"/>
              </w:rPr>
              <w:t>Favorable (unfavorable) bps change in the</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00" w:type="dxa"/>
            <w:vAlign w:val="bottom"/>
          </w:tcPr>
          <w:p>
            <w:pPr>
              <w:ind w:left="160"/>
              <w:spacing w:after="0"/>
              <w:rPr>
                <w:sz w:val="20"/>
                <w:szCs w:val="20"/>
                <w:color w:val="auto"/>
              </w:rPr>
            </w:pPr>
            <w:r>
              <w:rPr>
                <w:rFonts w:ascii="Arial" w:cs="Arial" w:eastAsia="Arial" w:hAnsi="Arial"/>
                <w:sz w:val="14"/>
                <w:szCs w:val="14"/>
                <w:color w:val="auto"/>
              </w:rPr>
              <w:t>first quarter of fiscal 2017</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Gross profit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80 bps</w:t>
            </w: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(30) bps</w:t>
            </w:r>
          </w:p>
        </w:tc>
        <w:tc>
          <w:tcPr>
            <w:tcW w:w="1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(160) bps</w:t>
            </w:r>
          </w:p>
        </w:tc>
        <w:tc>
          <w:tcPr>
            <w:tcW w:w="0" w:type="dxa"/>
            <w:vAlign w:val="bottom"/>
          </w:tcPr>
          <w:p>
            <w:pPr>
              <w:spacing w:after="0"/>
              <w:rPr>
                <w:sz w:val="1"/>
                <w:szCs w:val="1"/>
                <w:color w:val="auto"/>
              </w:rPr>
            </w:pPr>
          </w:p>
        </w:tc>
      </w:tr>
      <w:tr>
        <w:trPr>
          <w:trHeight w:val="237"/>
        </w:trPr>
        <w:tc>
          <w:tcPr>
            <w:tcW w:w="2800" w:type="dxa"/>
            <w:vAlign w:val="bottom"/>
          </w:tcPr>
          <w:p>
            <w:pPr>
              <w:jc w:val="right"/>
              <w:ind w:right="41"/>
              <w:spacing w:after="0"/>
              <w:rPr>
                <w:sz w:val="20"/>
                <w:szCs w:val="20"/>
                <w:color w:val="auto"/>
              </w:rPr>
            </w:pPr>
            <w:r>
              <w:rPr>
                <w:rFonts w:ascii="Arial" w:cs="Arial" w:eastAsia="Arial" w:hAnsi="Arial"/>
                <w:sz w:val="16"/>
                <w:szCs w:val="16"/>
                <w:color w:val="auto"/>
              </w:rPr>
              <w:t>Royalty income</w:t>
            </w:r>
          </w:p>
        </w:tc>
        <w:tc>
          <w:tcPr>
            <w:tcW w:w="1320" w:type="dxa"/>
            <w:vAlign w:val="bottom"/>
            <w:gridSpan w:val="2"/>
          </w:tcPr>
          <w:p>
            <w:pPr>
              <w:jc w:val="right"/>
              <w:ind w:right="300"/>
              <w:spacing w:after="0"/>
              <w:rPr>
                <w:sz w:val="20"/>
                <w:szCs w:val="20"/>
                <w:color w:val="auto"/>
              </w:rPr>
            </w:pPr>
            <w:r>
              <w:rPr>
                <w:rFonts w:ascii="Arial" w:cs="Arial" w:eastAsia="Arial" w:hAnsi="Arial"/>
                <w:sz w:val="16"/>
                <w:szCs w:val="16"/>
                <w:color w:val="auto"/>
              </w:rPr>
              <w:t>(10) bps</w:t>
            </w:r>
          </w:p>
        </w:tc>
        <w:tc>
          <w:tcPr>
            <w:tcW w:w="1360" w:type="dxa"/>
            <w:vAlign w:val="bottom"/>
            <w:gridSpan w:val="2"/>
          </w:tcPr>
          <w:p>
            <w:pPr>
              <w:jc w:val="right"/>
              <w:ind w:right="300"/>
              <w:spacing w:after="0"/>
              <w:rPr>
                <w:sz w:val="20"/>
                <w:szCs w:val="20"/>
                <w:color w:val="auto"/>
              </w:rPr>
            </w:pPr>
            <w:r>
              <w:rPr>
                <w:rFonts w:ascii="Arial" w:cs="Arial" w:eastAsia="Arial" w:hAnsi="Arial"/>
                <w:sz w:val="16"/>
                <w:szCs w:val="16"/>
                <w:color w:val="auto"/>
              </w:rPr>
              <w:t>10 bps</w:t>
            </w:r>
          </w:p>
        </w:tc>
        <w:tc>
          <w:tcPr>
            <w:tcW w:w="1480" w:type="dxa"/>
            <w:vAlign w:val="bottom"/>
          </w:tcPr>
          <w:p>
            <w:pPr>
              <w:ind w:left="660"/>
              <w:spacing w:after="0"/>
              <w:rPr>
                <w:sz w:val="20"/>
                <w:szCs w:val="20"/>
                <w:color w:val="auto"/>
              </w:rPr>
            </w:pPr>
            <w:r>
              <w:rPr>
                <w:rFonts w:ascii="Arial" w:cs="Arial" w:eastAsia="Arial" w:hAnsi="Arial"/>
                <w:sz w:val="16"/>
                <w:szCs w:val="16"/>
                <w:color w:val="auto"/>
              </w:rPr>
              <w:t>(100) bps</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SG&amp;A expenses</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(30) bps</w:t>
            </w: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(270) bps</w:t>
            </w:r>
          </w:p>
        </w:tc>
        <w:tc>
          <w:tcPr>
            <w:tcW w:w="14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(340) bps</w:t>
            </w:r>
          </w:p>
        </w:tc>
        <w:tc>
          <w:tcPr>
            <w:tcW w:w="0" w:type="dxa"/>
            <w:vAlign w:val="bottom"/>
          </w:tcPr>
          <w:p>
            <w:pPr>
              <w:spacing w:after="0"/>
              <w:rPr>
                <w:sz w:val="1"/>
                <w:szCs w:val="1"/>
                <w:color w:val="auto"/>
              </w:rPr>
            </w:pPr>
          </w:p>
        </w:tc>
      </w:tr>
      <w:tr>
        <w:trPr>
          <w:trHeight w:val="196"/>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Operating margin for the first</w:t>
            </w:r>
          </w:p>
        </w:tc>
        <w:tc>
          <w:tcPr>
            <w:tcW w:w="1200" w:type="dxa"/>
            <w:vAlign w:val="bottom"/>
            <w:tcBorders>
              <w:top w:val="single" w:sz="8" w:color="auto"/>
            </w:tcBorders>
            <w:vMerge w:val="restart"/>
          </w:tcPr>
          <w:p>
            <w:pPr>
              <w:ind w:left="740"/>
              <w:spacing w:after="0"/>
              <w:rPr>
                <w:sz w:val="20"/>
                <w:szCs w:val="20"/>
                <w:color w:val="auto"/>
              </w:rPr>
            </w:pPr>
            <w:r>
              <w:rPr>
                <w:rFonts w:ascii="Arial" w:cs="Arial" w:eastAsia="Arial" w:hAnsi="Arial"/>
                <w:sz w:val="16"/>
                <w:szCs w:val="16"/>
                <w:b w:val="1"/>
                <w:bCs w:val="1"/>
                <w:color w:val="auto"/>
                <w:w w:val="96"/>
              </w:rPr>
              <w:t>23.8%</w:t>
            </w:r>
          </w:p>
        </w:tc>
        <w:tc>
          <w:tcPr>
            <w:tcW w:w="120" w:type="dxa"/>
            <w:vAlign w:val="bottom"/>
          </w:tcPr>
          <w:p>
            <w:pPr>
              <w:spacing w:after="0"/>
              <w:rPr>
                <w:sz w:val="17"/>
                <w:szCs w:val="17"/>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8.2%</w:t>
            </w:r>
          </w:p>
        </w:tc>
        <w:tc>
          <w:tcPr>
            <w:tcW w:w="100" w:type="dxa"/>
            <w:vAlign w:val="bottom"/>
          </w:tcPr>
          <w:p>
            <w:pPr>
              <w:spacing w:after="0"/>
              <w:rPr>
                <w:sz w:val="17"/>
                <w:szCs w:val="17"/>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263"/>
        </w:trPr>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quarter of fiscal 2017</w:t>
            </w: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8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(a)</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(b)</w:t>
            </w:r>
          </w:p>
        </w:tc>
        <w:tc>
          <w:tcPr>
            <w:tcW w:w="14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33"/>
        </w:trPr>
        <w:tc>
          <w:tcPr>
            <w:tcW w:w="28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firstLine="8"/>
        <w:spacing w:after="0" w:line="264"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Wholesale segment operating income in the first quarter of fiscal 2017 increased $1.3 million, or 1.9%, to $69.7 million from $68.4 million in the first quarter of fiscal 2016. The segment's operating margin increased 40 bps from 23.4% in the first quarter of fiscal 2016 to 23.8% in the first quarter of fiscal 2017. The primary drivers of the change in operating margin were a/an: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80 bps increase in gross profit primarily due to favorable product costs, lower provisions on inventory, and improved price realization;</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30 bps increase in SG&amp;A expenses, primarily due to:</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50 bps increase in distribution, selling and administrative expense;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20 bps decrease in provisions for accounts receivable.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121" w:right="319" w:bottom="1440" w:gutter="0" w:footer="0" w:header="0"/>
        </w:sectPr>
      </w:pPr>
    </w:p>
    <w:bookmarkStart w:id="36" w:name="page37"/>
    <w:bookmarkEnd w:id="36"/>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jc w:val="both"/>
        <w:ind w:right="260" w:firstLine="8"/>
        <w:spacing w:after="0" w:line="264"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Retail segment operating income decreased by $9.6 million, or 24.2%, to $29.9 million in the first quarter of fiscal 2017 from $39.5 million in the first quarter of fiscal 2016. This segment's operating margin decreased 290 bps from 11.1% in the first quarter of fiscal 2016 to 8.2% in the first quarter of fiscal 2017. The primary drivers of the change in operating margin were a/an: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30 bps decrease in gross profit due to increased promotional activity, partially offset by lower product costs;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270 bps increase in SG&amp;A expenses, primarily due to a:</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120 bps increase in expenses associated with new retail stores;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50 bps increase in expenses associated with eCommerce expansion;</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30 bps increase in expenses for administrative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30 bps increase in distribution and freight expenses due to volume;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30 bps increase in marketing and brand management expenses.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firstLine="8"/>
        <w:spacing w:after="0" w:line="256"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segment operating income decreased by $4.8 million, or 56.3%, to $3.7 million in the first quarter of fiscal 2017 from $8.4 million in the first quarter of 2016. This segment's operating margin decreased 600 bps from 10.8% in the first quarter of fiscal 2016 to 4.8% in the first quarter of fiscal 2017. The primary drivers of the change in operating margin were a/an:</w:t>
      </w:r>
    </w:p>
    <w:p>
      <w:pPr>
        <w:ind w:left="980" w:right="620" w:hanging="324"/>
        <w:spacing w:after="0" w:line="250"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160 bps decrease in gross profit, primarily due to higher provisions for inventory, unfavorable timing of shipments and foreign currency exchange impacts, partially offset by benefits from direct sourcing and higher price realization;</w:t>
      </w: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340 bps increase in SG&amp;A expenses, primarily due to a/an:</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230 bps increase in expenses associated with new retail stores;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130 bps increase in expenses associated with eCommerce expansion;</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80 bps increase in general and administrative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40 bps increase in selling and marketing expenses;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110 bps decrease in performance-based compensation;</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70 bps decrease in distribution expenses;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100 bps decrease in royalty income due to reduction in licensees.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Unallocated Corporate Expenses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Unallocated corporate expenses increased by $1.4 million, or 6.0%, in the first quarter of fiscal 2017 compared to the first quarter of fiscal 2016, primarily due to the Skip Hop acquisition and direct sourcing initiatives. Unallocated corporate expenses, as a percentage of consolidated net sales, increased from 3.2% in the first quarter of fiscal 2016 to 3.4% in the first quarter of fiscal 2017.</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and effective interest rate calculations include the amortization of debt issuance costs.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expense in the first quarter of fiscal 2017 and 2016 was approximately $7.1 million and $6.7 million, respectively. Weighted-average borrowings over the course of the first quarter of fiscal 2017 were approximately $608.5 million with an effective interest rate of 4.56%, compared to weighted-average borrowings for the first quarter of fiscal 2016 of $584.6 million with an effective interest rate of 4.59%. The increase in weighted-average borrowings during the first quarter of fiscal 2017 was attributable to an incremental $75 million of borrowings during the quarter on our secured revolving credit facility, which were subsequently repaid before April 1, 2017.</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 in the effective interest rate for the first quarter of fiscal 2017 compared to the first quarter of fiscal 2016 was due to a higher proportion of outstanding borrowings under our secured revolving credit facility during the first quarter of fiscal 2017. Borrowings under our secured revolving credit facility accrue interest at a lower interest rate than our senior notes. This decrease was partially offset by a higher LIBOR rate for our secured revolving credit facility during the first quarter of fiscal 2017.</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7" w:name="page38"/>
    <w:bookmarkEnd w:id="37"/>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our consolidated balance sheets, unamortized debt issuance costs associated with our senior notes is presented as a direct reduction in the carrying value of the associated debt liability for all periods presented.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Other (income) expense, net included gains and losses on foreign currency transactions and foreign currency forward contracts. These amounts were not material for the first quarter of fiscal 2017 and represented a net loss of approximately $3.2 million for the first quarter of fiscal 2016. There were no open or settled foreign currency forward contracts during the first quarter of fiscal 2017.</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consolidated effective income tax rate for the first quarter of fiscal 2017 was 35.0% compared to 35.2% for the first quarter of fiscal 2016. The lower effective rate for the first quarter of fiscal 2017 was primarily due to new accounting guidance which requires excess income tax benefits realized from settled stock-based compensation awards to be reflected as a benefit to income tax expense instead of a credit to additional paid-in capital, partially offset by changes in the mix of taxable income among our domestic and international tax-paying entities.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full fiscal year 2017, we estimate our consolidated effective income tax rate to be approximately 35.0%.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consolidated net income for the first quarter of fiscal 2017 decreased by $7.3 million, or 13.6%, to $46.7 million compared to $54.0 million in the first quarter of fiscal 2016. This decrease was due to the factors previously discussed.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ongoing cash needs are primarily for working capital and capital expenditures. We expect that our primary sources of liquidity will continue to be cash and cash equivalents on hand, cash flow from operations, and borrowings available under our secured revolving credit facility. We expect that these sources will fund our ongoing requirements for the foreseeable future, and we believe that we also have access to the capital markets. Further, we do not expect current economic conditions to prevent us from meeting our cash requirements. These sources of liquidity may be affected by events described in our risk factors, as further discussed under the heading "Risk Factors" in our most recently filed Annual Report on Form 10-K and other reports filed with the Securities and Exchange Commission from time to time.</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April 1, 2017, the Company had approximately $154.3 million of cash and cash equivalents in major financial institutions, including approximately $32.3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accounts receivable at April 1, 2017 were $206.7 million compared to $192.6 million at April 2, 2016 and $202.5 million at December 31, 2016. The overall increase of $14.1 million, or 7.3%, at April 1, 2017 compared to April 2, 2016 primarily reflected the Skip Hop acquisition. Due to the seasonal nature of our operations, the net accounts receivable balance at April 1, 2017 is not comparable to the net accounts receivable balance of $202.5 million at December 31, 2016.</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Inventories at April 1, 2017 were $434.7 million compared to $376.5 million at April 2, 2016 and $487.6 million at December 31, 2016. The increase of $58.2 million, or 15.5%, at April 1, 2017 compared to April 2, 2016 primarily reflected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business growth and timing of inventory purchases. Due to the seasonal nature of our operations, the inventories balance at April 1, 2017 is not comparable to the inventories balance of $487.6 million at December 31, 2016.</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provided by operating activities for the first quarter of fiscal 2017 was $84.2 million compared to net cash provided by operating activities of $128.3 million in the first quarter of fiscal 2016. This decrease in operating cash flow for the 2017 period reflected lower net income and less favorable changes in net working capital due to timing of payments and business growth.</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Net cash used in investing activities for the first quarter of fiscal 2017 reflected the $143.7 million paid, net of cash acquired, on February 22, 2017 to acquire all of the outstanding stock of Skip Hop. Capital expenditures were $18.0 million in the first quarter of fiscal 2017 compared to $25.6 million in the first quarter of fiscal 2016, primarily reflecting 2017 expenditures of approximately $9.9 million for our U.S. and international retail store openings and re-modelings, $3.3 million for information technology initiatives, $3.4 million for distribution and office facilities, and $0.5 million for wholesale fixtures.</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plan to invest approximately $90 million in total capital expenditures for all of fiscal 2017, primarily for our U.S. and international retail store openings and re-modelings, and information technology initiatives.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cash used in financing activities was $67.5 million in the first quarter of fiscal 2017 compared to $90.2 million in the first quarter of fiscal 2016. The decrease in cash used for the 2017 period primarily reflected decreases in repurchases of our common stock.</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FACILITY</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amended and restated secured revolving credit facility provides for (i) a $400 million U.S. dollar revolving facility (including a $175 million sub-limit for letters of credit and a swing line sub-limit of $50 million) available for borrowings in U.S. dollars and (ii) a $100 million multicurrency revolving facility (including a $40 million sub-limit for letters of credit and a swing line sub-limit of $15 million) available for borrowings denominated in U.S. dollars, Canadian dollars, Euros, Pounds Sterling, or other currencies agreed to by the applicable lenders. Our secured revolving credit facility also provides for incremental facilities in an aggregate amount not to exceed $250 million, either in the form of a commitment increase under the existing credit facility or the incurrence of one or more tranches of term loans (with the aggregate U.S. dollar amount not to exceed $200 million and the aggregate multicurrency amount not to exceed $50 million). Our secured revolving credit facility matures September 16, 2020.</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April 1, 2017, we had $186.0 million in outstanding borrowings under our secured revolving credit facility, exclusive of $4.8 million of outstanding letters of credit. As of April 1, 2017, approximately $309.2 million was available for future borrowing.</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interest rate margins applicable to our secured revolving credit facility are presently 1.375% for LIBOR rate loans (which may be adjusted based on a leverage-based pricing grid ranging from 1.125% to 1.875%) and 0.375% for base rate loans (which may be adjusted based on a leverage-based pricing grid ranging from 0.125% to 0.875%).</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As of April 1, 2017, U.S. dollar borrowings outstanding under the secured revolving credit facility accrued interest at a LIBOR rate plus the applicable base rate, which was equal to 2.29% on that date. Outstanding Canadian dollar borrowings were repaid during the first quarter of fiscal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April 1, 2017, we were in compliance with the financial and other covenants under our secured revolving credit facility.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As of April 1, 2017, our wholly-owned operating subsidiary The William Carter Company ("TWCC") had $400.0 million principal amount of senior notes outstanding, bearing interest at a fixed rate of 5.25% per annum, and maturing on August 15, 2021. On our consolidated balance sheet, the $400.0 million outstanding is reported net of $4.4 million, $4.6 million and $5.3</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1" w:right="259" w:bottom="1440" w:gutter="0" w:footer="0" w:header="0"/>
        </w:sectPr>
      </w:pPr>
    </w:p>
    <w:bookmarkStart w:id="39" w:name="page40"/>
    <w:bookmarkEnd w:id="39"/>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million unamortized issuance-related debt costs at April 1, 2017, December 31, 2016 and April 2, 2016, respectively. The senior notes are unsecured and are fully and unconditionally guaranteed by Carter's, Inc. and certain subsidiaries of TWCC.</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the first quarter of fiscal 2017, the Company repurchased and retired 543,944 shares in open market transactions for approximately $46.6 million at an average price of $85.72 per share. In the first quarter of fiscal 2016, the Company repurchased and retired 722,364 shares in open market transactions for approximately $71.6 million, at an average price of $99.07 per share.</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total remaining capacity under all remaining repurchase authorizations as of April 1, 2017 was approximately $227.8 million. Future repurchases may be made in the open market or in privately negotiated transactions, with the level and timing of activity being at management's discretion depending on market conditions, share price, other investment priorities, and other factors. The share repurchase authorizations have no expiration date.</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the first quarter of fiscal 2017, we paid quarterly cash dividends of $0.37 per share. In the first quarter of fiscal 2016, we paid quarterly cash dividends of $0.33 per share. Future declarations of quarterly dividends and the establishment of future record and payment dates are at the discretion of our Board of Directors and will be based on a number of factors, including our future financial performance and other investment priorities.</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disclosed in our most recent Annual Report on Form 10-K for the 2016 fiscal year ended December 31, 2016, provisions in our secured revolving credit facility and indenture governing our senior notes could have the effect of restricting our ability to pay future cash dividends on or make future repurchases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experience seasonal fluctuations in our sales and profitability due to the timing of certain holidays and key retail shopping periods, which generally have resulted in declines in our net sales and gross profit in the first half of our fiscal year versus the second half. Accordingly, our results of operations during any interim period during the fiscal year may not be indicative of the results we expect for the full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Our critical accounting policies and estimates are described under the heading "Critical Accounting Policies and Estimates" in Item 7 of our most recent Annual Report on Form 10-K for the 2016 fiscal year ended December 31, 2016.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 except for the impact that the adoption of ASU 2016-09, </w:t>
      </w:r>
      <w:r>
        <w:rPr>
          <w:rFonts w:ascii="Arial" w:cs="Arial" w:eastAsia="Arial" w:hAnsi="Arial"/>
          <w:sz w:val="18"/>
          <w:szCs w:val="18"/>
          <w:i w:val="1"/>
          <w:iCs w:val="1"/>
          <w:color w:val="auto"/>
        </w:rPr>
        <w:t>Accounting for Share-Based Payments to Employees</w:t>
      </w:r>
      <w:r>
        <w:rPr>
          <w:rFonts w:ascii="Arial" w:cs="Arial" w:eastAsia="Arial" w:hAnsi="Arial"/>
          <w:sz w:val="18"/>
          <w:szCs w:val="18"/>
          <w:color w:val="auto"/>
        </w:rPr>
        <w:t xml:space="preserve"> and ASU 2015-17, </w:t>
      </w:r>
      <w:r>
        <w:rPr>
          <w:rFonts w:ascii="Arial" w:cs="Arial" w:eastAsia="Arial" w:hAnsi="Arial"/>
          <w:sz w:val="18"/>
          <w:szCs w:val="18"/>
          <w:i w:val="1"/>
          <w:iCs w:val="1"/>
          <w:color w:val="auto"/>
        </w:rPr>
        <w:t>Balance Sheet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Deferred Taxes </w:t>
      </w:r>
      <w:r>
        <w:rPr>
          <w:rFonts w:ascii="Arial" w:cs="Arial" w:eastAsia="Arial" w:hAnsi="Arial"/>
          <w:sz w:val="18"/>
          <w:szCs w:val="18"/>
          <w:color w:val="auto"/>
        </w:rPr>
        <w:t>had on our policies as disclosed under the header "Adoption of New Accounting Pronouncements At the Beginning of Fiscal 2017" in Note 2,</w:t>
      </w:r>
      <w:r>
        <w:rPr>
          <w:rFonts w:ascii="Arial" w:cs="Arial" w:eastAsia="Arial" w:hAnsi="Arial"/>
          <w:sz w:val="18"/>
          <w:szCs w:val="18"/>
          <w:i w:val="1"/>
          <w:iCs w:val="1"/>
          <w:color w:val="auto"/>
        </w:rPr>
        <w:t xml:space="preserve"> Basis of Presentation</w:t>
      </w:r>
      <w:r>
        <w:rPr>
          <w:rFonts w:ascii="Arial" w:cs="Arial" w:eastAsia="Arial" w:hAnsi="Arial"/>
          <w:sz w:val="18"/>
          <w:szCs w:val="18"/>
          <w:color w:val="auto"/>
        </w:rPr>
        <w:t>, to the accompanying unaudited condensed consolidated financial statements contained in Item 1 of this Quarterly Report on Form 10-Q.</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Additionally, information related to the pending adoption of recently issued accounting standards is provided in Note 15, </w:t>
      </w:r>
      <w:r>
        <w:rPr>
          <w:rFonts w:ascii="Arial" w:cs="Arial" w:eastAsia="Arial" w:hAnsi="Arial"/>
          <w:sz w:val="18"/>
          <w:szCs w:val="18"/>
          <w:i w:val="1"/>
          <w:iCs w:val="1"/>
          <w:color w:val="auto"/>
        </w:rPr>
        <w:t>Pending Adoption of Recent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Pronouncements</w:t>
      </w:r>
      <w:r>
        <w:rPr>
          <w:rFonts w:ascii="Arial" w:cs="Arial" w:eastAsia="Arial" w:hAnsi="Arial"/>
          <w:sz w:val="18"/>
          <w:szCs w:val="18"/>
          <w:color w:val="auto"/>
        </w:rPr>
        <w:t>, to the accompanying unaudited condensed consolidated financial statements contained in Item 1 of this Quarterly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w:t>
      </w:r>
    </w:p>
    <w:p>
      <w:pPr>
        <w:spacing w:after="0" w:line="3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and Interest Rate Risks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and interest rates. We employ various strategies to attempt to minimize our exposure to these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Risk</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of future currency fluctuations on our financial position, results of operations, or cash flows for future periods.</w:t>
      </w:r>
    </w:p>
    <w:p>
      <w:pPr>
        <w:spacing w:after="0" w:line="187"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4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Fluctuations in exchange rates, primarily between the U.S. dollar and the Canadian dollar, may affect our results of operations, financial position, and cash flows. Transactions by our Canadian subsidiary may be denominated in a currency other than the entity's functional currency, which is the Canadian dollar. Foreign currency transaction gains and losses also include the impact of non-current intercompany loans with foreign subsidiaries that are marked to market. In our statement of operations, these gains and losses are recorded within Other expense, net.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overall strategy to manage the level of exposure to the risk of foreign currency exchange rate fluctuations, primarily between the U.S. dollar and Canadian dollar, our Canadian subsidiary may use foreign currency forward contracts to hedge purchases that are made in U.S. dollars, primarily for inventory purchases. As part of this strategy, we use foreign currency forward exchange contracts that have maturities of less than 12 months to provide continuing coverage throughout the hedging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operating results are subject to risk from interest rate fluctuations on our secured revolving credit facility, which carries variable interest rates. Our weighted-average variable rate borrowings outstanding as of April 1, 2017 were $186.0 million. An increase or decrease of 1% in the effective interest rate on that amount would increase or decrease our annual pre-tax interest expense by approximately $1.9 million.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ind w:right="500"/>
        <w:spacing w:after="0" w:line="308" w:lineRule="auto"/>
        <w:rPr>
          <w:sz w:val="20"/>
          <w:szCs w:val="20"/>
          <w:color w:val="auto"/>
        </w:rPr>
      </w:pPr>
      <w:r>
        <w:rPr>
          <w:rFonts w:ascii="Arial" w:cs="Arial" w:eastAsia="Arial" w:hAnsi="Arial"/>
          <w:sz w:val="17"/>
          <w:szCs w:val="17"/>
          <w:color w:val="auto"/>
        </w:rPr>
        <w:t>Act of 1934, as amended) as of the end of the period covered by this Quarterly Report on Form 10-Q. Based upon that evaluation, our Chief Executive Officer and Chief Financial Officer have concluded that our disclosure controls and procedures are effective as of April 1, 2017.</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April 1, 2017 that have materially affected or which are reasonably likely to materially affect Internal Control.</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noted above, on February 22, 2017, the Company completed the acquisition of Skip Hop. The Company is currently integrating Skip Hop into its control environment. In executing this integration, the Company is analyzing, evaluating, and where necessary, making changes in controls and procedures related to the Skip Hop business, which is expected to be completed within one year of the acquisition date.</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Except for the foregoing, there were no changes in the Company’s Internal Control that materially affected, or were likely to materially affect, such control over financial reporting during the fiscal quarter ended April 1, 2017.</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described in our Form 10-K for the 2016 fiscal year ended December 31, 2016.</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368" w:right="2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during the first quarter of fiscal 2017:</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4"/>
              </w:rPr>
              <w:t>Approximate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89"/>
              </w:rPr>
              <w:t>dollar value of shares</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91"/>
              </w:rPr>
              <w:t>Total number of</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4"/>
              </w:rPr>
              <w:t>that may</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92"/>
              </w:rPr>
              <w:t>Total number</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85"/>
              </w:rPr>
              <w:t>shares purchased as</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85"/>
              </w:rPr>
              <w:t>yet be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84"/>
              </w:rPr>
              <w:t>of shares</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91"/>
              </w:rPr>
              <w:t>part of publicly</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86"/>
              </w:rPr>
              <w:t>purchased</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88"/>
              </w:rPr>
              <w:t>purchased</w:t>
            </w:r>
          </w:p>
        </w:tc>
        <w:tc>
          <w:tcPr>
            <w:tcW w:w="12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Average price paid</w:t>
            </w: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89"/>
              </w:rPr>
              <w:t>announced plans or</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0"/>
              </w:rPr>
              <w:t>under the plans</w:t>
            </w:r>
          </w:p>
        </w:tc>
      </w:tr>
      <w:tr>
        <w:trPr>
          <w:trHeight w:val="222"/>
        </w:trPr>
        <w:tc>
          <w:tcPr>
            <w:tcW w:w="4240" w:type="dxa"/>
            <w:vAlign w:val="bottom"/>
            <w:gridSpan w:val="2"/>
          </w:tcPr>
          <w:p>
            <w:pPr>
              <w:ind w:left="40"/>
              <w:spacing w:after="0"/>
              <w:rPr>
                <w:sz w:val="20"/>
                <w:szCs w:val="20"/>
                <w:color w:val="auto"/>
              </w:rPr>
            </w:pPr>
            <w:r>
              <w:rPr>
                <w:rFonts w:ascii="Arial" w:cs="Arial" w:eastAsia="Arial" w:hAnsi="Arial"/>
                <w:sz w:val="17"/>
                <w:szCs w:val="17"/>
                <w:b w:val="1"/>
                <w:bCs w:val="1"/>
                <w:color w:val="auto"/>
              </w:rPr>
              <w:t>Period</w:t>
            </w: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96"/>
              </w:rPr>
              <w:t>(1)</w:t>
            </w:r>
          </w:p>
        </w:tc>
        <w:tc>
          <w:tcPr>
            <w:tcW w:w="12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per share</w:t>
            </w: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92"/>
              </w:rPr>
              <w:t>programs (2)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0"/>
              </w:rPr>
              <w:t>or programs (3)</w:t>
            </w:r>
          </w:p>
        </w:tc>
      </w:tr>
      <w:tr>
        <w:trPr>
          <w:trHeight w:val="31"/>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426"/>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January 1, 2017 through January 28, 2017</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170,587</w:t>
            </w:r>
          </w:p>
        </w:tc>
        <w:tc>
          <w:tcPr>
            <w:tcW w:w="18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$86.02</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170,587</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$259,727,991</w:t>
            </w:r>
          </w:p>
        </w:tc>
      </w:tr>
      <w:tr>
        <w:trPr>
          <w:trHeight w:val="432"/>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January 29, 2017 through February 25, 2017</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251,530</w:t>
            </w:r>
          </w:p>
        </w:tc>
        <w:tc>
          <w:tcPr>
            <w:tcW w:w="18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$82.33</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186,142</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$244,402,232</w:t>
            </w:r>
          </w:p>
        </w:tc>
      </w:tr>
      <w:tr>
        <w:trPr>
          <w:trHeight w:val="432"/>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February 26, 2017 through April 1, 2017</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187,215</w:t>
            </w:r>
          </w:p>
        </w:tc>
        <w:tc>
          <w:tcPr>
            <w:tcW w:w="18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$88.81</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187,215</w:t>
            </w:r>
          </w:p>
        </w:tc>
        <w:tc>
          <w:tcPr>
            <w:tcW w:w="18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$227,775,032</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4"/>
        </w:trPr>
        <w:tc>
          <w:tcPr>
            <w:tcW w:w="424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609,332</w:t>
            </w: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543,944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shares of our common stock surrendered by our employees to satisfy required tax withholding upon the vesting of restricted stock awards. There were 65,388 shares surrendered between January 1, 2017 and April 1, 2017.</w:t>
      </w:r>
    </w:p>
    <w:p>
      <w:pPr>
        <w:spacing w:after="0" w:line="170"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 purchases during the first quarter of fiscal 2017 were made in compliance with all applicable rules and regulations and in accordance with the share repurchase authorizations described in Note 5 to our accompanying unaudited condensed consolidated financial statements included in Item 1 of this Quarterly Report on Form 10-Q.</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share repurchase authorizations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3"/>
          </w:tcPr>
          <w:p>
            <w:pPr>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820" w:type="dxa"/>
            <w:vAlign w:val="bottom"/>
          </w:tcPr>
          <w:p>
            <w:pPr>
              <w:spacing w:after="0"/>
              <w:rPr>
                <w:sz w:val="20"/>
                <w:szCs w:val="20"/>
                <w:color w:val="auto"/>
              </w:rPr>
            </w:pPr>
          </w:p>
        </w:tc>
      </w:tr>
      <w:tr>
        <w:trPr>
          <w:trHeight w:val="432"/>
        </w:trPr>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820" w:type="dxa"/>
            <w:vAlign w:val="bottom"/>
          </w:tcPr>
          <w:p>
            <w:pPr>
              <w:spacing w:after="0"/>
              <w:rPr>
                <w:sz w:val="24"/>
                <w:szCs w:val="24"/>
                <w:color w:val="auto"/>
              </w:rPr>
            </w:pPr>
          </w:p>
        </w:tc>
      </w:tr>
      <w:tr>
        <w:trPr>
          <w:trHeight w:val="338"/>
        </w:trPr>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 Number</w:t>
            </w:r>
          </w:p>
        </w:tc>
        <w:tc>
          <w:tcPr>
            <w:tcW w:w="9680" w:type="dxa"/>
            <w:vAlign w:val="bottom"/>
            <w:gridSpan w:val="3"/>
          </w:tcPr>
          <w:p>
            <w:pPr>
              <w:ind w:left="100"/>
              <w:spacing w:after="0"/>
              <w:rPr>
                <w:sz w:val="20"/>
                <w:szCs w:val="20"/>
                <w:color w:val="auto"/>
              </w:rPr>
            </w:pPr>
            <w:r>
              <w:rPr>
                <w:rFonts w:ascii="Arial" w:cs="Arial" w:eastAsia="Arial" w:hAnsi="Arial"/>
                <w:sz w:val="18"/>
                <w:szCs w:val="18"/>
                <w:b w:val="1"/>
                <w:bCs w:val="1"/>
                <w:color w:val="auto"/>
              </w:rPr>
              <w:t>Description of Exhibits</w:t>
            </w:r>
          </w:p>
        </w:tc>
      </w:tr>
      <w:tr>
        <w:trPr>
          <w:trHeight w:val="20"/>
        </w:trPr>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533"/>
        </w:trPr>
        <w:tc>
          <w:tcPr>
            <w:tcW w:w="40" w:type="dxa"/>
            <w:vAlign w:val="bottom"/>
          </w:tcPr>
          <w:p>
            <w:pPr>
              <w:spacing w:after="0"/>
              <w:rPr>
                <w:sz w:val="24"/>
                <w:szCs w:val="24"/>
                <w:color w:val="auto"/>
              </w:rPr>
            </w:pPr>
          </w:p>
        </w:tc>
        <w:tc>
          <w:tcPr>
            <w:tcW w:w="1260" w:type="dxa"/>
            <w:vAlign w:val="bottom"/>
          </w:tcPr>
          <w:p>
            <w:pPr>
              <w:jc w:val="center"/>
              <w:ind w:left="310"/>
              <w:spacing w:after="0"/>
              <w:rPr>
                <w:sz w:val="20"/>
                <w:szCs w:val="20"/>
                <w:color w:val="auto"/>
              </w:rPr>
            </w:pPr>
            <w:r>
              <w:rPr>
                <w:rFonts w:ascii="Arial" w:cs="Arial" w:eastAsia="Arial" w:hAnsi="Arial"/>
                <w:sz w:val="18"/>
                <w:szCs w:val="18"/>
                <w:color w:val="auto"/>
                <w:w w:val="87"/>
              </w:rPr>
              <w:t>3.1</w:t>
            </w:r>
          </w:p>
        </w:tc>
        <w:tc>
          <w:tcPr>
            <w:tcW w:w="360" w:type="dxa"/>
            <w:vAlign w:val="bottom"/>
          </w:tcPr>
          <w:p>
            <w:pPr>
              <w:spacing w:after="0"/>
              <w:rPr>
                <w:sz w:val="24"/>
                <w:szCs w:val="24"/>
                <w:color w:val="auto"/>
              </w:rPr>
            </w:pP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w w:val="91"/>
              </w:rPr>
              <w:t>Certificate of Incorporation of Carter's, Inc., as amended on May 12, 2006 (incorporated by reference to Exhibit 3.1 of Carter's, Inc.'s</w:t>
            </w:r>
          </w:p>
        </w:tc>
      </w:tr>
      <w:tr>
        <w:trPr>
          <w:trHeight w:val="230"/>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Quarterly Report on Form 10-Q filed on October 29, 2015).</w:t>
            </w:r>
          </w:p>
        </w:tc>
      </w:tr>
      <w:tr>
        <w:trPr>
          <w:trHeight w:val="256"/>
        </w:trPr>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3.2</w:t>
            </w:r>
          </w:p>
        </w:tc>
        <w:tc>
          <w:tcPr>
            <w:tcW w:w="360" w:type="dxa"/>
            <w:vAlign w:val="bottom"/>
          </w:tcPr>
          <w:p>
            <w:pPr>
              <w:spacing w:after="0"/>
              <w:rPr>
                <w:sz w:val="22"/>
                <w:szCs w:val="22"/>
                <w:color w:val="auto"/>
              </w:rPr>
            </w:pP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w w:val="91"/>
              </w:rPr>
              <w:t>Amended and Restated By-Laws of Carter's, Inc. (incorporated by reference to Exhibit 3.2 of Carter's, Inc.'s Current Report on Form</w:t>
            </w:r>
          </w:p>
        </w:tc>
      </w:tr>
      <w:tr>
        <w:trPr>
          <w:trHeight w:val="230"/>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8-K filed on August 26, 2015).</w:t>
            </w:r>
          </w:p>
        </w:tc>
      </w:tr>
      <w:tr>
        <w:trPr>
          <w:trHeight w:val="270"/>
        </w:trPr>
        <w:tc>
          <w:tcPr>
            <w:tcW w:w="130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31.1</w:t>
            </w:r>
          </w:p>
        </w:tc>
        <w:tc>
          <w:tcPr>
            <w:tcW w:w="360" w:type="dxa"/>
            <w:vAlign w:val="bottom"/>
          </w:tcPr>
          <w:p>
            <w:pPr>
              <w:spacing w:after="0"/>
              <w:rPr>
                <w:sz w:val="23"/>
                <w:szCs w:val="23"/>
                <w:color w:val="auto"/>
              </w:rPr>
            </w:pP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Rule 13a-15(e)/15d-15(e) and 13a-15(f)/15d-15(f) Certification.</w:t>
            </w:r>
          </w:p>
        </w:tc>
      </w:tr>
      <w:tr>
        <w:trPr>
          <w:trHeight w:val="270"/>
        </w:trPr>
        <w:tc>
          <w:tcPr>
            <w:tcW w:w="130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31.2</w:t>
            </w:r>
          </w:p>
        </w:tc>
        <w:tc>
          <w:tcPr>
            <w:tcW w:w="360" w:type="dxa"/>
            <w:vAlign w:val="bottom"/>
          </w:tcPr>
          <w:p>
            <w:pPr>
              <w:spacing w:after="0"/>
              <w:rPr>
                <w:sz w:val="23"/>
                <w:szCs w:val="23"/>
                <w:color w:val="auto"/>
              </w:rPr>
            </w:pP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Rule 13a-15(e)/15d-15(e) and 13a-15(f)/15d-15(f) Certification.</w:t>
            </w:r>
          </w:p>
        </w:tc>
      </w:tr>
      <w:tr>
        <w:trPr>
          <w:trHeight w:val="270"/>
        </w:trPr>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32</w:t>
            </w:r>
          </w:p>
        </w:tc>
        <w:tc>
          <w:tcPr>
            <w:tcW w:w="360" w:type="dxa"/>
            <w:vAlign w:val="bottom"/>
          </w:tcPr>
          <w:p>
            <w:pPr>
              <w:spacing w:after="0"/>
              <w:rPr>
                <w:sz w:val="23"/>
                <w:szCs w:val="23"/>
                <w:color w:val="auto"/>
              </w:rPr>
            </w:pP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Section 1350 Certification.</w:t>
            </w:r>
          </w:p>
        </w:tc>
      </w:tr>
      <w:tr>
        <w:trPr>
          <w:trHeight w:val="270"/>
        </w:trPr>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86"/>
              </w:rPr>
              <w:t>101</w:t>
            </w:r>
          </w:p>
        </w:tc>
        <w:tc>
          <w:tcPr>
            <w:tcW w:w="360" w:type="dxa"/>
            <w:vAlign w:val="bottom"/>
          </w:tcPr>
          <w:p>
            <w:pPr>
              <w:spacing w:after="0"/>
              <w:rPr>
                <w:sz w:val="23"/>
                <w:szCs w:val="23"/>
                <w:color w:val="auto"/>
              </w:rPr>
            </w:pPr>
          </w:p>
        </w:tc>
        <w:tc>
          <w:tcPr>
            <w:tcW w:w="9680" w:type="dxa"/>
            <w:vAlign w:val="bottom"/>
            <w:gridSpan w:val="3"/>
          </w:tcPr>
          <w:p>
            <w:pPr>
              <w:ind w:left="100"/>
              <w:spacing w:after="0"/>
              <w:rPr>
                <w:sz w:val="20"/>
                <w:szCs w:val="20"/>
                <w:color w:val="auto"/>
              </w:rPr>
            </w:pPr>
            <w:r>
              <w:rPr>
                <w:rFonts w:ascii="Arial" w:cs="Arial" w:eastAsia="Arial" w:hAnsi="Arial"/>
                <w:sz w:val="18"/>
                <w:szCs w:val="18"/>
                <w:color w:val="auto"/>
              </w:rPr>
              <w:t>Interactive Data File.</w:t>
            </w:r>
          </w:p>
        </w:tc>
      </w:tr>
      <w:tr>
        <w:trPr>
          <w:trHeight w:val="702"/>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80" w:type="dxa"/>
            <w:vAlign w:val="bottom"/>
            <w:gridSpan w:val="3"/>
          </w:tcPr>
          <w:p>
            <w:pPr>
              <w:ind w:left="396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340"/>
          </w:cols>
          <w:pgMar w:left="240" w:top="364" w:right="319" w:bottom="1440" w:gutter="0" w:footer="0" w:header="0"/>
        </w:sectPr>
      </w:pPr>
    </w:p>
    <w:bookmarkStart w:id="44" w:name="page45"/>
    <w:bookmarkEnd w:id="44"/>
    <w:p>
      <w:pPr>
        <w:ind w:left="5080"/>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38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300"/>
        <w:spacing w:after="0"/>
        <w:tabs>
          <w:tab w:leader="none" w:pos="6140" w:val="left"/>
        </w:tabs>
        <w:rPr>
          <w:sz w:val="20"/>
          <w:szCs w:val="20"/>
          <w:color w:val="auto"/>
        </w:rPr>
      </w:pPr>
      <w:r>
        <w:rPr>
          <w:rFonts w:ascii="Arial" w:cs="Arial" w:eastAsia="Arial" w:hAnsi="Arial"/>
          <w:sz w:val="18"/>
          <w:szCs w:val="18"/>
          <w:color w:val="auto"/>
        </w:rPr>
        <w:t>April 27, 2017</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6073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300"/>
        <w:spacing w:after="0"/>
        <w:tabs>
          <w:tab w:leader="none" w:pos="5740" w:val="left"/>
        </w:tabs>
        <w:rPr>
          <w:sz w:val="20"/>
          <w:szCs w:val="20"/>
          <w:color w:val="auto"/>
        </w:rPr>
      </w:pPr>
      <w:r>
        <w:rPr>
          <w:rFonts w:ascii="Arial" w:cs="Arial" w:eastAsia="Arial" w:hAnsi="Arial"/>
          <w:sz w:val="18"/>
          <w:szCs w:val="18"/>
          <w:color w:val="auto"/>
        </w:rPr>
        <w:t>April 27, 2017</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31750</wp:posOffset>
            </wp:positionV>
            <wp:extent cx="26073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Executive Vice President and</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2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00"/>
          </w:cols>
          <w:pgMar w:left="240" w:top="589" w:right="11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60"/>
        <w:spacing w:after="0"/>
        <w:tabs>
          <w:tab w:leader="none" w:pos="6980" w:val="left"/>
        </w:tabs>
        <w:rPr>
          <w:sz w:val="20"/>
          <w:szCs w:val="20"/>
          <w:color w:val="auto"/>
        </w:rPr>
      </w:pPr>
      <w:r>
        <w:rPr>
          <w:rFonts w:ascii="Arial" w:cs="Arial" w:eastAsia="Arial" w:hAnsi="Arial"/>
          <w:sz w:val="18"/>
          <w:szCs w:val="18"/>
          <w:color w:val="auto"/>
        </w:rPr>
        <w:t>April 27, 2017</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18351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70" w:lineRule="exact"/>
        <w:rPr>
          <w:sz w:val="20"/>
          <w:szCs w:val="20"/>
          <w:color w:val="auto"/>
        </w:rPr>
      </w:pPr>
    </w:p>
    <w:p>
      <w:pPr>
        <w:jc w:val="center"/>
        <w:ind w:left="446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44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34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252"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60" w:firstLine="5"/>
        <w:spacing w:after="0" w:line="342" w:lineRule="auto"/>
        <w:tabs>
          <w:tab w:leader="none" w:pos="1545"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right="80" w:firstLine="5"/>
        <w:spacing w:after="0" w:line="277" w:lineRule="auto"/>
        <w:tabs>
          <w:tab w:leader="none" w:pos="15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1960"/>
        <w:spacing w:after="0"/>
        <w:tabs>
          <w:tab w:leader="none" w:pos="6420" w:val="left"/>
        </w:tabs>
        <w:rPr>
          <w:sz w:val="20"/>
          <w:szCs w:val="20"/>
          <w:color w:val="auto"/>
        </w:rPr>
      </w:pPr>
      <w:r>
        <w:rPr>
          <w:rFonts w:ascii="Arial" w:cs="Arial" w:eastAsia="Arial" w:hAnsi="Arial"/>
          <w:sz w:val="18"/>
          <w:szCs w:val="18"/>
          <w:color w:val="auto"/>
        </w:rPr>
        <w:t>April 27, 2017</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1697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8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24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Each of the undersigned in the capacity indicated hereby certifies that, to his knowledge, this Report on Form 10-Q for the fiscal quarter ended April 1, 2017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60"/>
        <w:spacing w:after="0"/>
        <w:tabs>
          <w:tab w:leader="none" w:pos="6580" w:val="left"/>
        </w:tabs>
        <w:rPr>
          <w:sz w:val="20"/>
          <w:szCs w:val="20"/>
          <w:color w:val="auto"/>
        </w:rPr>
      </w:pPr>
      <w:r>
        <w:rPr>
          <w:rFonts w:ascii="Arial" w:cs="Arial" w:eastAsia="Arial" w:hAnsi="Arial"/>
          <w:sz w:val="18"/>
          <w:szCs w:val="18"/>
          <w:color w:val="auto"/>
        </w:rPr>
        <w:t>April 27, 2017</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28473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jc w:val="center"/>
        <w:ind w:left="3680"/>
        <w:spacing w:after="0"/>
        <w:rPr>
          <w:sz w:val="20"/>
          <w:szCs w:val="20"/>
          <w:color w:val="auto"/>
        </w:rPr>
      </w:pPr>
      <w:r>
        <w:rPr>
          <w:rFonts w:ascii="Arial" w:cs="Arial" w:eastAsia="Arial" w:hAnsi="Arial"/>
          <w:sz w:val="18"/>
          <w:szCs w:val="18"/>
          <w:color w:val="auto"/>
        </w:rPr>
        <w:t>Michael D. Casey</w:t>
      </w:r>
    </w:p>
    <w:p>
      <w:pPr>
        <w:spacing w:after="0" w:line="63" w:lineRule="exact"/>
        <w:rPr>
          <w:sz w:val="20"/>
          <w:szCs w:val="20"/>
          <w:color w:val="auto"/>
        </w:rPr>
      </w:pPr>
    </w:p>
    <w:p>
      <w:pPr>
        <w:jc w:val="center"/>
        <w:ind w:left="368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60"/>
        <w:spacing w:after="0"/>
        <w:tabs>
          <w:tab w:leader="none" w:pos="6180" w:val="left"/>
        </w:tabs>
        <w:rPr>
          <w:sz w:val="20"/>
          <w:szCs w:val="20"/>
          <w:color w:val="auto"/>
        </w:rPr>
      </w:pPr>
      <w:r>
        <w:rPr>
          <w:rFonts w:ascii="Arial" w:cs="Arial" w:eastAsia="Arial" w:hAnsi="Arial"/>
          <w:sz w:val="18"/>
          <w:szCs w:val="18"/>
          <w:color w:val="auto"/>
        </w:rPr>
        <w:t>April 27, 2017</w:t>
      </w:r>
      <w:r>
        <w:rPr>
          <w:sz w:val="20"/>
          <w:szCs w:val="20"/>
          <w:color w:val="auto"/>
        </w:rPr>
        <w:tab/>
      </w:r>
      <w:r>
        <w:rPr>
          <w:rFonts w:ascii="Arial" w:cs="Arial" w:eastAsia="Arial" w:hAnsi="Arial"/>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28473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Richard F. Westenberger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1">
    <w:nsid w:val="109CF92E"/>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2019-12-29T07:02:48Z</dcterms:created>
  <dcterms:modified xsi:type="dcterms:W3CDTF">2019-12-29T07:02:48Z</dcterms:modified>
</cp:coreProperties>
</file>