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jc w:val="center"/>
        <w:ind w:left="3940" w:right="1300" w:hanging="2611"/>
        <w:spacing w:after="0" w:line="305" w:lineRule="auto"/>
        <w:tabs>
          <w:tab w:leader="none" w:pos="1684"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54" w:lineRule="exact"/>
        <w:rPr>
          <w:sz w:val="24"/>
          <w:szCs w:val="24"/>
          <w:color w:val="auto"/>
        </w:rPr>
      </w:pPr>
    </w:p>
    <w:p>
      <w:pPr>
        <w:ind w:left="3660" w:right="1260" w:hanging="2366"/>
        <w:spacing w:after="0" w:line="247" w:lineRule="auto"/>
        <w:tabs>
          <w:tab w:leader="none" w:pos="1709"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 __________</w:t>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001-31829</w:t>
      </w:r>
    </w:p>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CARTER’S, INC.</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057" w:right="359" w:bottom="1440" w:gutter="0" w:footer="0" w:header="0"/>
        </w:sectPr>
      </w:pPr>
    </w:p>
    <w:p>
      <w:pPr>
        <w:spacing w:after="0" w:line="158"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13-3912933</w:t>
      </w:r>
    </w:p>
    <w:p>
      <w:pPr>
        <w:spacing w:after="0" w:line="59" w:lineRule="exact"/>
        <w:rPr>
          <w:sz w:val="24"/>
          <w:szCs w:val="24"/>
          <w:color w:val="auto"/>
        </w:rPr>
      </w:pPr>
    </w:p>
    <w:p>
      <w:pPr>
        <w:sectPr>
          <w:pgSz w:w="11900" w:h="16838" w:orient="portrait"/>
          <w:cols w:equalWidth="0" w:num="2">
            <w:col w:w="7140" w:space="720"/>
            <w:col w:w="3360"/>
          </w:cols>
          <w:pgMar w:left="320" w:top="1057" w:right="359" w:bottom="1440" w:gutter="0" w:footer="0" w:header="0"/>
          <w:type w:val="continuous"/>
        </w:sectPr>
      </w:pPr>
    </w:p>
    <w:p>
      <w:pPr>
        <w:ind w:left="1980"/>
        <w:spacing w:after="0"/>
        <w:rPr>
          <w:sz w:val="20"/>
          <w:szCs w:val="20"/>
          <w:color w:val="auto"/>
        </w:rPr>
      </w:pPr>
      <w:r>
        <w:rPr>
          <w:rFonts w:ascii="Arial" w:cs="Arial" w:eastAsia="Arial" w:hAnsi="Arial"/>
          <w:sz w:val="15"/>
          <w:szCs w:val="15"/>
          <w:color w:val="auto"/>
        </w:rPr>
        <w:t>(State or other jurisdiction of</w:t>
      </w:r>
    </w:p>
    <w:p>
      <w:pPr>
        <w:spacing w:after="0" w:line="44" w:lineRule="exact"/>
        <w:rPr>
          <w:sz w:val="24"/>
          <w:szCs w:val="24"/>
          <w:color w:val="auto"/>
        </w:rPr>
      </w:pPr>
    </w:p>
    <w:p>
      <w:pPr>
        <w:ind w:left="19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404" w:lineRule="exact"/>
        <w:rPr>
          <w:sz w:val="24"/>
          <w:szCs w:val="24"/>
          <w:color w:val="auto"/>
        </w:rPr>
      </w:pPr>
    </w:p>
    <w:p>
      <w:pPr>
        <w:sectPr>
          <w:pgSz w:w="11900" w:h="16838" w:orient="portrait"/>
          <w:cols w:equalWidth="0" w:num="2">
            <w:col w:w="6360" w:space="720"/>
            <w:col w:w="4140"/>
          </w:cols>
          <w:pgMar w:left="320" w:top="1057" w:right="35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9"/>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5" w:lineRule="exact"/>
        <w:rPr>
          <w:sz w:val="24"/>
          <w:szCs w:val="24"/>
          <w:color w:val="auto"/>
        </w:rPr>
      </w:pPr>
    </w:p>
    <w:p>
      <w:pPr>
        <w:ind w:right="28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5"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1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96"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9"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Arial" w:cs="Arial" w:eastAsia="Arial" w:hAnsi="Arial"/>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20, 2023, there were 36,824,808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60" w:type="dxa"/>
            <w:vAlign w:val="bottom"/>
            <w:gridSpan w:val="29"/>
          </w:tcPr>
          <w:p>
            <w:pPr>
              <w:spacing w:after="0"/>
              <w:rPr>
                <w:sz w:val="20"/>
                <w:szCs w:val="20"/>
                <w:color w:val="auto"/>
              </w:rPr>
            </w:pPr>
            <w:r>
              <w:rPr>
                <w:rFonts w:ascii="Arial" w:cs="Arial" w:eastAsia="Arial" w:hAnsi="Arial"/>
                <w:sz w:val="18"/>
                <w:szCs w:val="18"/>
                <w:b w:val="1"/>
                <w:bCs w:val="1"/>
                <w:color w:val="0000FF"/>
              </w:rPr>
              <w:t>Part I. Financial Information</w:t>
            </w:r>
          </w:p>
        </w:tc>
        <w:tc>
          <w:tcPr>
            <w:tcW w:w="1560" w:type="dxa"/>
            <w:vAlign w:val="bottom"/>
            <w:gridSpan w:val="5"/>
          </w:tcPr>
          <w:p>
            <w:pPr>
              <w:ind w:left="58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w w:val="89"/>
              </w:rPr>
              <w:t>Item 1</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rPr>
              <w:t>Financial Statements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2"/>
              </w:rPr>
              <w:t>Unaudited Condensed Consolidated Balance Sheets as of September 30, 2023, December 31, 2022 and October 1, 2022</w:t>
            </w:r>
          </w:p>
        </w:tc>
        <w:tc>
          <w:tcPr>
            <w:tcW w:w="820" w:type="dxa"/>
            <w:vAlign w:val="bottom"/>
            <w:gridSpan w:val="3"/>
          </w:tcPr>
          <w:p>
            <w:pPr>
              <w:jc w:val="center"/>
              <w:ind w:left="658"/>
              <w:spacing w:after="0" w:line="175" w:lineRule="exact"/>
              <w:rPr>
                <w:sz w:val="20"/>
                <w:szCs w:val="20"/>
                <w:color w:val="auto"/>
              </w:rPr>
            </w:pPr>
            <w:r>
              <w:rPr>
                <w:rFonts w:ascii="Arial" w:cs="Arial" w:eastAsia="Arial" w:hAnsi="Arial"/>
                <w:sz w:val="16"/>
                <w:szCs w:val="16"/>
                <w:color w:val="0000FF"/>
                <w:w w:val="89"/>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w w:val="98"/>
              </w:rPr>
              <w:t>Unaudited Condensed Consolidated Statements of Operations for the fiscal quarter and three fiscal quarters ended</w:t>
            </w:r>
          </w:p>
        </w:tc>
        <w:tc>
          <w:tcPr>
            <w:tcW w:w="820" w:type="dxa"/>
            <w:vAlign w:val="bottom"/>
            <w:gridSpan w:val="3"/>
            <w:vMerge w:val="restart"/>
            <w:shd w:val="clear" w:color="auto" w:fill="CCEEFF"/>
          </w:tcPr>
          <w:p>
            <w:pPr>
              <w:jc w:val="center"/>
              <w:ind w:left="658"/>
              <w:spacing w:after="0"/>
              <w:rPr>
                <w:sz w:val="20"/>
                <w:szCs w:val="20"/>
                <w:color w:val="auto"/>
              </w:rPr>
            </w:pPr>
            <w:r>
              <w:rPr>
                <w:rFonts w:ascii="Arial" w:cs="Arial" w:eastAsia="Arial" w:hAnsi="Arial"/>
                <w:sz w:val="16"/>
                <w:szCs w:val="16"/>
                <w:color w:val="0000FF"/>
                <w:w w:val="89"/>
              </w:rPr>
              <w:t>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0000FF"/>
            </w:tcBorders>
            <w:gridSpan w:val="11"/>
            <w:shd w:val="clear" w:color="auto" w:fill="CCEEFF"/>
          </w:tcPr>
          <w:p>
            <w:pPr>
              <w:spacing w:after="0" w:line="142" w:lineRule="exact"/>
              <w:rPr>
                <w:sz w:val="20"/>
                <w:szCs w:val="20"/>
                <w:color w:val="auto"/>
              </w:rPr>
            </w:pPr>
            <w:r>
              <w:rPr>
                <w:rFonts w:ascii="Arial" w:cs="Arial" w:eastAsia="Arial" w:hAnsi="Arial"/>
                <w:sz w:val="16"/>
                <w:szCs w:val="16"/>
                <w:color w:val="0000FF"/>
                <w:w w:val="89"/>
              </w:rPr>
              <w:t>September 30, 2023 and October 1, 2022</w:t>
            </w:r>
          </w:p>
        </w:tc>
        <w:tc>
          <w:tcPr>
            <w:tcW w:w="4720" w:type="dxa"/>
            <w:vAlign w:val="bottom"/>
            <w:tcBorders>
              <w:top w:val="single" w:sz="8" w:color="0000FF"/>
            </w:tcBorders>
            <w:gridSpan w:val="8"/>
            <w:shd w:val="clear" w:color="auto" w:fill="CCEEFF"/>
          </w:tcPr>
          <w:p>
            <w:pPr>
              <w:spacing w:after="0"/>
              <w:rPr>
                <w:sz w:val="12"/>
                <w:szCs w:val="12"/>
                <w:color w:val="auto"/>
              </w:rPr>
            </w:pPr>
          </w:p>
        </w:tc>
        <w:tc>
          <w:tcPr>
            <w:tcW w:w="4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3"/>
              </w:rPr>
              <w:t>Unaudited Condensed Consolidated Statements of Comprehensive Income for the fiscal quarter and three fiscal quarters</w:t>
            </w:r>
          </w:p>
        </w:tc>
        <w:tc>
          <w:tcPr>
            <w:tcW w:w="820" w:type="dxa"/>
            <w:vAlign w:val="bottom"/>
            <w:gridSpan w:val="3"/>
            <w:vMerge w:val="restart"/>
          </w:tcPr>
          <w:p>
            <w:pPr>
              <w:jc w:val="center"/>
              <w:ind w:left="658"/>
              <w:spacing w:after="0"/>
              <w:rPr>
                <w:sz w:val="20"/>
                <w:szCs w:val="20"/>
                <w:color w:val="auto"/>
              </w:rPr>
            </w:pPr>
            <w:r>
              <w:rPr>
                <w:rFonts w:ascii="Arial" w:cs="Arial" w:eastAsia="Arial" w:hAnsi="Arial"/>
                <w:sz w:val="16"/>
                <w:szCs w:val="16"/>
                <w:color w:val="0000FF"/>
                <w:w w:val="89"/>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78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ended September 30, 2023 and October 1, 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rPr>
              <w:t>Unaudited Condensed Consolidated Statements of Changes in Stockholders’ Equity for the fiscal quarters ended</w:t>
            </w:r>
          </w:p>
        </w:tc>
        <w:tc>
          <w:tcPr>
            <w:tcW w:w="820" w:type="dxa"/>
            <w:vAlign w:val="bottom"/>
            <w:gridSpan w:val="3"/>
            <w:vMerge w:val="restart"/>
            <w:shd w:val="clear" w:color="auto" w:fill="CCEEFF"/>
          </w:tcPr>
          <w:p>
            <w:pPr>
              <w:jc w:val="center"/>
              <w:ind w:left="658"/>
              <w:spacing w:after="0"/>
              <w:rPr>
                <w:sz w:val="20"/>
                <w:szCs w:val="20"/>
                <w:color w:val="auto"/>
              </w:rPr>
            </w:pPr>
            <w:r>
              <w:rPr>
                <w:rFonts w:ascii="Arial" w:cs="Arial" w:eastAsia="Arial" w:hAnsi="Arial"/>
                <w:sz w:val="16"/>
                <w:szCs w:val="16"/>
                <w:color w:val="0000FF"/>
                <w:w w:val="89"/>
              </w:rPr>
              <w:t>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320" w:type="dxa"/>
            <w:vAlign w:val="bottom"/>
            <w:tcBorders>
              <w:top w:val="single" w:sz="8" w:color="0000FF"/>
            </w:tcBorders>
            <w:gridSpan w:val="17"/>
            <w:shd w:val="clear" w:color="auto" w:fill="CCEEFF"/>
          </w:tcPr>
          <w:p>
            <w:pPr>
              <w:spacing w:after="0" w:line="142" w:lineRule="exact"/>
              <w:rPr>
                <w:sz w:val="20"/>
                <w:szCs w:val="20"/>
                <w:color w:val="auto"/>
              </w:rPr>
            </w:pPr>
            <w:r>
              <w:rPr>
                <w:rFonts w:ascii="Arial" w:cs="Arial" w:eastAsia="Arial" w:hAnsi="Arial"/>
                <w:sz w:val="16"/>
                <w:szCs w:val="16"/>
                <w:color w:val="0000FF"/>
                <w:w w:val="92"/>
              </w:rPr>
              <w:t>September 30, 2023, July 1, 2023, April 1, 2023, October 1, 2022, July 2, 2022 and April 2, 2022</w:t>
            </w:r>
          </w:p>
        </w:tc>
        <w:tc>
          <w:tcPr>
            <w:tcW w:w="960" w:type="dxa"/>
            <w:vAlign w:val="bottom"/>
            <w:tcBorders>
              <w:top w:val="single" w:sz="8" w:color="0000FF"/>
            </w:tcBorders>
            <w:shd w:val="clear" w:color="auto" w:fill="CCEEFF"/>
          </w:tcPr>
          <w:p>
            <w:pPr>
              <w:spacing w:after="0"/>
              <w:rPr>
                <w:sz w:val="12"/>
                <w:szCs w:val="12"/>
                <w:color w:val="auto"/>
              </w:rPr>
            </w:pPr>
          </w:p>
        </w:tc>
        <w:tc>
          <w:tcPr>
            <w:tcW w:w="600" w:type="dxa"/>
            <w:vAlign w:val="bottom"/>
            <w:tcBorders>
              <w:top w:val="single" w:sz="8" w:color="CCEEFF"/>
            </w:tcBorders>
            <w:gridSpan w:val="4"/>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1"/>
              </w:rPr>
              <w:t>Unaudited Condensed Consolidated Statements of Cash Flows for the three fiscal quarters ended September 30, 2023 and</w:t>
            </w:r>
          </w:p>
        </w:tc>
        <w:tc>
          <w:tcPr>
            <w:tcW w:w="820" w:type="dxa"/>
            <w:vAlign w:val="bottom"/>
            <w:gridSpan w:val="3"/>
            <w:vMerge w:val="restart"/>
          </w:tcPr>
          <w:p>
            <w:pPr>
              <w:jc w:val="center"/>
              <w:ind w:left="658"/>
              <w:spacing w:after="0"/>
              <w:rPr>
                <w:sz w:val="20"/>
                <w:szCs w:val="20"/>
                <w:color w:val="auto"/>
              </w:rPr>
            </w:pPr>
            <w:r>
              <w:rPr>
                <w:rFonts w:ascii="Arial" w:cs="Arial" w:eastAsia="Arial" w:hAnsi="Arial"/>
                <w:sz w:val="16"/>
                <w:szCs w:val="16"/>
                <w:color w:val="0000FF"/>
                <w:w w:val="89"/>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80" w:type="dxa"/>
            <w:vAlign w:val="bottom"/>
            <w:tcBorders>
              <w:top w:val="single" w:sz="8" w:color="0000FF"/>
            </w:tcBorders>
            <w:gridSpan w:val="22"/>
          </w:tcPr>
          <w:p>
            <w:pPr>
              <w:spacing w:after="0" w:line="142" w:lineRule="exact"/>
              <w:rPr>
                <w:sz w:val="20"/>
                <w:szCs w:val="20"/>
                <w:color w:val="auto"/>
              </w:rPr>
            </w:pPr>
            <w:r>
              <w:rPr>
                <w:rFonts w:ascii="Arial" w:cs="Arial" w:eastAsia="Arial" w:hAnsi="Arial"/>
                <w:sz w:val="16"/>
                <w:szCs w:val="16"/>
                <w:color w:val="0000FF"/>
              </w:rPr>
              <w:t>October 1, 2022</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rPr>
              <w:t>Notes to the Unaudited Condensed Consolidated Financial Statements</w:t>
            </w:r>
          </w:p>
        </w:tc>
        <w:tc>
          <w:tcPr>
            <w:tcW w:w="820" w:type="dxa"/>
            <w:vAlign w:val="bottom"/>
            <w:gridSpan w:val="3"/>
            <w:shd w:val="clear" w:color="auto" w:fill="CCEEFF"/>
          </w:tcPr>
          <w:p>
            <w:pPr>
              <w:jc w:val="center"/>
              <w:ind w:left="658"/>
              <w:spacing w:after="0" w:line="175" w:lineRule="exact"/>
              <w:rPr>
                <w:sz w:val="20"/>
                <w:szCs w:val="20"/>
                <w:color w:val="auto"/>
              </w:rPr>
            </w:pPr>
            <w:r>
              <w:rPr>
                <w:rFonts w:ascii="Arial" w:cs="Arial" w:eastAsia="Arial" w:hAnsi="Arial"/>
                <w:sz w:val="16"/>
                <w:szCs w:val="16"/>
                <w:color w:val="0000FF"/>
                <w:w w:val="89"/>
              </w:rPr>
              <w:t>7</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Arial" w:cs="Arial" w:eastAsia="Arial" w:hAnsi="Arial"/>
                <w:sz w:val="16"/>
                <w:szCs w:val="16"/>
                <w:color w:val="0000FF"/>
              </w:rPr>
              <w:t>Item 2</w:t>
            </w: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6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w w:val="89"/>
              </w:rPr>
              <w:t>Item 3</w:t>
            </w:r>
          </w:p>
        </w:tc>
        <w:tc>
          <w:tcPr>
            <w:tcW w:w="640" w:type="dxa"/>
            <w:vAlign w:val="bottom"/>
            <w:gridSpan w:val="3"/>
            <w:shd w:val="clear" w:color="auto" w:fill="CCEEFF"/>
          </w:tcPr>
          <w:p>
            <w:pPr>
              <w:spacing w:after="0"/>
              <w:rPr>
                <w:sz w:val="15"/>
                <w:szCs w:val="15"/>
                <w:color w:val="auto"/>
              </w:rPr>
            </w:pPr>
          </w:p>
        </w:tc>
        <w:tc>
          <w:tcPr>
            <w:tcW w:w="3880" w:type="dxa"/>
            <w:vAlign w:val="bottom"/>
            <w:gridSpan w:val="13"/>
            <w:shd w:val="clear" w:color="auto" w:fill="CCEEFF"/>
          </w:tcPr>
          <w:p>
            <w:pPr>
              <w:spacing w:after="0" w:line="175" w:lineRule="exact"/>
              <w:rPr>
                <w:sz w:val="20"/>
                <w:szCs w:val="20"/>
                <w:color w:val="auto"/>
              </w:rPr>
            </w:pPr>
            <w:r>
              <w:rPr>
                <w:rFonts w:ascii="Arial" w:cs="Arial" w:eastAsia="Arial" w:hAnsi="Arial"/>
                <w:sz w:val="16"/>
                <w:szCs w:val="16"/>
                <w:color w:val="0000FF"/>
                <w:w w:val="92"/>
              </w:rPr>
              <w:t>Quantitative and Qualitative Disclosures about Market Risk</w:t>
            </w:r>
          </w:p>
        </w:tc>
        <w:tc>
          <w:tcPr>
            <w:tcW w:w="4120" w:type="dxa"/>
            <w:vAlign w:val="bottom"/>
            <w:gridSpan w:val="10"/>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Arial" w:cs="Arial" w:eastAsia="Arial" w:hAnsi="Arial"/>
                <w:sz w:val="16"/>
                <w:szCs w:val="16"/>
                <w:color w:val="0000FF"/>
                <w:w w:val="89"/>
              </w:rPr>
              <w:t>Item 4</w:t>
            </w:r>
          </w:p>
        </w:tc>
        <w:tc>
          <w:tcPr>
            <w:tcW w:w="640" w:type="dxa"/>
            <w:vAlign w:val="bottom"/>
            <w:gridSpan w:val="3"/>
          </w:tcPr>
          <w:p>
            <w:pPr>
              <w:spacing w:after="0"/>
              <w:rPr>
                <w:sz w:val="15"/>
                <w:szCs w:val="15"/>
                <w:color w:val="auto"/>
              </w:rPr>
            </w:pPr>
          </w:p>
        </w:tc>
        <w:tc>
          <w:tcPr>
            <w:tcW w:w="3880" w:type="dxa"/>
            <w:vAlign w:val="bottom"/>
            <w:gridSpan w:val="13"/>
          </w:tcPr>
          <w:p>
            <w:pPr>
              <w:spacing w:after="0" w:line="175" w:lineRule="exact"/>
              <w:rPr>
                <w:sz w:val="20"/>
                <w:szCs w:val="20"/>
                <w:color w:val="auto"/>
              </w:rPr>
            </w:pPr>
            <w:r>
              <w:rPr>
                <w:rFonts w:ascii="Arial" w:cs="Arial" w:eastAsia="Arial" w:hAnsi="Arial"/>
                <w:sz w:val="16"/>
                <w:szCs w:val="16"/>
                <w:color w:val="0000FF"/>
              </w:rPr>
              <w:t>Controls and Procedures</w:t>
            </w:r>
          </w:p>
        </w:tc>
        <w:tc>
          <w:tcPr>
            <w:tcW w:w="4120" w:type="dxa"/>
            <w:vAlign w:val="bottom"/>
            <w:gridSpan w:val="10"/>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29</w:t>
            </w:r>
          </w:p>
        </w:tc>
        <w:tc>
          <w:tcPr>
            <w:tcW w:w="0" w:type="dxa"/>
            <w:vAlign w:val="bottom"/>
          </w:tcPr>
          <w:p>
            <w:pPr>
              <w:spacing w:after="0"/>
              <w:rPr>
                <w:sz w:val="1"/>
                <w:szCs w:val="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0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29"/>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w w:val="89"/>
              </w:rPr>
              <w:t>Item 1</w:t>
            </w:r>
          </w:p>
        </w:tc>
        <w:tc>
          <w:tcPr>
            <w:tcW w:w="640" w:type="dxa"/>
            <w:vAlign w:val="bottom"/>
            <w:gridSpan w:val="3"/>
            <w:shd w:val="clear" w:color="auto" w:fill="CCEEFF"/>
          </w:tcPr>
          <w:p>
            <w:pPr>
              <w:spacing w:after="0"/>
              <w:rPr>
                <w:sz w:val="15"/>
                <w:szCs w:val="15"/>
                <w:color w:val="auto"/>
              </w:rPr>
            </w:pPr>
          </w:p>
        </w:tc>
        <w:tc>
          <w:tcPr>
            <w:tcW w:w="120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color w:val="0000FF"/>
                <w:w w:val="89"/>
              </w:rPr>
              <w:t>Legal Proceedings</w:t>
            </w:r>
          </w:p>
        </w:tc>
        <w:tc>
          <w:tcPr>
            <w:tcW w:w="6800" w:type="dxa"/>
            <w:vAlign w:val="bottom"/>
            <w:gridSpan w:val="16"/>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Arial" w:cs="Arial" w:eastAsia="Arial" w:hAnsi="Arial"/>
                <w:sz w:val="16"/>
                <w:szCs w:val="16"/>
                <w:color w:val="0000FF"/>
              </w:rPr>
              <w:t>Item 1A</w:t>
            </w: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rPr>
              <w:t>Risk Factors</w:t>
            </w:r>
          </w:p>
        </w:tc>
        <w:tc>
          <w:tcPr>
            <w:tcW w:w="156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w w:val="89"/>
              </w:rPr>
              <w:t>Item 2</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1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Arial" w:cs="Arial" w:eastAsia="Arial" w:hAnsi="Arial"/>
                <w:sz w:val="16"/>
                <w:szCs w:val="16"/>
                <w:color w:val="0000FF"/>
                <w:w w:val="89"/>
              </w:rPr>
              <w:t>Item 3</w:t>
            </w:r>
          </w:p>
        </w:tc>
        <w:tc>
          <w:tcPr>
            <w:tcW w:w="640" w:type="dxa"/>
            <w:vAlign w:val="bottom"/>
            <w:gridSpan w:val="3"/>
          </w:tcPr>
          <w:p>
            <w:pPr>
              <w:spacing w:after="0"/>
              <w:rPr>
                <w:sz w:val="15"/>
                <w:szCs w:val="15"/>
                <w:color w:val="auto"/>
              </w:rPr>
            </w:pPr>
          </w:p>
        </w:tc>
        <w:tc>
          <w:tcPr>
            <w:tcW w:w="3900" w:type="dxa"/>
            <w:vAlign w:val="bottom"/>
            <w:gridSpan w:val="14"/>
          </w:tcPr>
          <w:p>
            <w:pPr>
              <w:spacing w:after="0" w:line="175" w:lineRule="exact"/>
              <w:rPr>
                <w:sz w:val="20"/>
                <w:szCs w:val="20"/>
                <w:color w:val="auto"/>
              </w:rPr>
            </w:pPr>
            <w:r>
              <w:rPr>
                <w:rFonts w:ascii="Arial" w:cs="Arial" w:eastAsia="Arial" w:hAnsi="Arial"/>
                <w:sz w:val="16"/>
                <w:szCs w:val="16"/>
                <w:color w:val="0000FF"/>
              </w:rPr>
              <w:t>Defaults upon Senior Securities</w:t>
            </w:r>
          </w:p>
        </w:tc>
        <w:tc>
          <w:tcPr>
            <w:tcW w:w="410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w w:val="89"/>
              </w:rPr>
              <w:t>Item 4</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rPr>
              <w:t>Mine Safety Disclosures</w:t>
            </w:r>
          </w:p>
        </w:tc>
        <w:tc>
          <w:tcPr>
            <w:tcW w:w="1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Arial" w:cs="Arial" w:eastAsia="Arial" w:hAnsi="Arial"/>
                <w:sz w:val="16"/>
                <w:szCs w:val="16"/>
                <w:color w:val="0000FF"/>
                <w:w w:val="89"/>
              </w:rPr>
              <w:t>Item 5</w:t>
            </w:r>
          </w:p>
        </w:tc>
        <w:tc>
          <w:tcPr>
            <w:tcW w:w="640" w:type="dxa"/>
            <w:vAlign w:val="bottom"/>
            <w:gridSpan w:val="3"/>
          </w:tcPr>
          <w:p>
            <w:pPr>
              <w:spacing w:after="0"/>
              <w:rPr>
                <w:sz w:val="15"/>
                <w:szCs w:val="15"/>
                <w:color w:val="auto"/>
              </w:rPr>
            </w:pPr>
          </w:p>
        </w:tc>
        <w:tc>
          <w:tcPr>
            <w:tcW w:w="1580" w:type="dxa"/>
            <w:vAlign w:val="bottom"/>
            <w:gridSpan w:val="9"/>
          </w:tcPr>
          <w:p>
            <w:pPr>
              <w:spacing w:after="0" w:line="175" w:lineRule="exact"/>
              <w:rPr>
                <w:sz w:val="20"/>
                <w:szCs w:val="20"/>
                <w:color w:val="auto"/>
              </w:rPr>
            </w:pPr>
            <w:r>
              <w:rPr>
                <w:rFonts w:ascii="Arial" w:cs="Arial" w:eastAsia="Arial" w:hAnsi="Arial"/>
                <w:sz w:val="16"/>
                <w:szCs w:val="16"/>
                <w:color w:val="0000FF"/>
              </w:rPr>
              <w:t>Other Information</w:t>
            </w:r>
          </w:p>
        </w:tc>
        <w:tc>
          <w:tcPr>
            <w:tcW w:w="6420" w:type="dxa"/>
            <w:vAlign w:val="bottom"/>
            <w:gridSpan w:val="14"/>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color w:val="0000FF"/>
              </w:rPr>
              <w:t>Item 6</w:t>
            </w: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rPr>
              <w:t>Exhibits</w:t>
            </w:r>
          </w:p>
        </w:tc>
        <w:tc>
          <w:tcPr>
            <w:tcW w:w="1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31</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0000FF"/>
                <w:w w:val="89"/>
              </w:rPr>
              <w:t>32</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Certifications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5"/>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2023</w:t>
            </w:r>
          </w:p>
        </w:tc>
        <w:tc>
          <w:tcPr>
            <w:tcW w:w="20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 2022</w:t>
            </w:r>
          </w:p>
        </w:tc>
        <w:tc>
          <w:tcPr>
            <w:tcW w:w="260" w:type="dxa"/>
            <w:vAlign w:val="bottom"/>
          </w:tcPr>
          <w:p>
            <w:pPr>
              <w:spacing w:after="0"/>
              <w:rPr>
                <w:sz w:val="17"/>
                <w:szCs w:val="17"/>
                <w:color w:val="auto"/>
              </w:rPr>
            </w:pPr>
          </w:p>
        </w:tc>
        <w:tc>
          <w:tcPr>
            <w:tcW w:w="1600" w:type="dxa"/>
            <w:vAlign w:val="bottom"/>
          </w:tcPr>
          <w:p>
            <w:pPr>
              <w:jc w:val="right"/>
              <w:ind w:right="344"/>
              <w:spacing w:after="0"/>
              <w:rPr>
                <w:sz w:val="20"/>
                <w:szCs w:val="20"/>
                <w:color w:val="auto"/>
              </w:rPr>
            </w:pPr>
            <w:r>
              <w:rPr>
                <w:rFonts w:ascii="Arial" w:cs="Arial" w:eastAsia="Arial" w:hAnsi="Arial"/>
                <w:sz w:val="15"/>
                <w:szCs w:val="15"/>
                <w:b w:val="1"/>
                <w:bCs w:val="1"/>
                <w:color w:val="auto"/>
              </w:rPr>
              <w:t>October 1, 2022</w:t>
            </w:r>
          </w:p>
        </w:tc>
      </w:tr>
      <w:tr>
        <w:trPr>
          <w:trHeight w:val="187"/>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7"/>
        </w:trPr>
        <w:tc>
          <w:tcPr>
            <w:tcW w:w="5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169,106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211,748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121,649</w:t>
            </w:r>
          </w:p>
        </w:tc>
      </w:tr>
      <w:tr>
        <w:trPr>
          <w:trHeight w:val="149"/>
        </w:trPr>
        <w:tc>
          <w:tcPr>
            <w:tcW w:w="5420" w:type="dxa"/>
            <w:vAlign w:val="bottom"/>
          </w:tcPr>
          <w:p>
            <w:pPr>
              <w:ind w:left="140"/>
              <w:spacing w:after="0" w:line="149" w:lineRule="exact"/>
              <w:rPr>
                <w:sz w:val="20"/>
                <w:szCs w:val="20"/>
                <w:color w:val="auto"/>
              </w:rPr>
            </w:pPr>
            <w:r>
              <w:rPr>
                <w:rFonts w:ascii="Arial" w:cs="Arial" w:eastAsia="Arial" w:hAnsi="Arial"/>
                <w:sz w:val="15"/>
                <w:szCs w:val="15"/>
                <w:color w:val="auto"/>
                <w:w w:val="92"/>
              </w:rPr>
              <w:t>Accounts receivable, net of allowance for credit losses of $6,741, $7,189, and $6,290,</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420" w:type="dxa"/>
            <w:vAlign w:val="bottom"/>
          </w:tcPr>
          <w:p>
            <w:pPr>
              <w:ind w:left="140"/>
              <w:spacing w:after="0"/>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240,507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198,587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265,593</w:t>
            </w:r>
          </w:p>
        </w:tc>
      </w:tr>
      <w:tr>
        <w:trPr>
          <w:trHeight w:val="153"/>
        </w:trPr>
        <w:tc>
          <w:tcPr>
            <w:tcW w:w="54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Finished goods inventories, net of inventory reserves of $19,014, $19,268, and</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16"/>
        </w:trPr>
        <w:tc>
          <w:tcPr>
            <w:tcW w:w="5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$25,628, respectively</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620,669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744,573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899,326</w:t>
            </w:r>
          </w:p>
        </w:tc>
      </w:tr>
      <w:tr>
        <w:trPr>
          <w:trHeight w:val="203"/>
        </w:trPr>
        <w:tc>
          <w:tcPr>
            <w:tcW w:w="542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5"/>
                <w:szCs w:val="15"/>
                <w:color w:val="auto"/>
              </w:rPr>
              <w:t>Prepaid expenses and other current assets</w:t>
            </w:r>
            <w:r>
              <w:rPr>
                <w:rFonts w:ascii="Arial" w:cs="Arial" w:eastAsia="Arial" w:hAnsi="Arial"/>
                <w:sz w:val="19"/>
                <w:szCs w:val="19"/>
                <w:color w:val="auto"/>
                <w:vertAlign w:val="superscript"/>
              </w:rPr>
              <w: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37,604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59,964</w:t>
            </w:r>
          </w:p>
        </w:tc>
      </w:tr>
      <w:tr>
        <w:trPr>
          <w:trHeight w:val="196"/>
        </w:trPr>
        <w:tc>
          <w:tcPr>
            <w:tcW w:w="5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1,067,886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1,188,720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1,346,532</w:t>
            </w:r>
          </w:p>
        </w:tc>
      </w:tr>
      <w:tr>
        <w:trPr>
          <w:trHeight w:val="149"/>
        </w:trPr>
        <w:tc>
          <w:tcPr>
            <w:tcW w:w="5420" w:type="dxa"/>
            <w:vAlign w:val="bottom"/>
          </w:tcPr>
          <w:p>
            <w:pPr>
              <w:ind w:left="20"/>
              <w:spacing w:after="0" w:line="149" w:lineRule="exact"/>
              <w:rPr>
                <w:sz w:val="20"/>
                <w:szCs w:val="20"/>
                <w:color w:val="auto"/>
              </w:rPr>
            </w:pPr>
            <w:r>
              <w:rPr>
                <w:rFonts w:ascii="Arial" w:cs="Arial" w:eastAsia="Arial" w:hAnsi="Arial"/>
                <w:sz w:val="15"/>
                <w:szCs w:val="15"/>
                <w:color w:val="auto"/>
              </w:rPr>
              <w:t>Property, plant, and equipment, net of accumulated depreciation of $605,857,</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420" w:type="dxa"/>
            <w:vAlign w:val="bottom"/>
          </w:tcPr>
          <w:p>
            <w:pPr>
              <w:ind w:left="20"/>
              <w:spacing w:after="0"/>
              <w:rPr>
                <w:sz w:val="20"/>
                <w:szCs w:val="20"/>
                <w:color w:val="auto"/>
              </w:rPr>
            </w:pPr>
            <w:r>
              <w:rPr>
                <w:rFonts w:ascii="Arial" w:cs="Arial" w:eastAsia="Arial" w:hAnsi="Arial"/>
                <w:sz w:val="15"/>
                <w:szCs w:val="15"/>
                <w:color w:val="auto"/>
              </w:rPr>
              <w:t>$569,528, and $559,085, respectively</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180,888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189,822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181,575</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506,010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492,335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491,863</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Tradenames,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298,230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298,393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307,456</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209,494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209,333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208,454</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Customer relationships,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28,087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30,564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31,386</w:t>
            </w: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29,211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30,548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30,687</w:t>
            </w:r>
          </w:p>
        </w:tc>
      </w:tr>
      <w:tr>
        <w:trPr>
          <w:trHeight w:val="200"/>
        </w:trPr>
        <w:tc>
          <w:tcPr>
            <w:tcW w:w="5420" w:type="dxa"/>
            <w:vAlign w:val="bottom"/>
          </w:tcPr>
          <w:p>
            <w:pPr>
              <w:ind w:left="56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2,319,806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2,439,715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2,597,953</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29"/>
        </w:trPr>
        <w:tc>
          <w:tcPr>
            <w:tcW w:w="5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200"/>
        </w:trPr>
        <w:tc>
          <w:tcPr>
            <w:tcW w:w="5420" w:type="dxa"/>
            <w:vAlign w:val="bottom"/>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5"/>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54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222,210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264,078</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318,026</w:t>
            </w:r>
          </w:p>
        </w:tc>
      </w:tr>
      <w:tr>
        <w:trPr>
          <w:trHeight w:val="207"/>
        </w:trPr>
        <w:tc>
          <w:tcPr>
            <w:tcW w:w="542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Current operating lease liabilities</w:t>
            </w:r>
            <w:r>
              <w:rPr>
                <w:rFonts w:ascii="Arial" w:cs="Arial" w:eastAsia="Arial" w:hAnsi="Arial"/>
                <w:sz w:val="19"/>
                <w:szCs w:val="19"/>
                <w:color w:val="auto"/>
                <w:vertAlign w:val="superscript"/>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135,865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142,432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141,585</w:t>
            </w:r>
          </w:p>
        </w:tc>
      </w:tr>
      <w:tr>
        <w:trPr>
          <w:trHeight w:val="198"/>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liabilities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106,122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122,439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92,394</w:t>
            </w:r>
          </w:p>
        </w:tc>
      </w:tr>
      <w:tr>
        <w:trPr>
          <w:trHeight w:val="200"/>
        </w:trPr>
        <w:tc>
          <w:tcPr>
            <w:tcW w:w="5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464,197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528,949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552,005</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567,168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616,624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736,448</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48,930</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Long-term operating lease liabilities</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427,280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421,741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430,479</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34,633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34,757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41,889</w:t>
            </w:r>
          </w:p>
        </w:tc>
      </w:tr>
      <w:tr>
        <w:trPr>
          <w:trHeight w:val="192"/>
        </w:trPr>
        <w:tc>
          <w:tcPr>
            <w:tcW w:w="5420" w:type="dxa"/>
            <w:vAlign w:val="bottom"/>
          </w:tcPr>
          <w:p>
            <w:pPr>
              <w:ind w:left="560"/>
              <w:spacing w:after="0"/>
              <w:rPr>
                <w:sz w:val="20"/>
                <w:szCs w:val="20"/>
                <w:color w:val="auto"/>
              </w:rPr>
            </w:pPr>
            <w:r>
              <w:rPr>
                <w:rFonts w:ascii="Arial" w:cs="Arial" w:eastAsia="Arial" w:hAnsi="Arial"/>
                <w:sz w:val="15"/>
                <w:szCs w:val="15"/>
                <w:color w:val="auto"/>
              </w:rPr>
              <w:t>Total liabilities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1,534,495</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1,643,306</w:t>
            </w:r>
          </w:p>
        </w:tc>
        <w:tc>
          <w:tcPr>
            <w:tcW w:w="12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1,809,751</w:t>
            </w:r>
          </w:p>
        </w:tc>
      </w:tr>
      <w:tr>
        <w:trPr>
          <w:trHeight w:val="166"/>
        </w:trPr>
        <w:tc>
          <w:tcPr>
            <w:tcW w:w="5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5"/>
                <w:szCs w:val="15"/>
                <w:color w:val="auto"/>
              </w:rPr>
              <w:t>Commitments and contingencies - Note 12</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66"/>
        </w:trPr>
        <w:tc>
          <w:tcPr>
            <w:tcW w:w="5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53"/>
        </w:trPr>
        <w:tc>
          <w:tcPr>
            <w:tcW w:w="54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3"/>
              </w:rPr>
              <w:t>Preferred stock; par value $0.01 per share; 100,000 shares authorized; none issued or</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49"/>
        </w:trPr>
        <w:tc>
          <w:tcPr>
            <w:tcW w:w="5420" w:type="dxa"/>
            <w:vAlign w:val="bottom"/>
          </w:tcPr>
          <w:p>
            <w:pPr>
              <w:ind w:left="20"/>
              <w:spacing w:after="0" w:line="149" w:lineRule="exact"/>
              <w:rPr>
                <w:sz w:val="20"/>
                <w:szCs w:val="20"/>
                <w:color w:val="auto"/>
              </w:rPr>
            </w:pPr>
            <w:r>
              <w:rPr>
                <w:rFonts w:ascii="Arial" w:cs="Arial" w:eastAsia="Arial" w:hAnsi="Arial"/>
                <w:sz w:val="15"/>
                <w:szCs w:val="15"/>
                <w:color w:val="auto"/>
                <w:w w:val="98"/>
              </w:rPr>
              <w:t>Common stock, voting; par value $0.01 per share; 150,000,000 shares authorized;</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420" w:type="dxa"/>
            <w:vAlign w:val="bottom"/>
          </w:tcPr>
          <w:p>
            <w:pPr>
              <w:ind w:left="20"/>
              <w:spacing w:after="0"/>
              <w:rPr>
                <w:sz w:val="20"/>
                <w:szCs w:val="20"/>
                <w:color w:val="auto"/>
              </w:rPr>
            </w:pPr>
            <w:r>
              <w:rPr>
                <w:rFonts w:ascii="Arial" w:cs="Arial" w:eastAsia="Arial" w:hAnsi="Arial"/>
                <w:sz w:val="15"/>
                <w:szCs w:val="15"/>
                <w:color w:val="auto"/>
                <w:w w:val="95"/>
              </w:rPr>
              <w:t>36,969,967, 37,692,132, and 38,456,219 shares issued and outstanding, respectively</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385</w:t>
            </w: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42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(29,142)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(34,338)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(40,575)</w:t>
            </w: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814,083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830,370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828,392</w:t>
            </w:r>
          </w:p>
        </w:tc>
      </w:tr>
      <w:tr>
        <w:trPr>
          <w:trHeight w:val="192"/>
        </w:trPr>
        <w:tc>
          <w:tcPr>
            <w:tcW w:w="5420" w:type="dxa"/>
            <w:vAlign w:val="bottom"/>
            <w:tcBorders>
              <w:bottom w:val="single" w:sz="8" w:color="CCEEFF"/>
            </w:tcBorders>
          </w:tcPr>
          <w:p>
            <w:pPr>
              <w:ind w:left="56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785,311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796,409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788,202</w:t>
            </w:r>
          </w:p>
        </w:tc>
      </w:tr>
      <w:tr>
        <w:trPr>
          <w:trHeight w:val="225"/>
        </w:trPr>
        <w:tc>
          <w:tcPr>
            <w:tcW w:w="5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2,319,806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2,439,715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2,597,953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right="100" w:hanging="332"/>
        <w:spacing w:after="0" w:line="293"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Prepaid expenses and other current assets and Current operating lease liabilities as of October 1, 2022 were revised to reflect the presentation for payments of rent before payment due date of $13.6 million.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5"/>
          </w:tcPr>
          <w:p>
            <w:pPr>
              <w:ind w:left="84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2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fiscal quarters ended</w:t>
            </w:r>
          </w:p>
        </w:tc>
      </w:tr>
      <w:tr>
        <w:trPr>
          <w:trHeight w:val="210"/>
        </w:trPr>
        <w:tc>
          <w:tcPr>
            <w:tcW w:w="4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October 1,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October 1, 2022</w:t>
            </w:r>
          </w:p>
        </w:tc>
      </w:tr>
      <w:tr>
        <w:trPr>
          <w:trHeight w:val="212"/>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791,651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818,624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2,087,730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2,300,603</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448,096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1,109,970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1,243,794</w:t>
            </w: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1,056,809</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20,349</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806,988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807,533</w:t>
            </w: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93,430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91,583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187,345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269,625</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33,496</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19,940</w:t>
            </w:r>
          </w:p>
        </w:tc>
      </w:tr>
      <w:tr>
        <w:trPr>
          <w:trHeight w:val="21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216,280</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46,421</w:t>
            </w: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169,859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82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8"/>
                <w:szCs w:val="18"/>
                <w:color w:val="auto"/>
              </w:rPr>
            </w:pPr>
          </w:p>
        </w:tc>
        <w:tc>
          <w:tcPr>
            <w:tcW w:w="3220" w:type="dxa"/>
            <w:vAlign w:val="bottom"/>
            <w:gridSpan w:val="4"/>
          </w:tcPr>
          <w:p>
            <w:pPr>
              <w:ind w:left="580"/>
              <w:spacing w:after="0"/>
              <w:rPr>
                <w:sz w:val="20"/>
                <w:szCs w:val="20"/>
                <w:color w:val="auto"/>
              </w:rPr>
            </w:pPr>
            <w:r>
              <w:rPr>
                <w:rFonts w:ascii="Arial" w:cs="Arial" w:eastAsia="Arial" w:hAnsi="Arial"/>
                <w:sz w:val="16"/>
                <w:szCs w:val="16"/>
                <w:b w:val="1"/>
                <w:bCs w:val="1"/>
                <w:color w:val="auto"/>
              </w:rPr>
              <w:t>Three fiscal quarters ended</w:t>
            </w:r>
          </w:p>
        </w:tc>
      </w:tr>
      <w:tr>
        <w:trPr>
          <w:trHeight w:val="210"/>
        </w:trPr>
        <w:tc>
          <w:tcPr>
            <w:tcW w:w="4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October 1, 2022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October 1, 2022</w:t>
            </w: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w w:val="98"/>
              </w:rPr>
              <w:t>66,127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64,957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169,859</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w w:val="94"/>
              </w:rPr>
              <w:t>(4,179)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94"/>
              </w:rPr>
              <w:t>(8,372)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93"/>
              </w:rPr>
              <w:t>(11,677)</w:t>
            </w:r>
          </w:p>
        </w:tc>
      </w:tr>
      <w:tr>
        <w:trPr>
          <w:trHeight w:val="212"/>
        </w:trPr>
        <w:tc>
          <w:tcPr>
            <w:tcW w:w="44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w w:val="98"/>
              </w:rPr>
              <w:t>61,948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56,585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158,182</w:t>
            </w:r>
          </w:p>
        </w:tc>
      </w:tr>
      <w:tr>
        <w:trPr>
          <w:trHeight w:val="21"/>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7"/>
                <w:szCs w:val="17"/>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stock -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74"/>
              </w:rPr>
              <w:t>loss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41,148,870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950,186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(70,452)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265,412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(793,008)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(74,496)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and paid of $0.75 per</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(30,573)</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70,715</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April 2,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40,555,922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940,999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915,290</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30,731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(1,272,354)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(101,810)</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and paid of $0.75 per</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(29,886)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(29,886)</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30,882</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July 2,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39,315,094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820,866</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7,850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12,459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(877,119)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(65,445)</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and paid of $0.75 per</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(29,103)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(29,103)</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56,585</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October 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38,456,219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828,392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788,202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80" w:type="dxa"/>
            <w:vAlign w:val="bottom"/>
          </w:tcPr>
          <w:p>
            <w:pPr>
              <w:spacing w:after="0"/>
              <w:rPr>
                <w:sz w:val="17"/>
                <w:szCs w:val="17"/>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comprehensive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stock -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capital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1"/>
              </w:rPr>
              <w:t>loss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earnings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37,692,132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796,409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(4,776)</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303,015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(135,873)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(9,586)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(28,483)</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39,922</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April 1,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37,799,251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827,927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797,893</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5,626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(449,481)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(24,038)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(30,336)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(28,158)</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July 1,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37,354,464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775,009</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line="166"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(27,570)</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line="166" w:lineRule="exact"/>
              <w:rPr>
                <w:sz w:val="20"/>
                <w:szCs w:val="20"/>
                <w:color w:val="auto"/>
              </w:rPr>
            </w:pPr>
            <w:r>
              <w:rPr>
                <w:rFonts w:ascii="Arial" w:cs="Arial" w:eastAsia="Arial" w:hAnsi="Arial"/>
                <w:sz w:val="16"/>
                <w:szCs w:val="16"/>
                <w:color w:val="auto"/>
              </w:rPr>
              <w:t>Cash dividends declared and paid of $0.75 per</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(27,862)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(27,862)</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common share</w:t>
            </w: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61,948</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36,969,967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814,083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785,311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fiscal quarters ended</w:t>
            </w:r>
          </w:p>
        </w:tc>
      </w:tr>
      <w:tr>
        <w:trPr>
          <w:trHeight w:val="198"/>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60" w:type="dxa"/>
            <w:vAlign w:val="bottom"/>
          </w:tcPr>
          <w:p>
            <w:pPr>
              <w:spacing w:after="0"/>
              <w:rPr>
                <w:sz w:val="17"/>
                <w:szCs w:val="17"/>
                <w:color w:val="auto"/>
              </w:rPr>
            </w:pPr>
          </w:p>
        </w:tc>
        <w:tc>
          <w:tcPr>
            <w:tcW w:w="1600" w:type="dxa"/>
            <w:vAlign w:val="bottom"/>
          </w:tcPr>
          <w:p>
            <w:pPr>
              <w:jc w:val="right"/>
              <w:ind w:right="344"/>
              <w:spacing w:after="0"/>
              <w:rPr>
                <w:sz w:val="20"/>
                <w:szCs w:val="20"/>
                <w:color w:val="auto"/>
              </w:rPr>
            </w:pPr>
            <w:r>
              <w:rPr>
                <w:rFonts w:ascii="Arial" w:cs="Arial" w:eastAsia="Arial" w:hAnsi="Arial"/>
                <w:sz w:val="15"/>
                <w:szCs w:val="15"/>
                <w:b w:val="1"/>
                <w:bCs w:val="1"/>
                <w:color w:val="auto"/>
              </w:rPr>
              <w:t>October 1, 2022</w:t>
            </w:r>
          </w:p>
        </w:tc>
      </w:tr>
      <w:tr>
        <w:trPr>
          <w:trHeight w:val="18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125,990</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169,859</w:t>
            </w:r>
          </w:p>
        </w:tc>
      </w:tr>
      <w:tr>
        <w:trPr>
          <w:trHeight w:val="206"/>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Depreciation of property, plant, and equipment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45,764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46,011</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2,798</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(Recoveries of) provisions for excess and obsolete inventory,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11,488</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on partial termination of corporate lease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Other asset impairments and loss on disposal of property, plant and equipment, net of recoveries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2,807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251</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of debt issuance costs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1,560</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Stock-based compensation expense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14,912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17,221</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Unrealized foreign currency exchange (gain) loss,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Provisions for (recoveries of) doubtful accounts receivable from customers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2,402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(987)</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Unrealized (gain) loss on investments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2,414</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Loss on extinguishment of debt</w:t>
            </w:r>
          </w:p>
        </w:tc>
        <w:tc>
          <w:tcPr>
            <w:tcW w:w="2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19,940</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income taxes (benefit) expense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8,220</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919</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Effect of changes in operating assets and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740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(43,623)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(33,697)</w:t>
            </w:r>
          </w:p>
        </w:tc>
      </w:tr>
      <w:tr>
        <w:trPr>
          <w:trHeight w:val="207"/>
        </w:trPr>
        <w:tc>
          <w:tcPr>
            <w:tcW w:w="74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Finished goods inventories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(270,696)</w:t>
            </w:r>
          </w:p>
        </w:tc>
      </w:tr>
      <w:tr>
        <w:trPr>
          <w:trHeight w:val="203"/>
        </w:trPr>
        <w:tc>
          <w:tcPr>
            <w:tcW w:w="7400" w:type="dxa"/>
            <w:vAlign w:val="bottom"/>
          </w:tcPr>
          <w:p>
            <w:pPr>
              <w:ind w:left="480"/>
              <w:spacing w:after="0" w:line="203" w:lineRule="exact"/>
              <w:rPr>
                <w:sz w:val="20"/>
                <w:szCs w:val="20"/>
                <w:color w:val="auto"/>
              </w:rPr>
            </w:pPr>
            <w:r>
              <w:rPr>
                <w:rFonts w:ascii="Arial" w:cs="Arial" w:eastAsia="Arial" w:hAnsi="Arial"/>
                <w:sz w:val="15"/>
                <w:szCs w:val="15"/>
                <w:color w:val="auto"/>
              </w:rPr>
              <w:t>Prepaid expenses and other assets</w:t>
            </w:r>
            <w:r>
              <w:rPr>
                <w:rFonts w:ascii="Arial" w:cs="Arial" w:eastAsia="Arial" w:hAnsi="Arial"/>
                <w:sz w:val="19"/>
                <w:szCs w:val="19"/>
                <w:color w:val="auto"/>
                <w:vertAlign w:val="superscript"/>
              </w:rPr>
              <w:t>(1)(2)</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(3,965)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(11,359)</w:t>
            </w:r>
          </w:p>
        </w:tc>
      </w:tr>
      <w:tr>
        <w:trPr>
          <w:trHeight w:val="203"/>
        </w:trPr>
        <w:tc>
          <w:tcPr>
            <w:tcW w:w="7400" w:type="dxa"/>
            <w:vAlign w:val="bottom"/>
            <w:shd w:val="clear" w:color="auto" w:fill="CCEEFF"/>
          </w:tcPr>
          <w:p>
            <w:pPr>
              <w:ind w:left="480"/>
              <w:spacing w:after="0" w:line="203" w:lineRule="exact"/>
              <w:rPr>
                <w:sz w:val="20"/>
                <w:szCs w:val="20"/>
                <w:color w:val="auto"/>
              </w:rPr>
            </w:pPr>
            <w:r>
              <w:rPr>
                <w:rFonts w:ascii="Arial" w:cs="Arial" w:eastAsia="Arial" w:hAnsi="Arial"/>
                <w:sz w:val="15"/>
                <w:szCs w:val="15"/>
                <w:color w:val="auto"/>
              </w:rPr>
              <w:t>Accounts payable and other liabilities</w:t>
            </w:r>
            <w:r>
              <w:rPr>
                <w:rFonts w:ascii="Arial" w:cs="Arial" w:eastAsia="Arial" w:hAnsi="Arial"/>
                <w:sz w:val="19"/>
                <w:szCs w:val="19"/>
                <w:color w:val="auto"/>
                <w:vertAlign w:val="superscript"/>
              </w:rPr>
              <w:t>(1)(2)</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(62,447)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(181,690)</w:t>
            </w:r>
          </w:p>
        </w:tc>
      </w:tr>
      <w:tr>
        <w:trPr>
          <w:trHeight w:val="192"/>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Net cash provided by (used in) operating activities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205,790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(217,480)</w:t>
            </w:r>
          </w:p>
        </w:tc>
      </w:tr>
      <w:tr>
        <w:trPr>
          <w:trHeight w:val="146"/>
        </w:trPr>
        <w:tc>
          <w:tcPr>
            <w:tcW w:w="7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Capital expenditures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(42,470)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(26,862)</w:t>
            </w:r>
          </w:p>
        </w:tc>
      </w:tr>
      <w:tr>
        <w:trPr>
          <w:trHeight w:val="192"/>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(42,470)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(26,862)</w:t>
            </w:r>
          </w:p>
        </w:tc>
      </w:tr>
      <w:tr>
        <w:trPr>
          <w:trHeight w:val="146"/>
        </w:trPr>
        <w:tc>
          <w:tcPr>
            <w:tcW w:w="7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 of senior notes due 2025</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Premiums paid to extinguish debt</w:t>
            </w:r>
          </w:p>
        </w:tc>
        <w:tc>
          <w:tcPr>
            <w:tcW w:w="2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(15,678)</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 of debt issuance costs</w:t>
            </w: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Borrowings under secured revolving credit facility</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70,000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240,000</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secured revolving credit facility</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Repurchases of common stock</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(67,492)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(241,751)</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paid</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(89,562)</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Withholdings from vesting of restricted stock</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(5,007)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(6,850)</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exercises of stock options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(919)</w:t>
            </w:r>
          </w:p>
        </w:tc>
      </w:tr>
      <w:tr>
        <w:trPr>
          <w:trHeight w:val="196"/>
        </w:trPr>
        <w:tc>
          <w:tcPr>
            <w:tcW w:w="74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Net cash used in financing activities</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(206,618)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(616,404)</w:t>
            </w:r>
          </w:p>
        </w:tc>
      </w:tr>
      <w:tr>
        <w:trPr>
          <w:trHeight w:val="146"/>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effect of exchange rate changes on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(1,899)</w:t>
            </w:r>
          </w:p>
        </w:tc>
      </w:tr>
      <w:tr>
        <w:trPr>
          <w:trHeight w:val="192"/>
        </w:trPr>
        <w:tc>
          <w:tcPr>
            <w:tcW w:w="7400" w:type="dxa"/>
            <w:vAlign w:val="bottom"/>
          </w:tcPr>
          <w:p>
            <w:pPr>
              <w:ind w:left="20"/>
              <w:spacing w:after="0"/>
              <w:rPr>
                <w:sz w:val="20"/>
                <w:szCs w:val="20"/>
                <w:color w:val="auto"/>
              </w:rPr>
            </w:pPr>
            <w:r>
              <w:rPr>
                <w:rFonts w:ascii="Arial" w:cs="Arial" w:eastAsia="Arial" w:hAnsi="Arial"/>
                <w:sz w:val="15"/>
                <w:szCs w:val="15"/>
                <w:color w:val="auto"/>
              </w:rPr>
              <w:t>Net decrease in cash and cash equivalents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(42,642)</w:t>
            </w:r>
          </w:p>
        </w:tc>
        <w:tc>
          <w:tcPr>
            <w:tcW w:w="12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(862,645)</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211,748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984,294</w:t>
            </w: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169,106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121,649</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flows for the first three fiscal quarters ended October 1, 2022 were revised to reflect the presentation for payments of rent before payment due date of $13.6 million.</w:t>
      </w:r>
    </w:p>
    <w:p>
      <w:pPr>
        <w:spacing w:after="0" w:line="55" w:lineRule="exact"/>
        <w:rPr>
          <w:rFonts w:ascii="Arial" w:cs="Arial" w:eastAsia="Arial" w:hAnsi="Arial"/>
          <w:sz w:val="14"/>
          <w:szCs w:val="14"/>
          <w:color w:val="auto"/>
        </w:rPr>
      </w:pPr>
    </w:p>
    <w:p>
      <w:pPr>
        <w:ind w:left="340" w:right="120" w:hanging="332"/>
        <w:spacing w:after="0" w:line="293"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Operating lease assets obtained in exchange for operating lease liabilities were $123.1 million and $108.6 million for the first three fiscal quarters ended September 30, 2023 and first three fiscal quarters ended October 1, 2022,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Carter’s, Inc. and its wholly-owned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OshKosh B’gosh </w:t>
      </w:r>
      <w:r>
        <w:rPr>
          <w:rFonts w:ascii="Arial" w:cs="Arial" w:eastAsia="Arial" w:hAnsi="Arial"/>
          <w:sz w:val="18"/>
          <w:szCs w:val="18"/>
          <w:color w:val="auto"/>
        </w:rPr>
        <w:t>(or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Skip Hop, Child of Mine, Just One You, Simple Joys, Little Planet, </w:t>
      </w:r>
      <w:r>
        <w:rPr>
          <w:rFonts w:ascii="Arial" w:cs="Arial" w:eastAsia="Arial" w:hAnsi="Arial"/>
          <w:sz w:val="18"/>
          <w:szCs w:val="18"/>
          <w:color w:val="auto"/>
        </w:rPr>
        <w:t>and other brands. The Company’s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sourced through contractual arrangements with manufacturers worldwide for wholesale distribution to leading department stores, national chains, and specialty retailers domestically and internationally and for sale in the Company’s retail stores and on its eCommerce sites that market its brand name merchandise and other licensed products manufactured by other companies.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Our trademarks that are referred to in this Quarterly Report on Form 10-Q, including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 and other brands, many of which are registered in the United States and in over 100 other countries and territories, are each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one or more subsidiaries of Carter’s,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September 30, 2023 are not necessarily indicative of the results that may be expected for the current fiscal year ending December 30, 2023.</w:t>
      </w:r>
    </w:p>
    <w:p>
      <w:pPr>
        <w:spacing w:after="0" w:line="14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condensed consolidated balance sheet as of December 31, 2022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recast the consolidated statement of operations for the fiscal quarter and three fiscal quarters ended October 1, 2022 to conform to our current presentation of combining Adverse purchase commitments within Cost of goods sold.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inventories, which consist primarily of finished goods, are stated at the lower of cost (first-in, first-out basis for wholesale inventory and average cost for retail inventories) or net realizable value. Inventories at September 30, 2023 were $620.7 million compared to $899.3 million at October 1, 2022 and $744.6 million at December 31, 2022. The decrease of $278.7 million, or 31.0%, at September 30, 2023 compared to October 1, 2022 is primarily due to decreased in-transit inventory, decreased “pack and hold” inventory, and lower forecasted net sales for fiscal 2023. Due to the seasonal nature of our operations, the inventories balance at September 30, 2023 is not comparable to the inventories balance at December 31, 2022.</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Adjustments to bring inventory to net realizable value as a result of obsolete, damaged, and excess inventory at September 30, 2023 decreased 25.8% compared to October 1, 2022. These adjustments as a percentage of gross inventory have remained relatively stable due to the overall quality and planned use of the inventory. The liability for adverse inventory and fabric purchase commitments decreased from $3.1 million as of October 1, 2022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$0.8 million as of September 30, 2023, primarily due to settlements with vendors for canceled production and the utilization of previously reserved fabric.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9" w:right="4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 Program</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September 30, 2023, the SCF program has a $70.0 million revolving capacity. We are not a party to the agreements between the participating financial institutions and the suppliers in connection with the SCF program. The payment terms with the majority of our suppliers are 90 days, irrespective of whether a supplier participates in the SCF program. No guarantees are provided by the Company or any of our subsidiaries under the SCF program.</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Company’s liability related to amounts payable to the participating financial institution for suppliers who voluntarily participate in the SCF program are included in Accounts payable on our condensed consolidated balance sheets. Amounts under the SCF program included in Accounts payable were $16.7 million, $16.5 million, and $15.3 million as of September 30, 2023, December 31, 2022, and October 1, 2022, respectively. Payments made in connection with the SCF program, like payments of other accounts payable, are reflected as a reduction to our operating cash flow.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 New accounting pronouncements adopted at the beginning of fiscal 2023 are noted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Finance Programs (ASU 2022-04)</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September 2022, the FASB issued </w:t>
      </w:r>
      <w:r>
        <w:rPr>
          <w:rFonts w:ascii="Arial" w:cs="Arial" w:eastAsia="Arial" w:hAnsi="Arial"/>
          <w:sz w:val="17"/>
          <w:szCs w:val="17"/>
          <w:i w:val="1"/>
          <w:iCs w:val="1"/>
          <w:color w:val="auto"/>
        </w:rPr>
        <w:t>Accounting Standards Update No. 2022-04, Liabilities - Supplier Finance Programs (Subtopic 405-50):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Supplier Finance Program Obligations </w:t>
      </w:r>
      <w:r>
        <w:rPr>
          <w:rFonts w:ascii="Arial" w:cs="Arial" w:eastAsia="Arial" w:hAnsi="Arial"/>
          <w:sz w:val="17"/>
          <w:szCs w:val="17"/>
          <w:color w:val="auto"/>
        </w:rPr>
        <w:t>(“ASU 2022-04”)</w:t>
      </w:r>
      <w:r>
        <w:rPr>
          <w:rFonts w:ascii="Arial" w:cs="Arial" w:eastAsia="Arial" w:hAnsi="Arial"/>
          <w:sz w:val="17"/>
          <w:szCs w:val="17"/>
          <w:i w:val="1"/>
          <w:iCs w:val="1"/>
          <w:color w:val="auto"/>
        </w:rPr>
        <w:t xml:space="preserve">. </w:t>
      </w:r>
      <w:r>
        <w:rPr>
          <w:rFonts w:ascii="Arial" w:cs="Arial" w:eastAsia="Arial" w:hAnsi="Arial"/>
          <w:sz w:val="17"/>
          <w:szCs w:val="17"/>
          <w:color w:val="auto"/>
        </w:rPr>
        <w:t>This new guidance is designed to enhance transparency around supplier finance programs by</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new 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disclosure of the rollforward of annual activity, which is effective for fiscal years beginning after December 15, 2023. The effect of the adoption of ASU 2022-04 was not material to the Company’s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indicated were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9"/>
          </w:tcPr>
          <w:p>
            <w:pPr>
              <w:ind w:left="100"/>
              <w:spacing w:after="0"/>
              <w:rPr>
                <w:sz w:val="20"/>
                <w:szCs w:val="20"/>
                <w:color w:val="auto"/>
              </w:rPr>
            </w:pPr>
            <w:r>
              <w:rPr>
                <w:rFonts w:ascii="Arial" w:cs="Arial" w:eastAsia="Arial" w:hAnsi="Arial"/>
                <w:sz w:val="16"/>
                <w:szCs w:val="16"/>
                <w:b w:val="1"/>
                <w:bCs w:val="1"/>
                <w:color w:val="auto"/>
              </w:rPr>
              <w:t>Fiscal quarter ended September 30, 2023</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180" w:type="dxa"/>
            <w:vAlign w:val="bottom"/>
          </w:tcPr>
          <w:p>
            <w:pPr>
              <w:spacing w:after="0"/>
              <w:rPr>
                <w:sz w:val="15"/>
                <w:szCs w:val="15"/>
                <w:color w:val="auto"/>
              </w:rPr>
            </w:pPr>
          </w:p>
        </w:tc>
        <w:tc>
          <w:tcPr>
            <w:tcW w:w="1560" w:type="dxa"/>
            <w:vAlign w:val="bottom"/>
            <w:gridSpan w:val="4"/>
          </w:tcPr>
          <w:p>
            <w:pPr>
              <w:ind w:left="120"/>
              <w:spacing w:after="0" w:line="175" w:lineRule="exact"/>
              <w:rPr>
                <w:sz w:val="20"/>
                <w:szCs w:val="20"/>
                <w:color w:val="auto"/>
              </w:rPr>
            </w:pPr>
            <w:r>
              <w:rPr>
                <w:rFonts w:ascii="Arial" w:cs="Arial" w:eastAsia="Arial" w:hAnsi="Arial"/>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Arial" w:cs="Arial" w:eastAsia="Arial" w:hAnsi="Arial"/>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300,338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45,842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346,180</w:t>
            </w: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374,796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70,675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445,471</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374,796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300,338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116,517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791,651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5,713</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9"/>
          </w:tcPr>
          <w:p>
            <w:pPr>
              <w:ind w:left="40"/>
              <w:spacing w:after="0"/>
              <w:rPr>
                <w:sz w:val="20"/>
                <w:szCs w:val="20"/>
                <w:color w:val="auto"/>
              </w:rPr>
            </w:pPr>
            <w:r>
              <w:rPr>
                <w:rFonts w:ascii="Arial" w:cs="Arial" w:eastAsia="Arial" w:hAnsi="Arial"/>
                <w:sz w:val="16"/>
                <w:szCs w:val="16"/>
                <w:b w:val="1"/>
                <w:bCs w:val="1"/>
                <w:color w:val="auto"/>
                <w:w w:val="94"/>
              </w:rPr>
              <w:t>Three fiscal quarters ended September 30, 2023</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767,194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117,547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884,741</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1,021,983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181,006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1,202,989</w:t>
            </w:r>
          </w:p>
        </w:tc>
      </w:tr>
      <w:tr>
        <w:trPr>
          <w:trHeight w:val="235"/>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1,021,983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767,194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298,553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2,087,730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16,573</w:t>
            </w:r>
          </w:p>
        </w:tc>
      </w:tr>
    </w:tbl>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Fiscal quarter ended October 1, 2022</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288,454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50,489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338,943</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408,209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71,472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479,681</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408,209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121,961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818,624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7,273</w:t>
            </w:r>
          </w:p>
        </w:tc>
      </w:tr>
    </w:tbl>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w w:val="99"/>
              </w:rPr>
              <w:t>Three fiscal quarters ended October 1, 2022</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819,772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137,940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957,712</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1,153,664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189,227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1,342,891</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1,153,664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819,772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2,300,603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9,664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20,349</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Arial" w:cs="Arial" w:eastAsia="Arial" w:hAnsi="Arial"/>
                <w:sz w:val="16"/>
                <w:szCs w:val="16"/>
                <w:b w:val="1"/>
                <w:bCs w:val="1"/>
                <w:color w:val="auto"/>
              </w:rPr>
              <w:t>October 1, 2022</w:t>
            </w: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from wholesale customers,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239,493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195,078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260,635</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Royalties receivable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6,823</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Other receivables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13,673</w:t>
            </w:r>
          </w:p>
        </w:tc>
      </w:tr>
      <w:tr>
        <w:trPr>
          <w:trHeight w:val="206"/>
        </w:trPr>
        <w:tc>
          <w:tcPr>
            <w:tcW w:w="5140" w:type="dxa"/>
            <w:vAlign w:val="bottom"/>
          </w:tcPr>
          <w:p>
            <w:pPr>
              <w:ind w:left="20"/>
              <w:spacing w:after="0"/>
              <w:rPr>
                <w:sz w:val="20"/>
                <w:szCs w:val="20"/>
                <w:color w:val="auto"/>
              </w:rPr>
            </w:pPr>
            <w:r>
              <w:rPr>
                <w:rFonts w:ascii="Arial" w:cs="Arial" w:eastAsia="Arial" w:hAnsi="Arial"/>
                <w:sz w:val="16"/>
                <w:szCs w:val="16"/>
                <w:color w:val="auto"/>
              </w:rPr>
              <w:t>Total gross receivables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256,216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215,035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281,131</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(2)(3)</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(15,538)</w:t>
            </w: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198,587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265,593</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tax, payroll, gift card and other receivables.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allowance for chargebacks of $9.0 million, $9.3 million, and $9.2 million for the periods ended September 30, 2023, December 31, 2022, and October 1, 2022, respectively.</w:t>
      </w:r>
    </w:p>
    <w:p>
      <w:pPr>
        <w:spacing w:after="0" w:line="80"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allowance for credit losses of $6.7 million, $7.2 million, and $6.3 million for the periods ended September 30, 2023, December 31, 2022, and October 1, 2022,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October 1, 2022</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23,983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23,303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21,217</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7,527</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5"/>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16"/>
        </w:trPr>
        <w:tc>
          <w:tcPr>
            <w:tcW w:w="51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Contract liabilities - non-current</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w:t>
            </w:r>
          </w:p>
        </w:tc>
      </w:tr>
      <w:tr>
        <w:trPr>
          <w:trHeight w:val="209"/>
        </w:trPr>
        <w:tc>
          <w:tcPr>
            <w:tcW w:w="5140" w:type="dxa"/>
            <w:vAlign w:val="bottom"/>
          </w:tcPr>
          <w:p>
            <w:pPr>
              <w:ind w:left="360"/>
              <w:spacing w:after="0"/>
              <w:rPr>
                <w:sz w:val="20"/>
                <w:szCs w:val="20"/>
                <w:color w:val="auto"/>
              </w:rPr>
            </w:pPr>
            <w:r>
              <w:rPr>
                <w:rFonts w:ascii="Arial" w:cs="Arial" w:eastAsia="Arial" w:hAnsi="Arial"/>
                <w:sz w:val="16"/>
                <w:szCs w:val="16"/>
                <w:color w:val="auto"/>
              </w:rPr>
              <w:t>Total contract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31,065</w:t>
            </w:r>
          </w:p>
        </w:tc>
      </w:tr>
      <w:tr>
        <w:trPr>
          <w:trHeight w:val="21"/>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220" w:hanging="332"/>
        <w:spacing w:after="0" w:line="293"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condensed consolidated balance sheets.</w:t>
      </w:r>
    </w:p>
    <w:p>
      <w:pPr>
        <w:spacing w:after="0" w:line="95" w:lineRule="exact"/>
        <w:rPr>
          <w:rFonts w:ascii="Arial" w:cs="Arial" w:eastAsia="Arial" w:hAnsi="Arial"/>
          <w:sz w:val="14"/>
          <w:szCs w:val="14"/>
          <w:color w:val="auto"/>
        </w:rPr>
      </w:pPr>
    </w:p>
    <w:p>
      <w:pPr>
        <w:ind w:left="340" w:right="180" w:hanging="332"/>
        <w:spacing w:after="0" w:line="293"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amount reflects the non-current portion of the Carter’s credit card upfront bonus and is included within Other long-term liabilities on the Company’s condensed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2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October 1, 2022</w:t>
            </w:r>
          </w:p>
        </w:tc>
      </w:tr>
      <w:tr>
        <w:trPr>
          <w:trHeight w:val="213"/>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Cumulative 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(32,980)</w:t>
            </w: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(7,595)</w:t>
            </w:r>
          </w:p>
        </w:tc>
      </w:tr>
      <w:tr>
        <w:trPr>
          <w:trHeight w:val="234"/>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(40,575)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income taxes of $1.7 million, $1.7 million, and $2.4 million for the period ended September 30, 2023, December 31, 2022, and October 1, 2022, respectively.</w:t>
      </w:r>
    </w:p>
    <w:p>
      <w:pPr>
        <w:spacing w:after="0" w:line="2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first three quarters of both fiscal 2023 and fiscal 2022, no amounts were reclassified from Accumulated other comprehensive loss to the consolidated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5"/>
          </w:tcPr>
          <w:p>
            <w:pPr>
              <w:ind w:left="82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8"/>
                <w:szCs w:val="18"/>
                <w:color w:val="auto"/>
              </w:rPr>
            </w:pPr>
          </w:p>
        </w:tc>
        <w:tc>
          <w:tcPr>
            <w:tcW w:w="32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Three fiscal quarters ended</w:t>
            </w:r>
          </w:p>
        </w:tc>
      </w:tr>
      <w:tr>
        <w:trPr>
          <w:trHeight w:val="210"/>
        </w:trPr>
        <w:tc>
          <w:tcPr>
            <w:tcW w:w="4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October 1, 2022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October 1, 2022</w:t>
            </w:r>
          </w:p>
        </w:tc>
      </w:tr>
      <w:tr>
        <w:trPr>
          <w:trHeight w:val="212"/>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shares repurchased</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975,358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2,942,481</w:t>
            </w:r>
          </w:p>
        </w:tc>
      </w:tr>
      <w:tr>
        <w:trPr>
          <w:trHeight w:val="216"/>
        </w:trPr>
        <w:tc>
          <w:tcPr>
            <w:tcW w:w="4320" w:type="dxa"/>
            <w:vAlign w:val="bottom"/>
          </w:tcPr>
          <w:p>
            <w:pPr>
              <w:spacing w:after="0" w:line="216" w:lineRule="exact"/>
              <w:rPr>
                <w:sz w:val="20"/>
                <w:szCs w:val="20"/>
                <w:color w:val="auto"/>
              </w:rPr>
            </w:pPr>
            <w:r>
              <w:rPr>
                <w:rFonts w:ascii="Arial" w:cs="Arial" w:eastAsia="Arial" w:hAnsi="Arial"/>
                <w:sz w:val="16"/>
                <w:szCs w:val="16"/>
                <w:color w:val="auto"/>
                <w:w w:val="96"/>
              </w:rPr>
              <w:t>Aggregate cost of shares repurchased (dollars in thousands)</w:t>
            </w:r>
            <w:r>
              <w:rPr>
                <w:rFonts w:ascii="Arial" w:cs="Arial" w:eastAsia="Arial" w:hAnsi="Arial"/>
                <w:sz w:val="21"/>
                <w:szCs w:val="21"/>
                <w:color w:val="auto"/>
                <w:w w:val="96"/>
                <w:vertAlign w:val="superscript"/>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27,570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65,445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67,492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241,751</w:t>
            </w:r>
          </w:p>
        </w:tc>
      </w:tr>
      <w:tr>
        <w:trPr>
          <w:trHeight w:val="216"/>
        </w:trPr>
        <w:tc>
          <w:tcPr>
            <w:tcW w:w="4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price per share</w:t>
            </w:r>
            <w:r>
              <w:rPr>
                <w:rFonts w:ascii="Arial" w:cs="Arial" w:eastAsia="Arial" w:hAnsi="Arial"/>
                <w:sz w:val="21"/>
                <w:szCs w:val="21"/>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w:t>
            </w:r>
          </w:p>
        </w:tc>
      </w:tr>
    </w:tbl>
    <w:p>
      <w:pPr>
        <w:spacing w:after="0" w:line="13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aggregate cost of share repurchases and average price paid per share excludes excise tax on share repurchases imposed as part of the Inflation Reduction Act of 2022.</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September 30, 2023 was approximately $682.0 million, based on settled repurchase transactions. The share repurchase authorizations have no expiration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Inflation Reduction Act of 2022 imposed a nondeductible 1% excise tax on the net value of certain share repurchases made after December 31, 2022. Beginning in fiscal year 2023, the Company reflected the applicable excise tax in Additional paid-in capital on the Company’s condensed consolidated balance sheets as part of the cost basis of the shares repurchased. The corresponding liability for the excise tax payable is recorded in Other current liabilities on the Company’s condensed consolidated balance sheets.</w:t>
      </w:r>
    </w:p>
    <w:p>
      <w:pPr>
        <w:spacing w:after="0" w:line="2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and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each of the first three quarters of fiscal 2023, the Board of Directors declared, and the Company paid, a cash dividend per common share of $0.75 (for an aggregate cash dividend per common share of $2.25 for the first three quarters of fiscal 2023). Additionally, in each of the first three quarters of fiscal 2022, the Board of Directors declared, and the Company paid, a cash dividend per common share of $0.75 (for an aggregate cash dividend per common share of $2.25 for the first three quarters of fiscal 2022). 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Provisions in the Company’s secured revolving credit facility could have the effect of restricting the Company’s ability to pay cash dividends on, or make future repurchases of, its common stock, as further described in Note 6, </w:t>
      </w:r>
      <w:r>
        <w:rPr>
          <w:rFonts w:ascii="Arial" w:cs="Arial" w:eastAsia="Arial" w:hAnsi="Arial"/>
          <w:sz w:val="17"/>
          <w:szCs w:val="17"/>
          <w:i w:val="1"/>
          <w:iCs w:val="1"/>
          <w:color w:val="auto"/>
        </w:rPr>
        <w:t>Long-term Debt</w:t>
      </w:r>
      <w:r>
        <w:rPr>
          <w:rFonts w:ascii="Arial" w:cs="Arial" w:eastAsia="Arial" w:hAnsi="Arial"/>
          <w:sz w:val="17"/>
          <w:szCs w:val="17"/>
          <w:color w:val="auto"/>
        </w:rPr>
        <w:t>, to the consolidated financial statements</w:t>
      </w:r>
      <w:r>
        <w:rPr>
          <w:rFonts w:ascii="Arial" w:cs="Arial" w:eastAsia="Arial" w:hAnsi="Arial"/>
          <w:sz w:val="17"/>
          <w:szCs w:val="17"/>
          <w:i w:val="1"/>
          <w:iCs w:val="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October 1, 2022</w:t>
            </w: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$500 million 5.625% senior notes due March 15, 2027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(3,552)</w:t>
            </w:r>
          </w:p>
        </w:tc>
      </w:tr>
      <w:tr>
        <w:trPr>
          <w:trHeight w:val="212"/>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Senior notes,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496,448</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Secured revolving credit facility</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240,000</w:t>
            </w:r>
          </w:p>
        </w:tc>
      </w:tr>
      <w:tr>
        <w:trPr>
          <w:trHeight w:val="235"/>
        </w:trPr>
        <w:tc>
          <w:tcPr>
            <w:tcW w:w="55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616,624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736,448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2023, the Company had $70.0 million outstanding borrowings under its secured revolving credit facility, exclusive of $4.4 million of outstanding letters of credit. As of September 30, 2023, there was approximately $775.6 million available for future borrowing. All outstanding borrowings under the Company’s secured revolving credit facility are classified as non-current liabilities on the Company’s condensed consolidated balance sheets because of the contractual repayment terms under the credit facility.</w:t>
      </w:r>
    </w:p>
    <w:p>
      <w:pPr>
        <w:spacing w:after="0" w:line="1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On October 17, 2023, Carter’s Holdings B.V., a subsidiary of the Company, was released from its obligations under the secured revolving credit facility.</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2023, the interest rate margins applicable to the secured revolving credit facility were 1.125% for adjusted term Secured Overnight Financing Rate (“SOFR”) loans and 0.125% for base rate loans. As of September 30, 2023, U.S. dollar borrowings outstanding under the secured revolving credit facility accrued interest at an adjusted term SOFR rate plus the applicable margin, which resulted in a weighted-average borrowing rate of 6.55%. There were no foreign currency borrowings outstanding on September 30, 2023. As of September 30, 2023, the Company was in compliance with its financial and other covenants under the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82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8"/>
                <w:szCs w:val="18"/>
                <w:color w:val="auto"/>
              </w:rPr>
            </w:pPr>
          </w:p>
        </w:tc>
        <w:tc>
          <w:tcPr>
            <w:tcW w:w="32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Three fiscal quarters ended</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September 30, 2023</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October 1, 2022</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September 30, 2023</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October 1, 2022</w:t>
            </w: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13,961</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1,368</w:t>
            </w: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17,221</w:t>
            </w:r>
          </w:p>
        </w:tc>
      </w:tr>
      <w:tr>
        <w:trPr>
          <w:trHeight w:val="21"/>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recognizes compensation cost ratably over the applicable performance periods based on the estimated probability of achievement of its performance targets at the end of each period. During the third quarter and first three quarters of fiscal 2023, the achievement of performance target estimates related to certain performance-based grants were revised resulting in a reversal of previously recognized stock-based compensation expense of $1.1 million and $1.5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0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September 30, 2023, the Company had gross unrecognized income tax benefits of approximately $9.5 million, of which $6.5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Included in the reserves for unrecognized tax benefits at September 30, 2023 is approximately $2.4 million of reserves for which the statute of limitations is expected to expire within the next 12 months. If these tax benefits are ultimately recognized, such recognition, net of federal income taxes, may affect the annual effective income tax rate for fiscal 2023 along with the effective income tax rate in the quarter in which the benefits are recognized.</w:t>
      </w:r>
    </w:p>
    <w:p>
      <w:pPr>
        <w:spacing w:after="0" w:line="1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third quarter and first three quarters of fiscal 2023 and fiscal 2022. The Company had approximately $2.0 million, $1.5 million, and $2.3 million of interest accrued on uncertain tax positions as of September 30, 2023, December 31, 2022, and October 1,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condensed consolidated balance sheets, and their aggregate fair values were approximately $16.4 million, $15.1 million, and $15.1 million at September 30, 2023, December 31, 2022, and October 1, 2022,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$0.8 million and $1.4 million for the third quarter and the first three quarters of fiscal 2023, respectively. Losses on the investments in marketable securities were $0.5 million and $2.4 million for the third quarter and the first three quarters of fiscal 2022, respectively. These amounts are included in Other (income) expense, net on the Company’s condensed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had $70.0 million outstanding borrowings under its secured revolving credit facility.</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fair value of the Company’s senior notes at September 30, 2023 was approximately $481.4 million.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and Long-Lived Tangible Assets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In the fourth quarter of fiscal 2022, impairment charges of $5.6 million, $3.0 million, and $0.4 million were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 of the indefinite-lived Skip Hop tradename asset as of September 30, 2023 was $6.0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5"/>
          </w:tcPr>
          <w:p>
            <w:pPr>
              <w:ind w:left="80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16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Three fiscal quarters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3"/>
              </w:rPr>
              <w:t>October 1,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October 1, 2022</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9"/>
              </w:rPr>
              <w:t>Weighted-average number of common and common equivalent</w:t>
            </w:r>
          </w:p>
        </w:tc>
        <w:tc>
          <w:tcPr>
            <w:tcW w:w="16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w w:val="88"/>
              </w:rPr>
              <w:t>shares outstanding:</w:t>
            </w:r>
          </w:p>
        </w:tc>
        <w:tc>
          <w:tcPr>
            <w:tcW w:w="284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ind w:left="340"/>
              <w:spacing w:after="0"/>
              <w:rPr>
                <w:sz w:val="20"/>
                <w:szCs w:val="20"/>
                <w:color w:val="auto"/>
              </w:rPr>
            </w:pPr>
            <w:r>
              <w:rPr>
                <w:rFonts w:ascii="Arial" w:cs="Arial" w:eastAsia="Arial" w:hAnsi="Arial"/>
                <w:sz w:val="16"/>
                <w:szCs w:val="16"/>
                <w:color w:val="auto"/>
              </w:rPr>
              <w:t>Basic number of common shares outstanding</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36,438,403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38,222,151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36,789,140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39,279,293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Dilutive effect of equity awards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34,835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60" w:type="dxa"/>
            <w:vAlign w:val="bottom"/>
            <w:gridSpan w:val="3"/>
          </w:tcPr>
          <w:p>
            <w:pPr>
              <w:ind w:left="340"/>
              <w:spacing w:after="0" w:line="146" w:lineRule="exact"/>
              <w:rPr>
                <w:sz w:val="20"/>
                <w:szCs w:val="20"/>
                <w:color w:val="auto"/>
              </w:rPr>
            </w:pPr>
            <w:r>
              <w:rPr>
                <w:rFonts w:ascii="Arial" w:cs="Arial" w:eastAsia="Arial" w:hAnsi="Arial"/>
                <w:sz w:val="16"/>
                <w:szCs w:val="16"/>
                <w:color w:val="auto"/>
                <w:w w:val="97"/>
              </w:rPr>
              <w:t>Diluted number of common and common equivalent shares</w:t>
            </w:r>
          </w:p>
        </w:tc>
        <w:tc>
          <w:tcPr>
            <w:tcW w:w="1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36,442,284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38,245,373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36,792,921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39,314,128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gridSpan w:val="3"/>
          </w:tcPr>
          <w:p>
            <w:pPr>
              <w:ind w:left="340"/>
              <w:spacing w:after="0"/>
              <w:rPr>
                <w:sz w:val="20"/>
                <w:szCs w:val="20"/>
                <w:color w:val="auto"/>
              </w:rPr>
            </w:pPr>
            <w:r>
              <w:rPr>
                <w:rFonts w:ascii="Arial" w:cs="Arial" w:eastAsia="Arial" w:hAnsi="Arial"/>
                <w:sz w:val="16"/>
                <w:szCs w:val="16"/>
                <w:color w:val="auto"/>
              </w:rPr>
              <w:t>outstanding</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3"/>
          </w:tcPr>
          <w:p>
            <w:pPr>
              <w:spacing w:after="0" w:line="175" w:lineRule="exact"/>
              <w:rPr>
                <w:sz w:val="20"/>
                <w:szCs w:val="20"/>
                <w:color w:val="auto"/>
              </w:rPr>
            </w:pPr>
            <w:r>
              <w:rPr>
                <w:rFonts w:ascii="Arial" w:cs="Arial" w:eastAsia="Arial" w:hAnsi="Arial"/>
                <w:sz w:val="16"/>
                <w:szCs w:val="16"/>
                <w:color w:val="auto"/>
              </w:rPr>
              <w:t>Earnings per share:</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ind w:left="3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66,127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64,957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125,990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169,859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123,736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ind w:left="34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gridSpan w:val="3"/>
          </w:tcPr>
          <w:p>
            <w:pPr>
              <w:ind w:left="340"/>
              <w:spacing w:after="0" w:line="162" w:lineRule="exact"/>
              <w:rPr>
                <w:sz w:val="20"/>
                <w:szCs w:val="20"/>
                <w:color w:val="auto"/>
              </w:rPr>
            </w:pPr>
            <w:r>
              <w:rPr>
                <w:rFonts w:ascii="Arial" w:cs="Arial" w:eastAsia="Arial" w:hAnsi="Arial"/>
                <w:sz w:val="16"/>
                <w:szCs w:val="16"/>
                <w:color w:val="auto"/>
                <w:w w:val="94"/>
              </w:rPr>
              <w:t>Anti-dilutive awards excluded from diluted earnings per share</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460,947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525,349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483,921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465,529</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460" w:type="dxa"/>
            <w:vAlign w:val="bottom"/>
            <w:gridSpan w:val="3"/>
          </w:tcPr>
          <w:p>
            <w:pPr>
              <w:ind w:left="340"/>
              <w:spacing w:after="0"/>
              <w:rPr>
                <w:sz w:val="20"/>
                <w:szCs w:val="20"/>
                <w:color w:val="auto"/>
              </w:rPr>
            </w:pPr>
            <w:r>
              <w:rPr>
                <w:rFonts w:ascii="Arial" w:cs="Arial" w:eastAsia="Arial" w:hAnsi="Arial"/>
                <w:sz w:val="16"/>
                <w:szCs w:val="16"/>
                <w:color w:val="auto"/>
              </w:rPr>
              <w:t>computation</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volume of anti-dilutive awards is, in part, due to the related unamortized compensation costs.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at the end of any comparable period,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1, 2022</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21,217</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16,356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14,131</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11,190</w:t>
            </w:r>
          </w:p>
        </w:tc>
      </w:tr>
      <w:tr>
        <w:trPr>
          <w:trHeight w:val="216"/>
        </w:trPr>
        <w:tc>
          <w:tcPr>
            <w:tcW w:w="5560" w:type="dxa"/>
            <w:vAlign w:val="bottom"/>
          </w:tcPr>
          <w:p>
            <w:pPr>
              <w:ind w:left="20"/>
              <w:spacing w:after="0" w:line="216" w:lineRule="exact"/>
              <w:rPr>
                <w:sz w:val="20"/>
                <w:szCs w:val="20"/>
                <w:color w:val="auto"/>
              </w:rPr>
            </w:pPr>
            <w:r>
              <w:rPr>
                <w:rFonts w:ascii="Arial" w:cs="Arial" w:eastAsia="Arial" w:hAnsi="Arial"/>
                <w:sz w:val="16"/>
                <w:szCs w:val="16"/>
                <w:color w:val="auto"/>
              </w:rPr>
              <w:t>Accrued bonuses and incentive compensation</w:t>
            </w:r>
            <w:r>
              <w:rPr>
                <w:rFonts w:ascii="Arial" w:cs="Arial" w:eastAsia="Arial" w:hAnsi="Arial"/>
                <w:sz w:val="21"/>
                <w:szCs w:val="21"/>
                <w:color w:val="auto"/>
                <w:vertAlign w:val="superscript"/>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7,911</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11,519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6,113</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30,572</w:t>
            </w:r>
          </w:p>
        </w:tc>
      </w:tr>
      <w:tr>
        <w:trPr>
          <w:trHeight w:val="212"/>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92,394</w:t>
            </w:r>
          </w:p>
        </w:tc>
      </w:tr>
      <w:tr>
        <w:trPr>
          <w:trHeight w:val="21"/>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Accrual as of December 31, 2022 and October 1, 2022 was impacted by a lower than expected financial performance in fiscal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contractual obligations and commitments include obligations associated with leases, the secured revolving credit agreement, senior notes, and employee benefit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information for the Company’s reportable segments and unallocated corporate expenses for the periods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fiscal quarters ended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September</w:t>
            </w:r>
          </w:p>
        </w:tc>
        <w:tc>
          <w:tcPr>
            <w:tcW w:w="100" w:type="dxa"/>
            <w:vAlign w:val="bottom"/>
          </w:tcPr>
          <w:p>
            <w:pPr>
              <w:spacing w:after="0"/>
              <w:rPr>
                <w:sz w:val="13"/>
                <w:szCs w:val="13"/>
                <w:color w:val="auto"/>
              </w:rPr>
            </w:pPr>
          </w:p>
        </w:tc>
        <w:tc>
          <w:tcPr>
            <w:tcW w:w="130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 of</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October 1,</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8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October 1,</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consolidated</w:t>
            </w: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30, 2023</w:t>
            </w:r>
          </w:p>
        </w:tc>
        <w:tc>
          <w:tcPr>
            <w:tcW w:w="1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net sales</w:t>
            </w: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net sales</w:t>
            </w:r>
          </w:p>
        </w:tc>
        <w:tc>
          <w:tcPr>
            <w:tcW w:w="1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gridSpan w:val="3"/>
          </w:tcPr>
          <w:p>
            <w:pPr>
              <w:spacing w:after="0" w:line="161" w:lineRule="exact"/>
              <w:rPr>
                <w:sz w:val="20"/>
                <w:szCs w:val="20"/>
                <w:color w:val="auto"/>
              </w:rPr>
            </w:pPr>
            <w:r>
              <w:rPr>
                <w:rFonts w:ascii="Arial" w:cs="Arial" w:eastAsia="Arial" w:hAnsi="Arial"/>
                <w:sz w:val="16"/>
                <w:szCs w:val="16"/>
                <w:b w:val="1"/>
                <w:bCs w:val="1"/>
                <w:color w:val="auto"/>
              </w:rPr>
              <w:t>Net sales: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U.S. Retail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47.3 %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1,153,664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Arial" w:cs="Arial" w:eastAsia="Arial" w:hAnsi="Arial"/>
                <w:sz w:val="16"/>
                <w:szCs w:val="16"/>
                <w:color w:val="auto"/>
              </w:rPr>
              <w:t>U.S. Wholesale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300,338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38.0 %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288,454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35.2 %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767,194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819,772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35.6 %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116,517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121,961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298,553</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327,167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gridSpan w:val="3"/>
          </w:tcPr>
          <w:p>
            <w:pPr>
              <w:ind w:left="320"/>
              <w:spacing w:after="0" w:line="146" w:lineRule="exact"/>
              <w:rPr>
                <w:sz w:val="20"/>
                <w:szCs w:val="20"/>
                <w:color w:val="auto"/>
              </w:rPr>
            </w:pPr>
            <w:r>
              <w:rPr>
                <w:rFonts w:ascii="Arial" w:cs="Arial" w:eastAsia="Arial" w:hAnsi="Arial"/>
                <w:sz w:val="16"/>
                <w:szCs w:val="16"/>
                <w:color w:val="auto"/>
              </w:rPr>
              <w:t>Consolidated net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791,651</w:t>
            </w:r>
          </w:p>
        </w:tc>
        <w:tc>
          <w:tcPr>
            <w:tcW w:w="100" w:type="dxa"/>
            <w:vAlign w:val="bottom"/>
            <w:vMerge w:val="restart"/>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818,624</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2,087,730</w:t>
            </w:r>
          </w:p>
        </w:tc>
        <w:tc>
          <w:tcPr>
            <w:tcW w:w="8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2,300,603</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gridSpan w:val="3"/>
          </w:tcPr>
          <w:p>
            <w:pPr>
              <w:ind w:left="32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segment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segment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84"/>
              </w:rPr>
              <w:t>net sales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4"/>
              </w:rPr>
              <w:t>net sales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84"/>
              </w:rPr>
              <w:t>net sales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U.S. Retail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Arial" w:cs="Arial" w:eastAsia="Arial" w:hAnsi="Arial"/>
                <w:sz w:val="16"/>
                <w:szCs w:val="16"/>
                <w:color w:val="auto"/>
              </w:rPr>
              <w:t>U.S. Wholesale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65,702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21.9 %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39,989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147,003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134,088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3"/>
          </w:tcPr>
          <w:p>
            <w:pPr>
              <w:ind w:left="100"/>
              <w:spacing w:after="0" w:line="216" w:lineRule="exact"/>
              <w:rPr>
                <w:sz w:val="20"/>
                <w:szCs w:val="20"/>
                <w:color w:val="auto"/>
              </w:rPr>
            </w:pPr>
            <w:r>
              <w:rPr>
                <w:rFonts w:ascii="Arial" w:cs="Arial" w:eastAsia="Arial" w:hAnsi="Arial"/>
                <w:sz w:val="16"/>
                <w:szCs w:val="16"/>
                <w:color w:val="auto"/>
                <w:w w:val="94"/>
              </w:rPr>
              <w:t>Corporate expenses</w:t>
            </w:r>
            <w:r>
              <w:rPr>
                <w:rFonts w:ascii="Arial" w:cs="Arial" w:eastAsia="Arial" w:hAnsi="Arial"/>
                <w:sz w:val="21"/>
                <w:szCs w:val="21"/>
                <w:color w:val="auto"/>
                <w:w w:val="94"/>
                <w:vertAlign w:val="superscript"/>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(33,634)</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(85,983)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39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320"/>
              <w:spacing w:after="0" w:line="146" w:lineRule="exact"/>
              <w:rPr>
                <w:sz w:val="20"/>
                <w:szCs w:val="20"/>
                <w:color w:val="auto"/>
              </w:rPr>
            </w:pPr>
            <w:r>
              <w:rPr>
                <w:rFonts w:ascii="Arial" w:cs="Arial" w:eastAsia="Arial" w:hAnsi="Arial"/>
                <w:sz w:val="16"/>
                <w:szCs w:val="16"/>
                <w:color w:val="auto"/>
              </w:rPr>
              <w:t>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93,430</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91,583</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187,345</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269,625</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00" w:right="580" w:hanging="492"/>
        <w:spacing w:after="0" w:line="293"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4180" w:type="dxa"/>
            <w:vAlign w:val="bottom"/>
            <w:gridSpan w:val="8"/>
          </w:tcPr>
          <w:p>
            <w:pPr>
              <w:ind w:left="540"/>
              <w:spacing w:after="0"/>
              <w:rPr>
                <w:sz w:val="20"/>
                <w:szCs w:val="20"/>
                <w:color w:val="auto"/>
              </w:rPr>
            </w:pPr>
            <w:r>
              <w:rPr>
                <w:rFonts w:ascii="Arial" w:cs="Arial" w:eastAsia="Arial" w:hAnsi="Arial"/>
                <w:sz w:val="16"/>
                <w:szCs w:val="16"/>
                <w:b w:val="1"/>
                <w:bCs w:val="1"/>
                <w:color w:val="auto"/>
              </w:rPr>
              <w:t>Fiscal quarter ended September 30, 2023</w:t>
            </w:r>
          </w:p>
        </w:tc>
        <w:tc>
          <w:tcPr>
            <w:tcW w:w="180" w:type="dxa"/>
            <w:vAlign w:val="bottom"/>
          </w:tcPr>
          <w:p>
            <w:pPr>
              <w:spacing w:after="0"/>
              <w:rPr>
                <w:sz w:val="18"/>
                <w:szCs w:val="18"/>
                <w:color w:val="auto"/>
              </w:rPr>
            </w:pPr>
          </w:p>
        </w:tc>
        <w:tc>
          <w:tcPr>
            <w:tcW w:w="4160" w:type="dxa"/>
            <w:vAlign w:val="bottom"/>
            <w:gridSpan w:val="7"/>
          </w:tcPr>
          <w:p>
            <w:pPr>
              <w:jc w:val="right"/>
              <w:ind w:right="439"/>
              <w:spacing w:after="0"/>
              <w:rPr>
                <w:sz w:val="20"/>
                <w:szCs w:val="20"/>
                <w:color w:val="auto"/>
              </w:rPr>
            </w:pPr>
            <w:r>
              <w:rPr>
                <w:rFonts w:ascii="Arial" w:cs="Arial" w:eastAsia="Arial" w:hAnsi="Arial"/>
                <w:sz w:val="16"/>
                <w:szCs w:val="16"/>
                <w:b w:val="1"/>
                <w:bCs w:val="1"/>
                <w:color w:val="auto"/>
                <w:w w:val="99"/>
              </w:rPr>
              <w:t>Three fiscal quarters ended September 30, 2023</w:t>
            </w:r>
          </w:p>
        </w:tc>
      </w:tr>
      <w:tr>
        <w:trPr>
          <w:trHeight w:val="175"/>
        </w:trPr>
        <w:tc>
          <w:tcPr>
            <w:tcW w:w="20" w:type="dxa"/>
            <w:vAlign w:val="bottom"/>
          </w:tcPr>
          <w:p>
            <w:pPr>
              <w:spacing w:after="0"/>
              <w:rPr>
                <w:sz w:val="15"/>
                <w:szCs w:val="15"/>
                <w:color w:val="auto"/>
              </w:rPr>
            </w:pPr>
          </w:p>
        </w:tc>
        <w:tc>
          <w:tcPr>
            <w:tcW w:w="24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Charges:</w:t>
            </w: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60"/>
              <w:spacing w:after="0" w:line="175" w:lineRule="exact"/>
              <w:rPr>
                <w:sz w:val="20"/>
                <w:szCs w:val="20"/>
                <w:color w:val="auto"/>
              </w:rPr>
            </w:pPr>
            <w:r>
              <w:rPr>
                <w:rFonts w:ascii="Arial" w:cs="Arial" w:eastAsia="Arial" w:hAnsi="Arial"/>
                <w:sz w:val="16"/>
                <w:szCs w:val="16"/>
                <w:b w:val="1"/>
                <w:bCs w:val="1"/>
                <w:color w:val="auto"/>
              </w:rPr>
              <w:t>U.S. Retail</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40"/>
              <w:spacing w:after="0" w:line="175" w:lineRule="exact"/>
              <w:rPr>
                <w:sz w:val="20"/>
                <w:szCs w:val="20"/>
                <w:color w:val="auto"/>
              </w:rPr>
            </w:pPr>
            <w:r>
              <w:rPr>
                <w:rFonts w:ascii="Arial" w:cs="Arial" w:eastAsia="Arial" w:hAnsi="Arial"/>
                <w:sz w:val="16"/>
                <w:szCs w:val="16"/>
                <w:b w:val="1"/>
                <w:bCs w:val="1"/>
                <w:color w:val="auto"/>
              </w:rPr>
              <w:t>U.S. Wholesale</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79"/>
              <w:spacing w:after="0" w:line="175" w:lineRule="exact"/>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ind w:left="100"/>
              <w:spacing w:after="0" w:line="175" w:lineRule="exact"/>
              <w:rPr>
                <w:sz w:val="20"/>
                <w:szCs w:val="20"/>
                <w:color w:val="auto"/>
              </w:rPr>
            </w:pPr>
            <w:r>
              <w:rPr>
                <w:rFonts w:ascii="Arial" w:cs="Arial" w:eastAsia="Arial" w:hAnsi="Arial"/>
                <w:sz w:val="16"/>
                <w:szCs w:val="16"/>
                <w:b w:val="1"/>
                <w:bCs w:val="1"/>
                <w:color w:val="auto"/>
              </w:rPr>
              <w:t>U.S. Retail</w:t>
            </w:r>
          </w:p>
        </w:tc>
        <w:tc>
          <w:tcPr>
            <w:tcW w:w="1380" w:type="dxa"/>
            <w:vAlign w:val="bottom"/>
            <w:tcBorders>
              <w:top w:val="single" w:sz="8" w:color="auto"/>
            </w:tcBorders>
            <w:gridSpan w:val="2"/>
          </w:tcPr>
          <w:p>
            <w:pPr>
              <w:ind w:left="40"/>
              <w:spacing w:after="0" w:line="175" w:lineRule="exact"/>
              <w:rPr>
                <w:sz w:val="20"/>
                <w:szCs w:val="20"/>
                <w:color w:val="auto"/>
              </w:rPr>
            </w:pPr>
            <w:r>
              <w:rPr>
                <w:rFonts w:ascii="Arial" w:cs="Arial" w:eastAsia="Arial" w:hAnsi="Arial"/>
                <w:sz w:val="16"/>
                <w:szCs w:val="16"/>
                <w:b w:val="1"/>
                <w:bCs w:val="1"/>
                <w:color w:val="auto"/>
              </w:rPr>
              <w:t>U.S. Wholesale</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79"/>
              <w:spacing w:after="0" w:line="175" w:lineRule="exact"/>
              <w:rPr>
                <w:sz w:val="20"/>
                <w:szCs w:val="20"/>
                <w:color w:val="auto"/>
              </w:rPr>
            </w:pPr>
            <w:r>
              <w:rPr>
                <w:rFonts w:ascii="Arial" w:cs="Arial" w:eastAsia="Arial" w:hAnsi="Arial"/>
                <w:sz w:val="16"/>
                <w:szCs w:val="16"/>
                <w:b w:val="1"/>
                <w:bCs w:val="1"/>
                <w:color w:val="auto"/>
                <w:w w:val="99"/>
              </w:rPr>
              <w:t>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bl>
    <w:p>
      <w:pPr>
        <w:spacing w:after="0" w:line="130" w:lineRule="exact"/>
        <w:rPr>
          <w:sz w:val="20"/>
          <w:szCs w:val="20"/>
          <w:color w:val="auto"/>
        </w:rPr>
      </w:pPr>
    </w:p>
    <w:p>
      <w:pPr>
        <w:ind w:left="500" w:right="460" w:hanging="492"/>
        <w:spacing w:after="0" w:line="267"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Relates to charges for organizational restructuring and related corporate office lease amendment actions. Additionally, the third fiscal quarter and first three fiscal quarters ended September 30, 2023 includes a corporate charge of $1.5 million and $4.1 million, respectively, related to organizational restructuring and related corporate office lease amendment actions.</w:t>
      </w:r>
    </w:p>
    <w:p>
      <w:pPr>
        <w:spacing w:after="0" w:line="152" w:lineRule="exact"/>
        <w:rPr>
          <w:sz w:val="20"/>
          <w:szCs w:val="20"/>
          <w:color w:val="auto"/>
        </w:rPr>
      </w:pPr>
    </w:p>
    <w:p>
      <w:pPr>
        <w:ind w:right="1220"/>
        <w:spacing w:after="0" w:line="36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contained in this press release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the factors disclosed in Part I, Item 1A. “Risk Factors” of the Company’s Annual Report on Form 10-K for the fiscal year ended December 31, 2022, and otherwise in our reports and filings with the Securities and Exchange Commission, as well as the following factors: the continuing effects of the novel coronavirus (COVID-19) pandemic; changes in global economic and financial conditions, and the resulting impact on consumer confidence and consumer spending, as well as other changes in consumer discretionary spending habits; continued inflationary pressures with respect to labor and raw materials and global supply chain constraints that have, and could continue, to affect freight, transit, and other costs; risks related to geopolitical conflict, including ongoing geopolitical challenges between the United States and China, the ongoing hostilities in Ukraine and Israel, acts of terrorism, mass casualty events, social unrest, civil disturbance or disobedience; risks related to a shutdown of the U.S. government; financial difficulties for one or more of our major customers; an overall decrease in consumer spending, including, but not limited to, decreases in birth rates; our products not being accepted in the marketplace and our failure to manage our inventory; increased competition in the market place; diminished value of our brands; the failure to protect our intellectual property; the failure to comply with applicable quality standards or regulations; unseasonable or extreme weather conditions; pending and threatened lawsuits; a breach of our information technology systems and the loss of personal data; increased margin pressures, including increased cost of materials and labor and our inability to successfully increase prices to offset these increased costs; our foreign sourcing arrangements; disruptions in our supply chain, including increased transportation and freight costs; the management and expansion of our business domestically and internationally; the acquisition and integration of other brands and businesses; changes in our tax obligations, including additional customs, duties or tariffs; fluctuations in foreign currency exchange rates; risks associated with corporate responsibility issues; our ability to achieve our forecasted financial results for the fiscal year; our continued ability to declare and pay a dividend and conduct share repurchases in future periods; our planned opening and closing of stores during the fiscal year; and other risks detailed in the Company’s periodic reports as filed in accordance with the Securities Exchange Act of 1934, as amended. The Company does not undertake any obligation to publicly update or revise any forward-looking statements, whether as a result of new information, future events, or otherwise.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 xml:space="preserve">We are the largest branded marketer of young children’s apparel in North America. We own two of the most highly recognized and trusted brand names in the children’s apparel market,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(or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We also own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 leading young children’s lifestyle brand, exclusive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brands developed for specific wholesale customers, and</w:t>
      </w:r>
      <w:r>
        <w:rPr>
          <w:rFonts w:ascii="Arial" w:cs="Arial" w:eastAsia="Arial" w:hAnsi="Arial"/>
          <w:sz w:val="16"/>
          <w:szCs w:val="16"/>
          <w:i w:val="1"/>
          <w:iCs w:val="1"/>
          <w:color w:val="auto"/>
        </w:rPr>
        <w:t xml:space="preserve"> Little Planet</w:t>
      </w:r>
      <w:r>
        <w:rPr>
          <w:rFonts w:ascii="Arial" w:cs="Arial" w:eastAsia="Arial" w:hAnsi="Arial"/>
          <w:sz w:val="16"/>
          <w:szCs w:val="16"/>
          <w:color w:val="auto"/>
        </w:rPr>
        <w:t>, a brand focused on organic fabrics and sustainable materials.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in 2005.</w:t>
      </w:r>
    </w:p>
    <w:p>
      <w:pPr>
        <w:spacing w:after="0" w:line="14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in 2017.</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sold at Walmart;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sold at Target, and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 Amazon.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Launched in 2021, the </w:t>
      </w:r>
      <w:r>
        <w:rPr>
          <w:rFonts w:ascii="Arial" w:cs="Arial" w:eastAsia="Arial" w:hAnsi="Arial"/>
          <w:sz w:val="18"/>
          <w:szCs w:val="18"/>
          <w:i w:val="1"/>
          <w:iCs w:val="1"/>
          <w:color w:val="auto"/>
        </w:rPr>
        <w:t>Little Planet</w:t>
      </w:r>
      <w:r>
        <w:rPr>
          <w:rFonts w:ascii="Arial" w:cs="Arial" w:eastAsia="Arial" w:hAnsi="Arial"/>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mission is to serve the needs of all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As of September 30, 2023, our channels included 1,009 company-owned retail stores, approximately 19,350 wholesale locations, and eCommerce sites in North America, as well as our international wholesale accounts and licensees which operate in over 90 countries.</w:t>
      </w:r>
    </w:p>
    <w:p>
      <w:pPr>
        <w:spacing w:after="0" w:line="12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2022 fiscal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products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 Consumer Demand, and Inventories</w:t>
      </w:r>
    </w:p>
    <w:p>
      <w:pPr>
        <w:spacing w:after="0" w:line="10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Macroeconomic factors, including inflationary pressures, increased interest rates, the lapping of government stimulus, increased consumer debt levels, decreased savings rates, resumption of student loan repayments, geopolitical unrest, and increased risks of a recession continued to create a complex and challenging environment for our business in the third quarter of fiscal 2023. We believe these macroeconomic factors have resulted in lower consumer sentiment and negatively impacted demand for our products and will likely continue to negatively impact demand in the remainder of fiscal 2023.</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Compared to the end of the third quarter of fiscal 2022, our inventories decreased $278.7 million, or 31.0%, to $620.7 million, primarily due to decreased in-transit inventory, decreased “pack and hold” inventory, and lower forecasted net sales for fiscal 2023. “Pack and hold” inventory decreased</w:t>
      </w:r>
    </w:p>
    <w:p>
      <w:pPr>
        <w:ind w:right="20"/>
        <w:spacing w:after="0" w:line="253" w:lineRule="auto"/>
        <w:rPr>
          <w:sz w:val="20"/>
          <w:szCs w:val="20"/>
          <w:color w:val="auto"/>
        </w:rPr>
      </w:pPr>
      <w:r>
        <w:rPr>
          <w:rFonts w:ascii="Arial" w:cs="Arial" w:eastAsia="Arial" w:hAnsi="Arial"/>
          <w:sz w:val="18"/>
          <w:szCs w:val="18"/>
          <w:color w:val="auto"/>
        </w:rPr>
        <w:t>$58.4 million, or 56.8%, to $44.5 million. Inventory levels were elevated throughout much of the retail industry during the first half of fiscal 2023, resulting in an increase in promotional activity as companies sell off their excess inventories. We have taken action to align inventory with planned demand, including selectively utilizing a pack and hold strategy to sell through inventory profitably in later periods, and selling through excess inventory in our own retail channels and in off-price channels. Inventory levels for the fourth quarter of fiscal 2023 are also expected to be lower than those in fiscal 2022.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Pressures</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fiscal 2022, the cost of transportation, particularly ocean freight rates, raw materials, packaging materials, labor, energy, fuel, and other inputs necessary for the production and distribution of our products rapidly increased. We continued to experience inflationary pressures on many input costs through the end of the third quarter of fiscal 2023. While freight input costs have decreased during fiscal 2023, we may continue to experience inflationary pressures on other input costs and distribution costs for the remainder of fiscal 2023. We have offset some of these cost pressures through increases in the selling prices of some of our products, product cost optimization, increasing and diversifying our portfolio of suppliers, renegotiating our longer-term shipping container contracts, and reductions in discretionary spending. However, our pricing actions could have an adverse impact on demand and may not be sufficient to cover all increased costs that we may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Restructuring and Corporate Office Lease Amendment</w:t>
      </w:r>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the first quarter and third quarter of fiscal 2023, we initiated several organizational restructuring initiatives which included a reorganization of staffing models across multiple functions to drive labor savings and increase efficiencies. In conjunction with these plans, we incurred approximately $2.9 million and $6.2 million in costs in the third quarter and the first three quarters of fiscal 2023, respectively. These costs were primarily related to severance and other termination benefits and are included in Other current liabilities in the accompanying unaudited condensed consolidated balance sheet.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Additionally, during the first quarter of fiscal 2023, we executed an amendment to the lease of our corporate headquarters in Atlanta, Georgia which resulted in returning three floors to the landlord and extending the lease to 2035. As a result of the reduction in leased office space, we recorded a net gain of $1.8 million related to the partial termination of the lease in the first quarter of fiscal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2023 Financial Highlights</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strength of our product offerings, leaner inventory position, lower ocean freight rates, and focus on expense management enabled us to improve profitability and grow earnings despite the challenging macroeconomic environment that weighed on consumer demand. However, sales declined compared to the third quarter of fiscal 2022, which we believe reflects the significant ongoing and negative impact of high inflation on consumer demand for our products and reduced spending more broadly across the retail industry. Although demand from our wholesale customers increased in the third quarter of fiscal 2023, wholesale customers continue to take a cautious approach to their future inventory commitments.</w:t>
      </w:r>
    </w:p>
    <w:p>
      <w:pPr>
        <w:spacing w:after="0" w:line="13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Despite these macroeconomic challenges, including the negative impacts of high inflation on aspects of our cost structure, operating margin increased compared to the third quarter of fiscal 2022. We also increased our store count and continued to return capital to our shareholders in the third quarter of fiscal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comparisons are to the third quarter of fiscal 2022:</w:t>
      </w:r>
    </w:p>
    <w:p>
      <w:pPr>
        <w:spacing w:after="0" w:line="90" w:lineRule="exact"/>
        <w:rPr>
          <w:sz w:val="20"/>
          <w:szCs w:val="20"/>
          <w:color w:val="auto"/>
        </w:rPr>
      </w:pPr>
    </w:p>
    <w:p>
      <w:pPr>
        <w:ind w:left="660" w:right="40" w:hanging="328"/>
        <w:spacing w:after="0" w:line="31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Consolidated net sales decreased $27.0 million, or 3.3%, to $791.7 million, primarily due to macroeconomic factors, including inflationary pressures, increased interest rates, increased consumer debt levels, decreased savings rates, and risk of recession, driving lower consumer demand.</w:t>
      </w:r>
    </w:p>
    <w:p>
      <w:pPr>
        <w:spacing w:after="0" w:line="1" w:lineRule="exact"/>
        <w:rPr>
          <w:rFonts w:ascii="Arial" w:cs="Arial" w:eastAsia="Arial" w:hAnsi="Arial"/>
          <w:sz w:val="16"/>
          <w:szCs w:val="16"/>
          <w:color w:val="auto"/>
        </w:rPr>
      </w:pPr>
    </w:p>
    <w:p>
      <w:pPr>
        <w:ind w:left="660" w:right="240" w:hanging="328"/>
        <w:spacing w:after="0" w:line="263" w:lineRule="auto"/>
        <w:tabs>
          <w:tab w:leader="none" w:pos="656" w:val="left"/>
        </w:tabs>
        <w:numPr>
          <w:ilvl w:val="0"/>
          <w:numId w:val="13"/>
        </w:numPr>
        <w:rPr>
          <w:rFonts w:ascii="Arial" w:cs="Arial" w:eastAsia="Arial" w:hAnsi="Arial"/>
          <w:sz w:val="14"/>
          <w:szCs w:val="14"/>
          <w:b w:val="1"/>
          <w:bCs w:val="1"/>
          <w:color w:val="auto"/>
        </w:rPr>
      </w:pPr>
      <w:r>
        <w:rPr>
          <w:rFonts w:ascii="Arial" w:cs="Arial" w:eastAsia="Arial" w:hAnsi="Arial"/>
          <w:sz w:val="18"/>
          <w:szCs w:val="18"/>
          <w:color w:val="auto"/>
        </w:rPr>
        <w:t>Despite increased pressure on pricing from our competitors, operating income increased $1.8 million, or 2.0%, to $93.4 million, and operating margin increased 60 basis points (“bps”) to 11.8% primarily due to decreased ocean freight rates, decreased inventory provisions, and improved price realization, partially offset by fixed cost deleverage on decreased sales.</w:t>
      </w:r>
    </w:p>
    <w:p>
      <w:pPr>
        <w:spacing w:after="0" w:line="62" w:lineRule="exact"/>
        <w:rPr>
          <w:rFonts w:ascii="Arial" w:cs="Arial" w:eastAsia="Arial" w:hAnsi="Arial"/>
          <w:sz w:val="14"/>
          <w:szCs w:val="14"/>
          <w:b w:val="1"/>
          <w:bCs w:val="1"/>
          <w:color w:val="auto"/>
        </w:rPr>
      </w:pPr>
    </w:p>
    <w:p>
      <w:pPr>
        <w:ind w:left="660" w:right="40" w:hanging="328"/>
        <w:spacing w:after="0" w:line="259" w:lineRule="auto"/>
        <w:tabs>
          <w:tab w:leader="none" w:pos="656" w:val="left"/>
        </w:tabs>
        <w:numPr>
          <w:ilvl w:val="0"/>
          <w:numId w:val="13"/>
        </w:numPr>
        <w:rPr>
          <w:rFonts w:ascii="Arial" w:cs="Arial" w:eastAsia="Arial" w:hAnsi="Arial"/>
          <w:sz w:val="14"/>
          <w:szCs w:val="14"/>
          <w:b w:val="1"/>
          <w:bCs w:val="1"/>
          <w:color w:val="auto"/>
        </w:rPr>
      </w:pPr>
      <w:r>
        <w:rPr>
          <w:rFonts w:ascii="Arial" w:cs="Arial" w:eastAsia="Arial" w:hAnsi="Arial"/>
          <w:sz w:val="18"/>
          <w:szCs w:val="18"/>
          <w:color w:val="auto"/>
        </w:rPr>
        <w:t xml:space="preserve">We believe that our growth in years ahead will be driven by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 the wholesale channel and new store openings. Given our progress with improved price realization, more attractive store opening opportunities in the United States continue to be available to us. During the third quarter of fiscal 2023, we opened 6 stores and closed 1 store in the United States. We are projecting approximately 25 store openings in the United States in the remainder of fiscal 2023.</w:t>
      </w:r>
    </w:p>
    <w:p>
      <w:pPr>
        <w:spacing w:after="0" w:line="65" w:lineRule="exact"/>
        <w:rPr>
          <w:rFonts w:ascii="Arial" w:cs="Arial" w:eastAsia="Arial" w:hAnsi="Arial"/>
          <w:sz w:val="14"/>
          <w:szCs w:val="14"/>
          <w:b w:val="1"/>
          <w:bCs w:val="1"/>
          <w:color w:val="auto"/>
        </w:rPr>
      </w:pPr>
    </w:p>
    <w:p>
      <w:pPr>
        <w:ind w:left="660" w:right="1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result of our strong financial position and available liquidity, we returned $55.4 million to our shareholders, comprised of $27.6 million in share repurchases and $27.9 million in cash dividends. For the first three quarters of fiscal 2023, we returned $152.0 million to our shareholders, comprised of $67.5 million in share repurchases and $84.5 million in cash dividends.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ENDED SEPTEMBER 30, 2023 COMPARED TO THIRD FISCAL QUARTER ENDED OCTOBER 1, 2022</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gridSpan w:val="5"/>
          </w:tcPr>
          <w:p>
            <w:pPr>
              <w:ind w:left="1040"/>
              <w:spacing w:after="0"/>
              <w:rPr>
                <w:sz w:val="20"/>
                <w:szCs w:val="20"/>
                <w:color w:val="auto"/>
              </w:rPr>
            </w:pPr>
            <w:r>
              <w:rPr>
                <w:rFonts w:ascii="Arial" w:cs="Arial" w:eastAsia="Arial" w:hAnsi="Arial"/>
                <w:sz w:val="15"/>
                <w:szCs w:val="15"/>
                <w:b w:val="1"/>
                <w:bCs w:val="1"/>
                <w:color w:val="auto"/>
              </w:rPr>
              <w:t>Fiscal quarter ended</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0"/>
        </w:trPr>
        <w:tc>
          <w:tcPr>
            <w:tcW w:w="404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 except per share data)</w:t>
            </w:r>
          </w:p>
        </w:tc>
        <w:tc>
          <w:tcPr>
            <w:tcW w:w="2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October 1, 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rPr>
              <w:t>% / bps Change</w:t>
            </w: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791,651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818,624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(26,973)</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goods sold</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415,254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448,096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(32,842)</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376,397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370,528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5,869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1.6 %</w:t>
            </w:r>
          </w:p>
        </w:tc>
      </w:tr>
      <w:tr>
        <w:trPr>
          <w:trHeight w:val="198"/>
        </w:trPr>
        <w:tc>
          <w:tcPr>
            <w:tcW w:w="4040" w:type="dxa"/>
            <w:vAlign w:val="bottom"/>
          </w:tcPr>
          <w:p>
            <w:pPr>
              <w:ind w:left="220"/>
              <w:spacing w:after="0"/>
              <w:rPr>
                <w:sz w:val="20"/>
                <w:szCs w:val="20"/>
                <w:color w:val="auto"/>
              </w:rPr>
            </w:pPr>
            <w:r>
              <w:rPr>
                <w:rFonts w:ascii="Arial" w:cs="Arial" w:eastAsia="Arial" w:hAnsi="Arial"/>
                <w:sz w:val="15"/>
                <w:szCs w:val="15"/>
                <w:i w:val="1"/>
                <w:iCs w:val="1"/>
                <w:color w:val="auto"/>
              </w:rPr>
              <w:t>Gross profit as % of net sales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i w:val="1"/>
                <w:iCs w:val="1"/>
                <w:color w:val="auto"/>
              </w:rPr>
              <w:t>47.5 %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i w:val="1"/>
                <w:iCs w:val="1"/>
                <w:color w:val="auto"/>
              </w:rPr>
              <w:t>45.3 %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i w:val="1"/>
                <w:iCs w:val="1"/>
                <w:color w:val="auto"/>
              </w:rPr>
              <w:t>220 bps</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Royalty income,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7,273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r>
      <w:tr>
        <w:trPr>
          <w:trHeight w:val="198"/>
        </w:trPr>
        <w:tc>
          <w:tcPr>
            <w:tcW w:w="4040" w:type="dxa"/>
            <w:vAlign w:val="bottom"/>
          </w:tcPr>
          <w:p>
            <w:pPr>
              <w:ind w:left="220"/>
              <w:spacing w:after="0"/>
              <w:rPr>
                <w:sz w:val="20"/>
                <w:szCs w:val="20"/>
                <w:color w:val="auto"/>
              </w:rPr>
            </w:pPr>
            <w:r>
              <w:rPr>
                <w:rFonts w:ascii="Arial" w:cs="Arial" w:eastAsia="Arial" w:hAnsi="Arial"/>
                <w:sz w:val="15"/>
                <w:szCs w:val="15"/>
                <w:i w:val="1"/>
                <w:iCs w:val="1"/>
                <w:color w:val="auto"/>
              </w:rPr>
              <w:t>Royalty income as % of net sales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i w:val="1"/>
                <w:iCs w:val="1"/>
                <w:color w:val="auto"/>
              </w:rPr>
              <w:t>0.7 %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i w:val="1"/>
                <w:iCs w:val="1"/>
                <w:color w:val="auto"/>
              </w:rPr>
              <w:t>0.9 %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i w:val="1"/>
                <w:iCs w:val="1"/>
                <w:color w:val="auto"/>
              </w:rPr>
              <w:t>(20) bps</w:t>
            </w: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288,680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286,218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2,462</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0.9 %</w:t>
            </w:r>
          </w:p>
        </w:tc>
      </w:tr>
      <w:tr>
        <w:trPr>
          <w:trHeight w:val="199"/>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5"/>
                <w:szCs w:val="15"/>
                <w:i w:val="1"/>
                <w:iCs w:val="1"/>
                <w:color w:val="auto"/>
              </w:rPr>
              <w:t>SG&amp;A expenses as % of net sales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36.5 %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35.0 %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150 bps</w:t>
            </w: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93,430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91,583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1,847</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r>
      <w:tr>
        <w:trPr>
          <w:trHeight w:val="198"/>
        </w:trPr>
        <w:tc>
          <w:tcPr>
            <w:tcW w:w="4040" w:type="dxa"/>
            <w:vAlign w:val="bottom"/>
          </w:tcPr>
          <w:p>
            <w:pPr>
              <w:ind w:left="220"/>
              <w:spacing w:after="0"/>
              <w:rPr>
                <w:sz w:val="20"/>
                <w:szCs w:val="20"/>
                <w:color w:val="auto"/>
              </w:rPr>
            </w:pPr>
            <w:r>
              <w:rPr>
                <w:rFonts w:ascii="Arial" w:cs="Arial" w:eastAsia="Arial" w:hAnsi="Arial"/>
                <w:sz w:val="15"/>
                <w:szCs w:val="15"/>
                <w:i w:val="1"/>
                <w:iCs w:val="1"/>
                <w:color w:val="auto"/>
              </w:rPr>
              <w:t>Operating income as % of net sales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i w:val="1"/>
                <w:iCs w:val="1"/>
                <w:color w:val="auto"/>
              </w:rPr>
              <w:t>11.8 %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i w:val="1"/>
                <w:iCs w:val="1"/>
                <w:color w:val="auto"/>
              </w:rPr>
              <w:t>11.2 %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i w:val="1"/>
                <w:iCs w:val="1"/>
                <w:color w:val="auto"/>
              </w:rPr>
              <w:t>60 bps</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8,615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9,712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7"/>
                <w:szCs w:val="17"/>
                <w:color w:val="auto"/>
              </w:rPr>
            </w:pPr>
          </w:p>
        </w:tc>
        <w:tc>
          <w:tcPr>
            <w:tcW w:w="1660" w:type="dxa"/>
            <w:vAlign w:val="bottom"/>
          </w:tcPr>
          <w:p>
            <w:pPr>
              <w:jc w:val="right"/>
              <w:ind w:right="84"/>
              <w:spacing w:after="0"/>
              <w:rPr>
                <w:sz w:val="20"/>
                <w:szCs w:val="20"/>
                <w:color w:val="auto"/>
              </w:rPr>
            </w:pPr>
            <w:r>
              <w:rPr>
                <w:rFonts w:ascii="Arial" w:cs="Arial" w:eastAsia="Arial" w:hAnsi="Arial"/>
                <w:sz w:val="15"/>
                <w:szCs w:val="15"/>
                <w:color w:val="auto"/>
              </w:rPr>
              <w:t>(1,064)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(807)</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&gt;100%</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507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w:t>
            </w:r>
          </w:p>
        </w:tc>
      </w:tr>
      <w:tr>
        <w:trPr>
          <w:trHeight w:val="192"/>
        </w:trPr>
        <w:tc>
          <w:tcPr>
            <w:tcW w:w="404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2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85,372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80,858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4,514</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5.6 %</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provision</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19,245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15,901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3,344</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21.0 %</w:t>
            </w:r>
          </w:p>
        </w:tc>
      </w:tr>
      <w:tr>
        <w:trPr>
          <w:trHeight w:val="196"/>
        </w:trPr>
        <w:tc>
          <w:tcPr>
            <w:tcW w:w="40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5"/>
                <w:szCs w:val="15"/>
                <w:i w:val="1"/>
                <w:iCs w:val="1"/>
                <w:color w:val="auto"/>
              </w:rPr>
              <w:t>Effective tax rate</w:t>
            </w:r>
            <w:r>
              <w:rPr>
                <w:rFonts w:ascii="Arial" w:cs="Arial" w:eastAsia="Arial" w:hAnsi="Arial"/>
                <w:sz w:val="19"/>
                <w:szCs w:val="19"/>
                <w:i w:val="1"/>
                <w:iCs w:val="1"/>
                <w:color w:val="auto"/>
                <w:vertAlign w:val="superscript"/>
              </w:rPr>
              <w: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22.5 %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19.7 %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280 bps</w:t>
            </w:r>
          </w:p>
        </w:tc>
      </w:tr>
      <w:tr>
        <w:trPr>
          <w:trHeight w:val="22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66,127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64,957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1,170</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net income per common share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0.11</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6.6 %</w:t>
            </w: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Diluted net income per common share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0.11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6.6 %</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 declared and paid per common share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bl>
    <w:p>
      <w:pPr>
        <w:spacing w:after="0" w:line="13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Consolidated net sales decreased $27.0 million, or 3.3%, to $791.7 million. This decrease in net sales was primarily driven by macroeconomic factors, including inflationary pressures, increased interest rates, increased consumer debt levels, decreased savings rates, and risk of recession, driving lower consumer demand. These decreases were partially offset by increased average selling prices per unit due to improved price realization. Units sold decreased mid-single digits and average selling prices per unit increased low-single digits. Changes in foreign currency exchange rates used for translation had a favorable effect on our consolidated net sales of approximately $1.2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consolidated gross profit increased $5.9 million, or 1.6%, to $376.4 million and consolidated gross margin increased 220 bps to 47.5%. The increase in consolidated gross profit and gross margin was primarily driven by decreased inventory provisions, increased average selling prices per unit mentioned above, and decreased average cost per unit sold. These factors were partially offset by changes in customer and channel mix. Average cost per unit sold decreased low-single digits primarily due to decreased ocean freight rates. We expect product input costs and inbound transportation rates, including ocean freight rates, to decrease in the fourth quarter of fiscal 2023 and into fiscal 2024.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Consolidated royalty income decreased $1.6 million, or 21.4%, to $5.7 million, primarily driven by decreased customer demand.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Consolidated SG&amp;A expenses increased $2.5 million, or 0.9%, to $288.7 million and increased as a percentage of consolidated net sales by approximately 150 bps to 36.5%. This increase in SG&amp;A rate was primarily driven by fixed cost deleverage on decreased sales, increased performance-based compensation expense, increased consulting and professional fees, retail store openings, and organizational restructuring charges, partially offset by expense related to the relocation of inventory from an exited third-party warehouse in the third quarter of fiscal 2022 that did not reoccur in the third quarter of fiscal 2023 and decreased marketing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Consolidated operating income increased $1.8 million, or 2.0%, to $93.4 million and increased as a percentage of net sales by approximately 60 bps to 11.8%,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interest expense decreased $1.1 million, or 11.3%, to $8.6 million. Weighted-average borrowings for the third quarter of fiscal 2023 were</w:t>
      </w:r>
    </w:p>
    <w:p>
      <w:pPr>
        <w:spacing w:after="0" w:line="4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$535.0 million at an effective interest rate of 6.13%, compared to weighted-average borrowings for the third quarter of fiscal 2022 of $706.2 million at an effective interest rate of 5.41%.</w:t>
      </w:r>
    </w:p>
    <w:p>
      <w:pPr>
        <w:spacing w:after="0" w:line="14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decrease in weighted-average borrowings was attributable to decreased borrowings under our secured revolving credit facility for the period. The increase in the effective interest rate was primarily due to increased interest rates on our secured revolving credit facility, reflecting the broader rise in market interest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consolidated income tax provision increased $3.3 million, or 21.0%, to $19.2 million and the effective tax rate increased 280 bps to 22.5%. The increased effective tax rate primarily relates to a higher proportion of income generated in the United States, which is a higher tax jurisdiction relative to the locations of our international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net income increased $1.2 million, or 1.8%, to $66.1 million, primarily due to the factors previously discussed.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Third Quarter of Fiscal 2023 compared to Third Quarter of Fiscal 2022</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third quarter of fiscal 2023 and the third quarter of fiscal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Fiscal quarter ended</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3"/>
                <w:szCs w:val="13"/>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2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October 1, 2022</w:t>
            </w:r>
          </w:p>
        </w:tc>
        <w:tc>
          <w:tcPr>
            <w:tcW w:w="13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 of 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 Change</w:t>
            </w:r>
          </w:p>
        </w:tc>
        <w:tc>
          <w:tcPr>
            <w:tcW w:w="120" w:type="dxa"/>
            <w:vAlign w:val="bottom"/>
          </w:tcPr>
          <w:p>
            <w:pPr>
              <w:spacing w:after="0"/>
              <w:rPr>
                <w:sz w:val="13"/>
                <w:szCs w:val="13"/>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374,796</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47.3 %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408,209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49.9 %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(33,413)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116,517</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121,961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8"/>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791,651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818,624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 of segment net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0"/>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79"/>
              </w:rPr>
              <w:t>sales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4"/>
              </w:rPr>
              <w:t>sales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419"/>
              <w:spacing w:after="0"/>
              <w:rPr>
                <w:sz w:val="20"/>
                <w:szCs w:val="20"/>
                <w:color w:val="auto"/>
              </w:rPr>
            </w:pPr>
            <w:r>
              <w:rPr>
                <w:rFonts w:ascii="Arial" w:cs="Arial" w:eastAsia="Arial" w:hAnsi="Arial"/>
                <w:sz w:val="16"/>
                <w:szCs w:val="16"/>
                <w:color w:val="auto"/>
                <w:w w:val="93"/>
              </w:rPr>
              <w:t>47,983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279"/>
              <w:spacing w:after="0"/>
              <w:rPr>
                <w:sz w:val="20"/>
                <w:szCs w:val="20"/>
                <w:color w:val="auto"/>
              </w:rPr>
            </w:pPr>
            <w:r>
              <w:rPr>
                <w:rFonts w:ascii="Arial" w:cs="Arial" w:eastAsia="Arial" w:hAnsi="Arial"/>
                <w:sz w:val="16"/>
                <w:szCs w:val="16"/>
                <w:color w:val="auto"/>
                <w:w w:val="89"/>
              </w:rPr>
              <w:t>57,723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(9,740)</w:t>
            </w:r>
          </w:p>
        </w:tc>
        <w:tc>
          <w:tcPr>
            <w:tcW w:w="122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3"/>
              </w:rPr>
              <w:t>65,702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89"/>
              </w:rPr>
              <w:t>39,989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64.3 %</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center"/>
              <w:ind w:left="419"/>
              <w:spacing w:after="0"/>
              <w:rPr>
                <w:sz w:val="20"/>
                <w:szCs w:val="20"/>
                <w:color w:val="auto"/>
              </w:rPr>
            </w:pPr>
            <w:r>
              <w:rPr>
                <w:rFonts w:ascii="Arial" w:cs="Arial" w:eastAsia="Arial" w:hAnsi="Arial"/>
                <w:sz w:val="16"/>
                <w:szCs w:val="16"/>
                <w:color w:val="auto"/>
                <w:w w:val="93"/>
              </w:rPr>
              <w:t>13,379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ind w:left="279"/>
              <w:spacing w:after="0"/>
              <w:rPr>
                <w:sz w:val="20"/>
                <w:szCs w:val="20"/>
                <w:color w:val="auto"/>
              </w:rPr>
            </w:pPr>
            <w:r>
              <w:rPr>
                <w:rFonts w:ascii="Arial" w:cs="Arial" w:eastAsia="Arial" w:hAnsi="Arial"/>
                <w:sz w:val="16"/>
                <w:szCs w:val="16"/>
                <w:color w:val="auto"/>
                <w:w w:val="89"/>
              </w:rPr>
              <w:t>17,113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(3,734)</w:t>
            </w: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w w:val="93"/>
              </w:rPr>
              <w:t>(33,634)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n/a</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6"/>
                <w:szCs w:val="16"/>
                <w:color w:val="auto"/>
                <w:w w:val="90"/>
              </w:rPr>
              <w:t>(23,242)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44.7 %</w:t>
            </w:r>
          </w:p>
        </w:tc>
        <w:tc>
          <w:tcPr>
            <w:tcW w:w="0" w:type="dxa"/>
            <w:vAlign w:val="bottom"/>
          </w:tcPr>
          <w:p>
            <w:pPr>
              <w:spacing w:after="0"/>
              <w:rPr>
                <w:sz w:val="1"/>
                <w:szCs w:val="1"/>
                <w:color w:val="auto"/>
              </w:rPr>
            </w:pPr>
          </w:p>
        </w:tc>
      </w:tr>
      <w:tr>
        <w:trPr>
          <w:trHeight w:val="212"/>
        </w:trPr>
        <w:tc>
          <w:tcPr>
            <w:tcW w:w="2980" w:type="dxa"/>
            <w:vAlign w:val="bottom"/>
          </w:tcPr>
          <w:p>
            <w:pPr>
              <w:ind w:left="360"/>
              <w:spacing w:after="0"/>
              <w:rPr>
                <w:sz w:val="20"/>
                <w:szCs w:val="20"/>
                <w:color w:val="auto"/>
              </w:rPr>
            </w:pPr>
            <w:r>
              <w:rPr>
                <w:rFonts w:ascii="Arial" w:cs="Arial" w:eastAsia="Arial" w:hAnsi="Arial"/>
                <w:sz w:val="16"/>
                <w:szCs w:val="16"/>
                <w:color w:val="auto"/>
              </w:rPr>
              <w:t>Consolidated operating income</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3"/>
              </w:rPr>
              <w:t>93,430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w w:val="89"/>
              </w:rPr>
              <w:t>91,583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w:t>
            </w:r>
          </w:p>
        </w:tc>
        <w:tc>
          <w:tcPr>
            <w:tcW w:w="122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comparable sales metrics may not be comparable to those of other retailers.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U.S. Retail segment net sales decreased $33.4 million, or 8.2%, to $374.8 million. The decrease in net sales was primarily driven by macroeconomic factors, including inflationary pressures, increased interest rates, increased consumer debt levels, decreased savings rates, and risk of recession, driving lower consumer demand. This decreased demand resulted in lower traffic in our eCommerce channels and in our retail stores. Units sold decreased low-teens, while average selling prices per unit increased mid-single digits due to improved price realization.</w:t>
      </w:r>
    </w:p>
    <w:p>
      <w:pPr>
        <w:spacing w:after="0" w:line="14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Comparable net sales, including retail stores and eCommerce, decreased 9.9% primarily driven by the factors mentioned above. As of September 30, 2023, we operated 768 retail stores in the U.S. compared to 757 as of December 31, 2022, and 741 as of October 1, 2022.</w:t>
      </w:r>
    </w:p>
    <w:p>
      <w:pPr>
        <w:spacing w:after="0" w:line="1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U.S. Retail segment operating income decreased $9.7 million, or 16.9%, to $48.0 million, primarily due to a decrease in gross profit of $15.2 million, partially offset by a decrease in SG&amp;A expenses of $6.3 million. Operating margin decreased 130 bps to 12.8%. The primary drivers of the decrease in operating margin were a 240 bps increase in SG&amp;A rate, partially offset by a 120 bps increase in gross margin. The increase in gross margin was primarily due to increased average selling prices per unit and decreased inventory provisions, partially offset by increased product costs. Average cost per unit sold increased low-single digits, reflecting increases to product input costs, partially offset by decreased ocean freight rates. The increase in SG&amp;A rate was primarily driven by fixed cost deleverage on decreased net sales, increased performance-based compensation expense, and retail store openings, partially offset by decreased marketing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U.S. Wholesale segment net sales increased $11.9 million, or 4.1%, to $300.3 million, primarily due to the timing of wholesale customer shipments and increased average selling prices per unit. Our wholesale customers remain committed to their low inventory strategies, which could negatively impact future customer replenishment demand for the remainder of fiscal 2023. Average selling prices per unit and units sold both increased low-single digits.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U.S. Wholesale segment operating income increased $25.7 million, or 64.3%, to $65.7 million, primarily due to an increase in gross profit of $19.7 million and a decrease in SG&amp;A expenses of $6.3 million. Operating margin increased 800 bps to 21.9%. The primary drivers of the increase in operating margin were a 550 bps increase in gross margin and a 260 bps decrease in SG&amp;A rate. The increase in gross margin was primarily due to decreased inventory provisions, increased average selling prices per unit, and decreased product costs, partially offset by an unfavorable customer mix due to more off-price sales. Average cost per unit sold decreased mid-single digits primarily due to decreased ocean freight rates. The decrease in the SG&amp;A rate was primarily driven by expense related to the relocation of inventory from an exited third-party warehouse in the third quarter of fiscal 2022 that did not reoccur in the third quarter of fiscal 2023 and fixed cost leverage on increased sales, partially offset by increased performance-based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International segment net sales decreased $5.4 million, or 4.5%, to $116.5 million. Changes in foreign currency exchange rates, primarily between the U.S. dollar and the Canadian dollar, had a $1.2 million favorable effect on International segment net sales. The decrease in net sales was primarily driven by decreased net sales in Canada and the timing of shipments to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international wholesale partners, partially offset by growth in our Mexico retail stores and wholesale channels and increased average selling prices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 sold decreased low-teens, while average selling prices per unit increased high-single digits.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Canadian comparable net sales, including retail stores and eCommerce, decreased 4.4% primarily driven by decreased traffic in our retail stores. As of September 30, 2023, we operated 188 stores and 53 stores in Canada and Mexico, respectively. As of December 31, 2022, we operated 187 and 49 stores in Canada and Mexico, respectively. As of October 1, 2022, we operated 185 and 44 stores in Canada and Mexico, respectively.</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International segment operating income decreased $3.7 million, or 21.8%, to $13.4 million, primarily due to an increase in SG&amp;A expenses of $4.6 million, partially offset by an increase in gross profit of $1.4 million. Operating margin decreased 250 bps to 11.5%. The primary drivers of the decrease in operating margin were a 530 bps increase in the SG&amp;A rate, partially offset by a 320 bps increase in gross margin. The increase in gross margin was primarily due to increased average selling prices per unit and decreased inventory provisions, partially offset by increased average cost per unit sold. Average cost per unit sold increased low-single digits, reflecting increases to product input costs, partially offset by decreased ocean freight rates. The increase in the SG&amp;A rate was primarily due to fixed cost deleverage on decreased sales, increased investments in our Mexican retail stores and technology, and increased performance-based compensation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4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Unallocated corporate expenses increased $10.4 million, or 44.7%, to $33.6 million and unallocated corporate expenses, as a percentage of consolidated net sales, increased 140 bps to 4.2%. The increase as a percentage of consolidated net sales was primarily due to increased consulting and professional fees, increased performance-based compensation expense, organizational restructuring charges, and fixed cost deleverage on decreased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FISCAL QUARTERS ENDED SEPTEMBER 30, 2023 COMPARED TO THREE FISCAL QUARTERS ENDED OCTOBER 1, 2022</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fiscal quarters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October 1, 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r>
      <w:tr>
        <w:trPr>
          <w:trHeight w:val="21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2,087,730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2,300,603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(212,873)</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1,109,970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1,243,794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(133,824)</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977,760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1,056,809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(79,049)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Gross profit as % of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i w:val="1"/>
                <w:iCs w:val="1"/>
                <w:color w:val="auto"/>
              </w:rPr>
              <w:t>46.8 %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45.9 %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90 bps</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Royalty income, net as % of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i w:val="1"/>
                <w:iCs w:val="1"/>
                <w:color w:val="auto"/>
              </w:rPr>
              <w:t>0.8 %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(10) bps</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806,988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807,533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i w:val="1"/>
                <w:iCs w:val="1"/>
                <w:color w:val="auto"/>
              </w:rPr>
              <w:t>SG&amp;A expenses as % of net sales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38.7 %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35.1 %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360 bps</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269,625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(82,280)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Operating income as % of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i w:val="1"/>
                <w:iCs w:val="1"/>
                <w:color w:val="auto"/>
              </w:rPr>
              <w:t>9.0 %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11.7 %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(270) bps</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5"/>
                <w:szCs w:val="15"/>
                <w:color w:val="auto"/>
              </w:rPr>
              <w:t>19,940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(19,940)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1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164,290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216,280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(51,990)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38,300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46,421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(8,121)</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12"/>
        </w:trPr>
        <w:tc>
          <w:tcPr>
            <w:tcW w:w="40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23.3 %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21.5 %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180 bps</w:t>
            </w: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125,990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169,859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(43,869)</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29"/>
        </w:trPr>
        <w:tc>
          <w:tcPr>
            <w:tcW w:w="4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13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Consolidated net sales decreased $212.9 million, or 9.3%, to $2.09 billion. This decrease in net sales was primarily driven by macroeconomic factors driving lower consumer demand. These decreases were partially offset by increased average selling prices per unit due to improved price realization. Units sold decreased low-teens and average selling prices per unit increased mid-single digits. Changes in foreign currency exchange rates used for translation had an unfavorable effect on our consolidated net sales of approximately $2.2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consolidated gross profit decreased $79.0 million, or 7.5%, to $977.8 million and consolidated gross margin increased 90 bps to 46.8%. The decrease in consolidated gross profit was primarily driven by decreased net sales. The increase in gross margin was primarily driven by increased average selling prices per unit mentioned above, decreased fabric purchase commitment charges and inventory provisions, and decreased air freight costs. These factors were partially offset by increased average cost per unit sold, and changes in customer and channel mix. Average cost per unit sold increased low-single digits, reflecting increases to product input costs, partially offset by decreased ocean freight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royalty income decreased $3.8 million, or 18.6%, to $16.6 million, primarily driven by decreased customer demand.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Consolidated SG&amp;A expenses decreased $0.5 million, or 0.1%, to $807.0 million and increased as a percentage of consolidated net sales by approximately 360 bps to 38.7%. This increase in SG&amp;A rate was primarily driven by fixed cost deleverage on decreased sales, increased performance-based compensation expense, increased consulting and professional fees, retail store openings, and organizational restructuring charges, partially offset by expense related to the relocation of inventory from an exited third-party warehouse in the third quarter of fiscal 2022 that did not reoccur in the third quarter of fiscal 2023, decreased marketing expense, and a gain on the partial termination of a corporate office lease.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Consolidated operating income decreased $82.3 million, or 30.5%, to $187.3 million and decreased as a percentage of net sales by approximately 270 bps to 9.0%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Interest expense decreased $7.2 million, or 21.4%, to $26.3 million. Weighted-average borrowings for the first three quarters of fiscal 2023 were $556.8 million at an effective interest rate of 6.17%, compared to weighted-average borrowings for the first three quarters of fiscal 2022 of $757.8 million at an effective interest rate of 5.81%.</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decrease in weighted-average borrowings was attributable to the early extinguishment of our $500 million in aggregate principal amount of 5.500% senior notes due May 2025 in the second quarter of fiscal 2022 and decreased borrowings under our secured revolving credit facility for the period. The increase in the effective interest rate was primarily due to increased interest rates on our secured revolving credit facility, reflecting the broader rise in market interest rates.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0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second quarter of fiscal 2022, loss on extinguishment of debt was $19.9 million due to the early extinguishment of our $500 million in aggregate principal amount of 5.500% senior notes due May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consolidated income tax provision decreased $8.1 million, or 17.5%, to $38.3 million and the effective tax rate increased 180 bps to 23.3%. The increased effective tax rate primarily relates to a higher proportion of income generated in the United States, which is a higher tax jurisdiction relative to the locations of our international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net income decreased $43.9 million, or 25.8%, to $126.0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Three Quarters of Fiscal 2023 compared to First Three Quarters of Fiscal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and operating income, by segment, for the first three quarters of fiscal 2023 and fiscal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Three fiscal quarters ended</w:t>
            </w: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October 1, 2022</w:t>
            </w:r>
          </w:p>
        </w:tc>
        <w:tc>
          <w:tcPr>
            <w:tcW w:w="12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1,021,983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1,153,664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(131,681)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767,194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819,772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298,553</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327,167</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8"/>
        </w:trPr>
        <w:tc>
          <w:tcPr>
            <w:tcW w:w="2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2,087,730</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2,300,603</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 of segment net</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 of segment net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79"/>
              </w:rPr>
              <w:t>sales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79"/>
              </w:rPr>
              <w:t>sales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103,132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163,257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center"/>
              <w:ind w:left="99"/>
              <w:spacing w:after="0"/>
              <w:rPr>
                <w:sz w:val="20"/>
                <w:szCs w:val="20"/>
                <w:color w:val="auto"/>
              </w:rPr>
            </w:pPr>
            <w:r>
              <w:rPr>
                <w:rFonts w:ascii="Arial" w:cs="Arial" w:eastAsia="Arial" w:hAnsi="Arial"/>
                <w:sz w:val="16"/>
                <w:szCs w:val="16"/>
                <w:color w:val="auto"/>
                <w:w w:val="90"/>
              </w:rPr>
              <w:t>(60,125)</w:t>
            </w:r>
          </w:p>
        </w:tc>
        <w:tc>
          <w:tcPr>
            <w:tcW w:w="122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12,915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23,193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39,665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ind w:left="99"/>
              <w:spacing w:after="0"/>
              <w:rPr>
                <w:sz w:val="20"/>
                <w:szCs w:val="20"/>
                <w:color w:val="auto"/>
              </w:rPr>
            </w:pPr>
            <w:r>
              <w:rPr>
                <w:rFonts w:ascii="Arial" w:cs="Arial" w:eastAsia="Arial" w:hAnsi="Arial"/>
                <w:sz w:val="16"/>
                <w:szCs w:val="16"/>
                <w:color w:val="auto"/>
                <w:w w:val="90"/>
              </w:rPr>
              <w:t>(16,472)</w:t>
            </w:r>
          </w:p>
        </w:tc>
        <w:tc>
          <w:tcPr>
            <w:tcW w:w="122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(85,983)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n/a</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(67,385)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0"/>
              </w:rPr>
              <w:t>n/a</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0"/>
              </w:rPr>
              <w:t>(18,598)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0" w:type="dxa"/>
            <w:vAlign w:val="bottom"/>
          </w:tcPr>
          <w:p>
            <w:pPr>
              <w:spacing w:after="0"/>
              <w:rPr>
                <w:sz w:val="1"/>
                <w:szCs w:val="1"/>
                <w:color w:val="auto"/>
              </w:rPr>
            </w:pPr>
          </w:p>
        </w:tc>
      </w:tr>
      <w:tr>
        <w:trPr>
          <w:trHeight w:val="213"/>
        </w:trPr>
        <w:tc>
          <w:tcPr>
            <w:tcW w:w="2840" w:type="dxa"/>
            <w:vAlign w:val="bottom"/>
          </w:tcPr>
          <w:p>
            <w:pPr>
              <w:ind w:left="360"/>
              <w:spacing w:after="0"/>
              <w:rPr>
                <w:sz w:val="20"/>
                <w:szCs w:val="20"/>
                <w:color w:val="auto"/>
              </w:rPr>
            </w:pPr>
            <w:r>
              <w:rPr>
                <w:rFonts w:ascii="Arial" w:cs="Arial" w:eastAsia="Arial" w:hAnsi="Arial"/>
                <w:sz w:val="16"/>
                <w:szCs w:val="16"/>
                <w:color w:val="auto"/>
              </w:rPr>
              <w:t>Consolidated operating income</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187,345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269,625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0"/>
              </w:rPr>
              <w:t>(82,280)</w:t>
            </w:r>
          </w:p>
        </w:tc>
        <w:tc>
          <w:tcPr>
            <w:tcW w:w="122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U.S. Retail segment net sales decreased $131.7 million, or 11.4%, to $1.02 billion. The decrease in net sales was primarily driven by macroeconomic factors driving lower consumer demand. This decreased demand resulted in lower traffic and decreased units per transaction in our eCommerce channels and in our retail stores. Units sold decreased mid-teens, while average selling prices per unit increased mid-single digits due to improved price realization. Comparable net sales, including retail stores and eCommerce, decreased 12.8% primarily driven by the factors mentioned above.</w:t>
      </w:r>
    </w:p>
    <w:p>
      <w:pPr>
        <w:spacing w:after="0" w:line="11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U.S. Retail segment operating income decreased $60.1 million, or 36.8%, to $103.1 million, primarily due to a decrease in gross profit of $76.3 million, partially offset by a decrease in SG&amp;A expenses of $18.1 million. Operating margin decreased 410 bps to 10.1% primarily due to a 430 bps increase in SG&amp;A rate, partially offset by a 30 bps increase in gross margin. The increase in gross margin was primarily due to increased average selling prices per unit and decreased fabric purchase commitment charges and inventory provisions, partially offset by increased product costs and an increased mix of clearance sales. Average cost per unit sold increased mid-single digits, reflecting increases to product input costs, partially offset by decreased ocean freight rates. The increase in the SG&amp;A rate was primarily driven by fixed cost deleverage on decreased net sales, increased performance-based compensation expense, and retail store openings, partially offset by decreased marketing expense.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U.S. Wholesale segment net sales decreased $52.6 million, or 6.4%, to $767.2 million. The decrease was primarily driven by macroeconomic factors and reflects lower seasonal bookings and planned inventory reductions by our wholesale customers driving lower consumer replenishment demand. Units sold decreased high-single digits, while average selling prices per unit increased low-single digits.</w:t>
      </w:r>
    </w:p>
    <w:p>
      <w:pPr>
        <w:spacing w:after="0" w:line="15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U.S. Wholesale segment operating income increased $12.9 million, or 9.6%, to $147.0 million, primarily due to an increase in gross profit of $5.0 million and a decrease in SG&amp;A expenses of $8.9 million. Operating margin increased 280 bps to 19.2%. The primary drivers of the increase in operating margin were a 240 bps increase in gross margin and a 40 bps decrease in SG&amp;A rate. The increase in gross margin was primarily due to increased average selling prices per unit, decreased fabric purchase commitment charges and inventory provisions, and decreased air freight costs. These factors were partially offset by increased average cost per unit sold and an unfavorable customer mix due to more off-priced sales. Average cost per unit sold increased low-single digits, reflecting increases to product input costs, partially offset by decreased ocean freight rates. The decrease in the SG&amp;A rate was primarily driven by expenses related to the relocation of inventory from an exited third-party warehouse in the first three quarters of fiscal 2022 that did not reoccur in the first three quarters of fiscal 2023, partially offset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by fixed cost deleverage on decreased sales and increased performance-based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International segment net sales decreased $28.6 million, or 8.7%, to $298.6 million. Changes in foreign currency exchange rates, primarily between the U.S. dollar and the Canadian dollar, had a $2.2 million unfavorable effect on International segment net sales. The decrease in net sales was primarily driven by decreased net sales in Canada, decreased demand from our international wholesale partners, and a strengthening of the U.S. Dollar against other foreign currencies. These decreases were partially offset by growth in sales in our Mexico retail stores and wholesale channels and increased average selling prices per unit. Units sold decreased low-teens, while average selling prices per unit increased mid-single digits.</w:t>
      </w:r>
    </w:p>
    <w:p>
      <w:pPr>
        <w:spacing w:after="0" w:line="1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Canadian comparable net sales, including retail stores and eCommerce, decreased 5.6% primarily driven by decreased traffic in our eCommerce channel and in our retail stores.</w:t>
      </w:r>
    </w:p>
    <w:p>
      <w:pPr>
        <w:spacing w:after="0" w:line="14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International segment operating income decreased $16.5 million, or 41.5%, to $23.2 million, primarily due to a decrease in gross profit of $7.7 million and an increase in SG&amp;A expenses of $7.8 million. Operating margin decreased 430 bps to 7.8%. The primary drivers of the decrease in operating margin were a 580 bps increase in the SG&amp;A rate, partially offset by a 160 bps increase in gross margin. The increase in gross margin was primarily due to increased average selling prices per unit and decreased fabric purchase commitment charges and inventory provisions, partially offset by increased average cost per unit sold. Average cost per unit sold increased low-single digits, reflecting increases to product input costs, partially offset by decreased ocean freight rates. The decrease in the SG&amp;A rate was primarily due to fixed cost deleverage on decreased sales, increased investments in our Mexican retail stores and technology, and increased performance-based compensation expense.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Unallocated corporate expenses increased $18.6 million, or 27.6%, to $86.0 million and unallocated corporate expenses, as a percentage of consolidated net sales, increased 120 bps to 4.1%. The increase as a percentage of consolidated net sales was primarily due to fixed cost deleverage on decreased sales, increased consulting and professional fees, organizational restructuring charges, and increased performance-based compensation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substitution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ind w:left="60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w w:val="93"/>
              </w:rPr>
              <w:t>October 1, 2022</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Diluted 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4"/>
              </w:rPr>
              <w:t>Diluted Net</w:t>
            </w:r>
          </w:p>
        </w:tc>
        <w:tc>
          <w:tcPr>
            <w:tcW w:w="0" w:type="dxa"/>
            <w:vAlign w:val="bottom"/>
          </w:tcPr>
          <w:p>
            <w:pPr>
              <w:spacing w:after="0"/>
              <w:rPr>
                <w:sz w:val="1"/>
                <w:szCs w:val="1"/>
                <w:color w:val="auto"/>
              </w:rPr>
            </w:pPr>
          </w:p>
        </w:tc>
      </w:tr>
      <w:tr>
        <w:trPr>
          <w:trHeight w:val="162"/>
        </w:trPr>
        <w:tc>
          <w:tcPr>
            <w:tcW w:w="1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w:t>
            </w: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Operating</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 Net</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104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Income per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Operating</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8"/>
              </w:rPr>
              <w:t>% Net</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9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Income per</w:t>
            </w: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Common</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Arial" w:cs="Arial" w:eastAsia="Arial" w:hAnsi="Arial"/>
                <w:sz w:val="16"/>
                <w:szCs w:val="16"/>
                <w:i w:val="1"/>
                <w:iCs w:val="1"/>
                <w:color w:val="auto"/>
              </w:rPr>
              <w:t>earnings per share)</w:t>
            </w: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Sales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Taxes</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1"/>
              </w:rPr>
              <w:t>Sales</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Taxes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12"/>
        </w:trPr>
        <w:tc>
          <w:tcPr>
            <w:tcW w:w="1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7"/>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93.4</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Arial" w:cs="Arial" w:eastAsia="Arial" w:hAnsi="Arial"/>
                <w:sz w:val="16"/>
                <w:szCs w:val="16"/>
                <w:color w:val="auto"/>
              </w:rPr>
              <w:t>Organizational</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line="216" w:lineRule="exact"/>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adjusted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96.3</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91.6</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4900" w:firstLine="8"/>
        <w:spacing w:after="0" w:line="373"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Relates to charges for organizational restructuring and related corporate office lease amendment actions. </w:t>
      </w:r>
      <w:r>
        <w:rPr>
          <w:rFonts w:ascii="Arial" w:cs="Arial" w:eastAsia="Arial" w:hAnsi="Arial"/>
          <w:sz w:val="14"/>
          <w:szCs w:val="14"/>
          <w:i w:val="1"/>
          <w:iCs w:val="1"/>
          <w:color w:val="auto"/>
        </w:rPr>
        <w:t>Note: Results may not be additive due to rounding.</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w w:val="91"/>
              </w:rPr>
              <w:t>Three fiscal quarters ended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8"/>
          </w:tcPr>
          <w:p>
            <w:pPr>
              <w:ind w:left="60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w w:val="93"/>
              </w:rPr>
              <w:t>October 1, 2022</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Diluted 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4"/>
              </w:rPr>
              <w:t>Diluted Net</w:t>
            </w:r>
          </w:p>
        </w:tc>
        <w:tc>
          <w:tcPr>
            <w:tcW w:w="0" w:type="dxa"/>
            <w:vAlign w:val="bottom"/>
          </w:tcPr>
          <w:p>
            <w:pPr>
              <w:spacing w:after="0"/>
              <w:rPr>
                <w:sz w:val="1"/>
                <w:szCs w:val="1"/>
                <w:color w:val="auto"/>
              </w:rPr>
            </w:pPr>
          </w:p>
        </w:tc>
      </w:tr>
      <w:tr>
        <w:trPr>
          <w:trHeight w:val="162"/>
        </w:trPr>
        <w:tc>
          <w:tcPr>
            <w:tcW w:w="1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w:t>
            </w:r>
          </w:p>
        </w:tc>
        <w:tc>
          <w:tcPr>
            <w:tcW w:w="10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2"/>
              </w:rPr>
              <w:t>Operating</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 Net</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104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Income per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Operating</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8"/>
              </w:rPr>
              <w:t>% Net</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9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Income per</w:t>
            </w:r>
          </w:p>
        </w:tc>
        <w:tc>
          <w:tcPr>
            <w:tcW w:w="0" w:type="dxa"/>
            <w:vAlign w:val="bottom"/>
          </w:tcPr>
          <w:p>
            <w:pPr>
              <w:spacing w:after="0"/>
              <w:rPr>
                <w:sz w:val="1"/>
                <w:szCs w:val="1"/>
                <w:color w:val="auto"/>
              </w:rPr>
            </w:pPr>
          </w:p>
        </w:tc>
      </w:tr>
      <w:tr>
        <w:trPr>
          <w:trHeight w:val="162"/>
        </w:trPr>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Common</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Arial" w:cs="Arial" w:eastAsia="Arial" w:hAnsi="Arial"/>
                <w:sz w:val="16"/>
                <w:szCs w:val="16"/>
                <w:i w:val="1"/>
                <w:iCs w:val="1"/>
                <w:color w:val="auto"/>
              </w:rPr>
              <w:t>earnings per share)</w:t>
            </w: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Taxes</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1"/>
              </w:rPr>
              <w:t>Sales</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Taxes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12"/>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9"/>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187.3</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269.6</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Arial" w:cs="Arial" w:eastAsia="Arial" w:hAnsi="Arial"/>
                <w:sz w:val="16"/>
                <w:szCs w:val="16"/>
                <w:color w:val="auto"/>
              </w:rPr>
              <w:t>Organizational</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40" w:type="dxa"/>
            <w:vAlign w:val="bottom"/>
          </w:tcPr>
          <w:p>
            <w:pPr>
              <w:ind w:left="20"/>
              <w:spacing w:after="0" w:line="213" w:lineRule="exact"/>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Loss on</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extinguishment of</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Pr>
          <w:p>
            <w:pPr>
              <w:ind w:left="20"/>
              <w:spacing w:after="0"/>
              <w:rPr>
                <w:sz w:val="20"/>
                <w:szCs w:val="20"/>
                <w:color w:val="auto"/>
              </w:rPr>
            </w:pPr>
            <w:r>
              <w:rPr>
                <w:rFonts w:ascii="Arial" w:cs="Arial" w:eastAsia="Arial" w:hAnsi="Arial"/>
                <w:sz w:val="16"/>
                <w:szCs w:val="16"/>
                <w:b w:val="1"/>
                <w:bCs w:val="1"/>
                <w:color w:val="auto"/>
              </w:rPr>
              <w:t>As adjusted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191.8</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9.2 %</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11.7 %</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Relates to charges for organizational restructuring and related corporate office lease amendment actions.</w:t>
      </w:r>
    </w:p>
    <w:p>
      <w:pPr>
        <w:spacing w:after="0" w:line="55" w:lineRule="exact"/>
        <w:rPr>
          <w:rFonts w:ascii="Arial" w:cs="Arial" w:eastAsia="Arial" w:hAnsi="Arial"/>
          <w:sz w:val="14"/>
          <w:szCs w:val="14"/>
          <w:color w:val="auto"/>
        </w:rPr>
      </w:pPr>
    </w:p>
    <w:p>
      <w:pPr>
        <w:ind w:right="1140" w:firstLine="8"/>
        <w:spacing w:after="0" w:line="373" w:lineRule="auto"/>
        <w:tabs>
          <w:tab w:leader="none" w:pos="3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Relates to a loss on extinguishment of debt of $19.9 million due to the redemption of the $500 million aggregate principal amount of senior notes due 2025 in April 2022. </w:t>
      </w:r>
      <w:r>
        <w:rPr>
          <w:rFonts w:ascii="Arial" w:cs="Arial" w:eastAsia="Arial" w:hAnsi="Arial"/>
          <w:sz w:val="14"/>
          <w:szCs w:val="14"/>
          <w:i w:val="1"/>
          <w:iCs w:val="1"/>
          <w:color w:val="auto"/>
        </w:rPr>
        <w:t>Note: Results may not be additive due to rounding.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ongoing cash needs are primarily for working capital,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the “Forward-Looking Statements” section of this Form 10-Q, including, but not limited to, our risk factors discussed under the heading “Risk Factors” in our most recently filed Annual Report on Form 10-K and in other reports filed with the Securities and Exchange Commission from time to time.</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discussed under the heading “Recent Developments” in this Quarterly Report on Form 10-Q and in our most recently filed Annual Report on Form 10-K, we expect inflationary pressures and declining consumer sentiment to continue and to adversely impact our financial results in fiscal 2023. We cannot predict the timing and amount of such impact.</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2023, we had approximately $169.1 million of cash and cash equivalents held at major financial institutions, including approximately $40.7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0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Net accounts receivable at September 30, 2023 were $240.5 million compared to $265.6 million at October 1, 2022 and $198.6 million at December 31, 2022. The overall decrease of $25.1 million, or 9.4%, at September 30, 2023 compared to October 1, 2022 primarily reflects decreased net sales and the timing of wholesale customer shipments and associated payments. Due to the seasonal nature of our operations, the net accounts receivable balance at September 30, 2023 is not comparable to the net accounts receivable balance at December 31, 2022.</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Inventories at September 30, 2023 were $620.7 million compared to $899.3 million at October 1, 2022 and $744.6 million at December 31, 2022. The decrease of $278.7 million, or 31.0%, at September 30, 2023 compared to October 1, 2022 was primarily due to decreased in-transit inventory, decreased “pack and hold” inventory, and lower forecasted net sales for fiscal 2023. Due to the seasonal nature of our operations, the inventory balance at September 30, 2023 is not comparable to the inventories balance at December 31, 2022.</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Accounts payable at September 30, 2023 were $222.2 million compared to $318.0 million at October 1, 2022 and $264.1 million at December 31, 2022. The decrease of $95.8 million, or 30.1%, at September 30, 2023 compared to October 1, 2022 was primarily due to decreased in-transit inventory, including decreased accruals of freight and duties on in-transit inventory.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Due to the seasonal nature of our operations, the accounts payable balance at September 30, 2023 is not comparable to the accounts payable balance at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was $205.8 million for the first three quarters of fiscal 2023 compared to net cash used in operating activities of $217.5 million in the first three quarters of fiscal 2022. Our cash flow provided by operating activities is driven by net income and changes in our working capital. The increase in operating cash flow was primarily due to favorable changes in working capital, including the reductions in inventories, and lower payments of performance-based compensation, partially offset by decreased net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investing activities was $42.5 million for the first three quarters of fiscal 2023 compared to $26.9 million in the first three quarters of fiscal 2022. The increase in net cash used in investing activities was primarily due to increased capital expenditures. Capital expenditures in the first three quarters of fiscal 2023 primarily included $28.8 million for U.S and international retail store openings and remodels, $8.0 million for information technology, and $5.0 million for our distribution facilities.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plan to invest approximately $65.0 million in capital expenditures in fiscal 2023, which primarily relates to U.S. and international retail store openings and remodels, investments in our distribution facilities, and strategic information technology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cash used in financing activities was $206.6 million in the first three quarters of fiscal 2023 compared to $616.4 million in the first three quarters of fiscal 2022. This change in cash flow from financing activities was primarily due to the early extinguishment of our $500 million in aggregate principal amount of 5.500% senior notes due May 2025 in the second quarter of fiscal 2022 and decreased common stock share repurchases, partially offset by payments on our secured revolving credit facility.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September 30, 2023, we had $70.0 million outstanding borrowings under our secured revolving credit facility, exclusive of $4.4 million of outstanding letters of credit. As of September 30, 2023, there was approximately $775.6 million available for future borrowing. In October 2023 and subsequent to the third quarter of fiscal 2023, we paid $70.0 million on our secured revolving credit facility. As of October 27, 2023, the Company had no outstanding borrowings under our secured revolving credit facility. Any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1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2023, the interest rate margins applicable to the secured revolving credit facility were 1.125% for adjusted term SOFR rate loans and 0.125% for base rate loans. As of September 30, 2023, the applicable borrowing rate for the secured revolving credit facility was approximately 6.55%, consisting of an adjusted term SOFR rate plus the applicable margin. As of September 30, 2023, the Company was in compliance with the financial and other covenants under the secured revolving credit facility.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September 30, 2023, the Company had outstanding $500.0 million principal amount of senior notes, bearing interest at a rate of 5.625% per annum, and scheduled to mature on March 15, 2027. On our condensed consolidated balance sheets, the $500.0 million of outstanding senior notes as of September 30, 2023 is reported net of $2.8 million of unamortized issuance-related debt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the first three quarters of fiscal 2023, we repurchased and retired 975,358 shares in open market transactions for approximately $67.5 million, at an average price of $69.20 per share. In the first three quarters of fiscal 2022, we repurchased and retired 2,942,481 shares in open market transactions for approximately $241.8 million, at an average price of $82.16 per share.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total remaining capacity under outstanding repurchase authorizations as of September 30, 2023 was approximately $682.0 million, based on settled repurchase transactions. The share repurchase authorizations have no expiration dates.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each of the first three quarters of fiscal 2023, the Board of Directors declared, and the Company paid, a cash dividend per common share of $0.75 (for an aggregate cash dividend per common share of $2.25 for the first three quarters of fiscal 2023). Additionally, in each of the first three quarters of fiscal 2022, the Board of Directors declared, and the Company paid, a cash dividend per common share of $0.75 (for an aggregate cash dividend per common share of $2.25 for the first three quarters of fiscal 2022).</w:t>
      </w:r>
    </w:p>
    <w:p>
      <w:pPr>
        <w:spacing w:after="0" w:line="16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Provisions in our secured revolving credit facility could have the effect of restricting our ability to pay cash dividends on, or make future repurchases of, our common stock, as further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2022 fiscal year ended December 31, 2022.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64" w:lineRule="exact"/>
        <w:rPr>
          <w:sz w:val="20"/>
          <w:szCs w:val="20"/>
          <w:color w:val="auto"/>
        </w:rPr>
      </w:pPr>
    </w:p>
    <w:p>
      <w:pPr>
        <w:ind w:right="4080"/>
        <w:spacing w:after="0" w:line="354"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right="380"/>
        <w:spacing w:after="0" w:line="277" w:lineRule="auto"/>
        <w:rPr>
          <w:sz w:val="20"/>
          <w:szCs w:val="20"/>
          <w:color w:val="auto"/>
        </w:rPr>
      </w:pPr>
      <w:r>
        <w:rPr>
          <w:rFonts w:ascii="Arial" w:cs="Arial" w:eastAsia="Arial" w:hAnsi="Arial"/>
          <w:sz w:val="18"/>
          <w:szCs w:val="18"/>
          <w:color w:val="auto"/>
        </w:rPr>
        <w:t>U.S. dollar and the local currencies of these contractors. Due to the number of currencies involved, we cannot quantify the potential impact that future currency fluctuations may have on our results of operations in future periods.</w:t>
      </w:r>
    </w:p>
    <w:p>
      <w:pPr>
        <w:spacing w:after="0" w:line="143"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Changes in foreign currency exchange rates used for translation in the third quarter of fiscal 2023, as compared to the third quarter of fiscal 2022, had a favorable effect on our consolidated net sales of approximately $1.2 million. Changes in foreign currency exchange rates used for translation in the first three quarters of fiscal 2023, as compared to the first three quarters of fiscal 2022, had an unfavorable effect on our consolidated net sales of approximately $2.2 million.</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secured revolving credit facility, which carries variable interest rates. As of September 30, 2023, there were $70.0 million variable rate borrowings outstanding under the secured revolving credit facility. As a result, the impact of a hypothetical 100 bps increase in the effective interest rate would result in additional interest expense of $0.7 million over a 12-month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September 30,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September 30, 2023 that have materially affected, or which are reasonably likely to materially affect, Internal Control.</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2022 fiscal year ended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third quarter of fiscal 2023:</w:t>
      </w:r>
    </w:p>
    <w:p>
      <w:pPr>
        <w:spacing w:after="0" w:line="145"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auto"/>
        </w:rPr>
        <w:t>Approximate dollar</w:t>
      </w:r>
    </w:p>
    <w:p>
      <w:pPr>
        <w:spacing w:after="0" w:line="23" w:lineRule="exact"/>
        <w:rPr>
          <w:sz w:val="20"/>
          <w:szCs w:val="20"/>
          <w:color w:val="auto"/>
        </w:rPr>
      </w:pPr>
    </w:p>
    <w:p>
      <w:pPr>
        <w:jc w:val="right"/>
        <w:ind w:right="160"/>
        <w:spacing w:after="0"/>
        <w:tabs>
          <w:tab w:leader="none" w:pos="1440" w:val="left"/>
        </w:tabs>
        <w:rPr>
          <w:sz w:val="20"/>
          <w:szCs w:val="20"/>
          <w:color w:val="auto"/>
        </w:rPr>
      </w:pPr>
      <w:r>
        <w:rPr>
          <w:rFonts w:ascii="Arial" w:cs="Arial" w:eastAsia="Arial" w:hAnsi="Arial"/>
          <w:sz w:val="16"/>
          <w:szCs w:val="16"/>
          <w:b w:val="1"/>
          <w:bCs w:val="1"/>
          <w:color w:val="auto"/>
        </w:rPr>
        <w:t>Total number of shares</w:t>
      </w:r>
      <w:r>
        <w:rPr>
          <w:sz w:val="20"/>
          <w:szCs w:val="20"/>
          <w:color w:val="auto"/>
        </w:rPr>
        <w:tab/>
      </w:r>
      <w:r>
        <w:rPr>
          <w:rFonts w:ascii="Arial" w:cs="Arial" w:eastAsia="Arial" w:hAnsi="Arial"/>
          <w:sz w:val="14"/>
          <w:szCs w:val="14"/>
          <w:b w:val="1"/>
          <w:bCs w:val="1"/>
          <w:color w:val="auto"/>
        </w:rPr>
        <w:t>value of shares that</w:t>
      </w:r>
    </w:p>
    <w:p>
      <w:pPr>
        <w:sectPr>
          <w:pgSz w:w="11900" w:h="16838" w:orient="portrait"/>
          <w:cols w:equalWidth="0" w:num="1">
            <w:col w:w="11240"/>
          </w:cols>
          <w:pgMar w:left="320" w:top="1269" w:right="339" w:bottom="1440" w:gutter="0" w:footer="0" w:header="0"/>
        </w:sect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Period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 2023 through July 29, 2023</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30, 2023 through August 26, 2023</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August 27, 2023 through September 30, 2023</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1"/>
              </w:rPr>
              <w:t>may yet be purchased</w:t>
            </w:r>
          </w:p>
        </w:tc>
      </w:tr>
      <w:tr>
        <w:trPr>
          <w:trHeight w:val="176"/>
        </w:trPr>
        <w:tc>
          <w:tcPr>
            <w:tcW w:w="1640" w:type="dxa"/>
            <w:vAlign w:val="bottom"/>
          </w:tcPr>
          <w:p>
            <w:pPr>
              <w:ind w:left="20"/>
              <w:spacing w:after="0" w:line="176" w:lineRule="exact"/>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5"/>
                <w:szCs w:val="15"/>
                <w:color w:val="auto"/>
              </w:rPr>
            </w:pPr>
          </w:p>
        </w:tc>
        <w:tc>
          <w:tcPr>
            <w:tcW w:w="17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w w:val="98"/>
              </w:rPr>
              <w:t>Average price paid per</w:t>
            </w: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publicly announced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99"/>
              <w:spacing w:after="0" w:line="176" w:lineRule="exact"/>
              <w:rPr>
                <w:sz w:val="20"/>
                <w:szCs w:val="20"/>
                <w:color w:val="auto"/>
              </w:rPr>
            </w:pPr>
            <w:r>
              <w:rPr>
                <w:rFonts w:ascii="Arial" w:cs="Arial" w:eastAsia="Arial" w:hAnsi="Arial"/>
                <w:sz w:val="16"/>
                <w:szCs w:val="16"/>
                <w:b w:val="1"/>
                <w:bCs w:val="1"/>
                <w:color w:val="auto"/>
                <w:w w:val="93"/>
              </w:rPr>
              <w:t>under the plans or</w:t>
            </w:r>
          </w:p>
        </w:tc>
      </w:tr>
      <w:tr>
        <w:trPr>
          <w:trHeight w:val="257"/>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share</w:t>
            </w:r>
            <w:r>
              <w:rPr>
                <w:rFonts w:ascii="Arial" w:cs="Arial" w:eastAsia="Arial" w:hAnsi="Arial"/>
                <w:sz w:val="21"/>
                <w:szCs w:val="21"/>
                <w:b w:val="1"/>
                <w:bCs w:val="1"/>
                <w:color w:val="auto"/>
                <w:vertAlign w:val="superscript"/>
              </w:rPr>
              <w:t>(2)</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programs</w:t>
            </w:r>
            <w:r>
              <w:rPr>
                <w:rFonts w:ascii="Arial" w:cs="Arial" w:eastAsia="Arial" w:hAnsi="Arial"/>
                <w:sz w:val="21"/>
                <w:szCs w:val="21"/>
                <w:b w:val="1"/>
                <w:bCs w:val="1"/>
                <w:color w:val="auto"/>
                <w:vertAlign w:val="superscript"/>
              </w:rPr>
              <w:t>(4)</w:t>
            </w:r>
          </w:p>
        </w:tc>
      </w:tr>
      <w:tr>
        <w:trPr>
          <w:trHeight w:val="203"/>
        </w:trPr>
        <w:tc>
          <w:tcPr>
            <w:tcW w:w="1640" w:type="dxa"/>
            <w:vAlign w:val="bottom"/>
          </w:tcPr>
          <w:p>
            <w:pPr>
              <w:jc w:val="right"/>
              <w:spacing w:after="0"/>
              <w:rPr>
                <w:sz w:val="20"/>
                <w:szCs w:val="20"/>
                <w:color w:val="auto"/>
              </w:rPr>
            </w:pPr>
            <w:r>
              <w:rPr>
                <w:rFonts w:ascii="Arial" w:cs="Arial" w:eastAsia="Arial" w:hAnsi="Arial"/>
                <w:sz w:val="16"/>
                <w:szCs w:val="16"/>
                <w:color w:val="auto"/>
              </w:rPr>
              <w:t>129,485</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73.36</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129,485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700,105,395</w:t>
            </w:r>
          </w:p>
        </w:tc>
      </w:tr>
      <w:tr>
        <w:trPr>
          <w:trHeight w:val="378"/>
        </w:trPr>
        <w:tc>
          <w:tcPr>
            <w:tcW w:w="1640" w:type="dxa"/>
            <w:vAlign w:val="bottom"/>
          </w:tcPr>
          <w:p>
            <w:pPr>
              <w:jc w:val="right"/>
              <w:spacing w:after="0"/>
              <w:rPr>
                <w:sz w:val="20"/>
                <w:szCs w:val="20"/>
                <w:color w:val="auto"/>
              </w:rPr>
            </w:pPr>
            <w:r>
              <w:rPr>
                <w:rFonts w:ascii="Arial" w:cs="Arial" w:eastAsia="Arial" w:hAnsi="Arial"/>
                <w:sz w:val="16"/>
                <w:szCs w:val="16"/>
                <w:color w:val="auto"/>
              </w:rPr>
              <w:t>60,163</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72.51</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57,804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695,913,828</w:t>
            </w:r>
          </w:p>
        </w:tc>
      </w:tr>
      <w:tr>
        <w:trPr>
          <w:trHeight w:val="378"/>
        </w:trPr>
        <w:tc>
          <w:tcPr>
            <w:tcW w:w="1640" w:type="dxa"/>
            <w:vAlign w:val="bottom"/>
          </w:tcPr>
          <w:p>
            <w:pPr>
              <w:jc w:val="right"/>
              <w:spacing w:after="0"/>
              <w:rPr>
                <w:sz w:val="20"/>
                <w:szCs w:val="20"/>
                <w:color w:val="auto"/>
              </w:rPr>
            </w:pPr>
            <w:r>
              <w:rPr>
                <w:rFonts w:ascii="Arial" w:cs="Arial" w:eastAsia="Arial" w:hAnsi="Arial"/>
                <w:sz w:val="16"/>
                <w:szCs w:val="16"/>
                <w:color w:val="auto"/>
              </w:rPr>
              <w:t>202,715</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68.47</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202,715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682,034,279</w:t>
            </w: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7"/>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392,363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-659130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640" w:space="720"/>
            <w:col w:w="6880"/>
          </w:cols>
          <w:pgMar w:left="320" w:top="1269" w:right="339" w:bottom="1440" w:gutter="0" w:footer="0" w:header="0"/>
          <w:type w:val="continuous"/>
        </w:sectPr>
      </w:pPr>
    </w:p>
    <w:p>
      <w:pPr>
        <w:ind w:left="340" w:right="280" w:hanging="332"/>
        <w:spacing w:after="0" w:line="273"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2,359 shares surrendered between July 30, 2023 and August 26, 2023.</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average price paid per share excludes excise tax on share repurchases imposed as part of the Inflation Reduction Act of 2022.</w:t>
      </w:r>
    </w:p>
    <w:p>
      <w:pPr>
        <w:spacing w:after="0" w:line="68" w:lineRule="exact"/>
        <w:rPr>
          <w:rFonts w:ascii="Arial" w:cs="Arial" w:eastAsia="Arial" w:hAnsi="Arial"/>
          <w:sz w:val="14"/>
          <w:szCs w:val="14"/>
          <w:color w:val="auto"/>
        </w:rPr>
      </w:pPr>
    </w:p>
    <w:p>
      <w:pPr>
        <w:jc w:val="both"/>
        <w:ind w:left="340" w:right="520" w:hanging="332"/>
        <w:spacing w:after="0" w:line="352" w:lineRule="auto"/>
        <w:tabs>
          <w:tab w:leader="none" w:pos="332" w:val="left"/>
        </w:tabs>
        <w:numPr>
          <w:ilvl w:val="0"/>
          <w:numId w:val="18"/>
        </w:numPr>
        <w:rPr>
          <w:rFonts w:ascii="Arial" w:cs="Arial" w:eastAsia="Arial" w:hAnsi="Arial"/>
          <w:sz w:val="12"/>
          <w:szCs w:val="12"/>
          <w:color w:val="auto"/>
        </w:rPr>
      </w:pPr>
      <w:r>
        <w:rPr>
          <w:rFonts w:ascii="Arial" w:cs="Arial" w:eastAsia="Arial" w:hAnsi="Arial"/>
          <w:sz w:val="12"/>
          <w:szCs w:val="12"/>
          <w:color w:val="auto"/>
        </w:rPr>
        <w:t>Share purchases during the third quarter of fiscal 2023 were made in compliance with all applicable rules and regulations and in accordance with the share repurchase authorizations described in Note 5, Common Stock, to our accompanying unaudited condensed consolidated financial statements included in Part I. Item 1 of this Quarterly Report on Form 10-Q.</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 The share repurchase authorizations have no expiration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provides information about trading plans adopted or terminated for the purchase or sale of the Company’s securities during the third quarter of fiscal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Trading Plans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8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Name and Title</w:t>
            </w:r>
          </w:p>
        </w:tc>
        <w:tc>
          <w:tcPr>
            <w:tcW w:w="100" w:type="dxa"/>
            <w:vAlign w:val="bottom"/>
            <w:vMerge w:val="restart"/>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Action</w:t>
            </w:r>
          </w:p>
        </w:tc>
        <w:tc>
          <w:tcPr>
            <w:tcW w:w="100" w:type="dxa"/>
            <w:vAlign w:val="bottom"/>
            <w:vMerge w:val="restart"/>
          </w:tcPr>
          <w:p>
            <w:pPr>
              <w:spacing w:after="0"/>
              <w:rPr>
                <w:sz w:val="12"/>
                <w:szCs w:val="12"/>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1"/>
              </w:rPr>
              <w:t>Adoption</w:t>
            </w: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 xml:space="preserve">Rule 10b5-1 </w:t>
            </w:r>
            <w:r>
              <w:rPr>
                <w:rFonts w:ascii="Arial" w:cs="Arial" w:eastAsia="Arial" w:hAnsi="Arial"/>
                <w:sz w:val="21"/>
                <w:szCs w:val="21"/>
                <w:b w:val="1"/>
                <w:bCs w:val="1"/>
                <w:color w:val="auto"/>
                <w:w w:val="87"/>
                <w:vertAlign w:val="superscript"/>
              </w:rPr>
              <w:t>(1)</w:t>
            </w:r>
          </w:p>
        </w:tc>
        <w:tc>
          <w:tcPr>
            <w:tcW w:w="80" w:type="dxa"/>
            <w:vAlign w:val="bottom"/>
            <w:vMerge w:val="restart"/>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Non-Rule 10b5-1 </w:t>
            </w:r>
            <w:r>
              <w:rPr>
                <w:rFonts w:ascii="Arial" w:cs="Arial" w:eastAsia="Arial" w:hAnsi="Arial"/>
                <w:sz w:val="21"/>
                <w:szCs w:val="21"/>
                <w:b w:val="1"/>
                <w:bCs w:val="1"/>
                <w:color w:val="auto"/>
                <w:w w:val="90"/>
                <w:vertAlign w:val="superscript"/>
              </w:rPr>
              <w:t>(2)</w:t>
            </w:r>
          </w:p>
        </w:tc>
        <w:tc>
          <w:tcPr>
            <w:tcW w:w="100" w:type="dxa"/>
            <w:vAlign w:val="bottom"/>
            <w:vMerge w:val="restart"/>
          </w:tcPr>
          <w:p>
            <w:pPr>
              <w:spacing w:after="0"/>
              <w:rPr>
                <w:sz w:val="12"/>
                <w:szCs w:val="12"/>
                <w:color w:val="auto"/>
              </w:rPr>
            </w:pPr>
          </w:p>
        </w:tc>
        <w:tc>
          <w:tcPr>
            <w:tcW w:w="166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1"/>
              </w:rPr>
              <w:t>Number of Securities</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Expiration Date</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 be Sold</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D. Casey, Chairman &amp; Chief</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Adoption</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8/2/2023</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x</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line="237" w:lineRule="exact"/>
              <w:rPr>
                <w:sz w:val="20"/>
                <w:szCs w:val="20"/>
                <w:color w:val="auto"/>
              </w:rPr>
            </w:pPr>
            <w:r>
              <w:rPr>
                <w:rFonts w:ascii="Arial" w:cs="Arial" w:eastAsia="Arial" w:hAnsi="Arial"/>
                <w:sz w:val="16"/>
                <w:szCs w:val="16"/>
                <w:color w:val="auto"/>
                <w:w w:val="85"/>
              </w:rPr>
              <w:t xml:space="preserve">89,139 </w:t>
            </w:r>
            <w:r>
              <w:rPr>
                <w:rFonts w:ascii="Arial" w:cs="Arial" w:eastAsia="Arial" w:hAnsi="Arial"/>
                <w:sz w:val="21"/>
                <w:szCs w:val="21"/>
                <w:color w:val="auto"/>
                <w:w w:val="85"/>
                <w:vertAlign w:val="superscript"/>
              </w:rPr>
              <w:t>(3)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11/6/2024</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5"/>
                <w:szCs w:val="15"/>
                <w:color w:val="auto"/>
              </w:rPr>
              <w:t>Executive Officer</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7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Richard F. Westenberger, Executive</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Adoption</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8/4/2023</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x</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84"/>
              </w:rPr>
              <w:t xml:space="preserve">3,800 </w:t>
            </w:r>
            <w:r>
              <w:rPr>
                <w:rFonts w:ascii="Arial" w:cs="Arial" w:eastAsia="Arial" w:hAnsi="Arial"/>
                <w:sz w:val="21"/>
                <w:szCs w:val="21"/>
                <w:color w:val="auto"/>
                <w:w w:val="84"/>
                <w:vertAlign w:val="superscript"/>
              </w:rPr>
              <w:t>(4)</w:t>
            </w:r>
          </w:p>
        </w:tc>
        <w:tc>
          <w:tcPr>
            <w:tcW w:w="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2"/>
              </w:rPr>
              <w:t>2/16/2024</w:t>
            </w: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Vice President &amp; Chief Financial</w:t>
            </w:r>
          </w:p>
        </w:tc>
        <w:tc>
          <w:tcPr>
            <w:tcW w:w="10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Officer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Brian J. Lynch, President &amp; Chief</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Adoption</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8/4/2023</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x</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 xml:space="preserve">19,500 </w:t>
            </w:r>
            <w:r>
              <w:rPr>
                <w:rFonts w:ascii="Arial" w:cs="Arial" w:eastAsia="Arial" w:hAnsi="Arial"/>
                <w:sz w:val="21"/>
                <w:szCs w:val="21"/>
                <w:color w:val="auto"/>
                <w:w w:val="85"/>
                <w:vertAlign w:val="superscript"/>
              </w:rPr>
              <w:t>(5)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11/1/2024</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5"/>
                <w:szCs w:val="15"/>
                <w:color w:val="auto"/>
              </w:rPr>
              <w:t>Operating Officer</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Intended to satisfy the affirmative defense conditions of Rule 10b5-1(c) under the Exchange Act.</w:t>
      </w:r>
    </w:p>
    <w:p>
      <w:pPr>
        <w:spacing w:after="0" w:line="95" w:lineRule="exact"/>
        <w:rPr>
          <w:rFonts w:ascii="Arial" w:cs="Arial" w:eastAsia="Arial" w:hAnsi="Arial"/>
          <w:sz w:val="14"/>
          <w:szCs w:val="14"/>
          <w:color w:val="auto"/>
        </w:rPr>
      </w:pPr>
    </w:p>
    <w:p>
      <w:pPr>
        <w:ind w:left="260" w:right="220" w:hanging="252"/>
        <w:spacing w:after="0" w:line="273" w:lineRule="auto"/>
        <w:tabs>
          <w:tab w:leader="none" w:pos="2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“Non-Rule 10b5-1 Trading Arrangement” as defined under Item 408(c) of Regulation S-K under the Exchange Act and not intended to satisfy the affirmative defense conditions of Rule 10b5-1(c) under the Exchange Act.</w:t>
      </w:r>
    </w:p>
    <w:p>
      <w:pPr>
        <w:spacing w:after="0" w:line="52" w:lineRule="exact"/>
        <w:rPr>
          <w:rFonts w:ascii="Arial" w:cs="Arial" w:eastAsia="Arial" w:hAnsi="Arial"/>
          <w:sz w:val="14"/>
          <w:szCs w:val="14"/>
          <w:color w:val="auto"/>
        </w:rPr>
      </w:pPr>
    </w:p>
    <w:p>
      <w:pPr>
        <w:ind w:left="260" w:right="100" w:hanging="252"/>
        <w:spacing w:after="0" w:line="293" w:lineRule="auto"/>
        <w:tabs>
          <w:tab w:leader="none" w:pos="2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Relates to (i) the potential exercises of up to 30,000 vested stock options and the potential sales of shares of the Company’s common stock received upon such exercises and (ii) the potential sales of up to 59,139 shares of the Company’s common stock.</w:t>
      </w:r>
    </w:p>
    <w:p>
      <w:pPr>
        <w:spacing w:after="0" w:line="38" w:lineRule="exact"/>
        <w:rPr>
          <w:rFonts w:ascii="Arial" w:cs="Arial" w:eastAsia="Arial" w:hAnsi="Arial"/>
          <w:sz w:val="14"/>
          <w:szCs w:val="14"/>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Relates to the potential exercises of vested stock options and the potential sales of shares of the Company’s common stock received upon such exercises.</w:t>
      </w:r>
    </w:p>
    <w:p>
      <w:pPr>
        <w:spacing w:after="0" w:line="109" w:lineRule="exact"/>
        <w:rPr>
          <w:rFonts w:ascii="Arial" w:cs="Arial" w:eastAsia="Arial" w:hAnsi="Arial"/>
          <w:sz w:val="14"/>
          <w:szCs w:val="14"/>
          <w:color w:val="auto"/>
        </w:rPr>
      </w:pPr>
    </w:p>
    <w:p>
      <w:pPr>
        <w:ind w:left="260" w:right="180" w:hanging="252"/>
        <w:spacing w:after="0" w:line="273" w:lineRule="auto"/>
        <w:tabs>
          <w:tab w:leader="none" w:pos="2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Relates to (i) the potential exercises of up to 7,500 vested stock options and the potential sales of shares of the Company’s common stock received upon such exercises and (ii) the potential sales of up to 12,000 shares of the Company’s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78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vMerge w:val="restart"/>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7"/>
              </w:rPr>
              <w:t>Exhibit</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Filing Date</w:t>
            </w:r>
          </w:p>
        </w:tc>
        <w:tc>
          <w:tcPr>
            <w:tcW w:w="100" w:type="dxa"/>
            <w:vAlign w:val="bottom"/>
            <w:vMerge w:val="restart"/>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Filed Herewith</w:t>
            </w:r>
          </w:p>
        </w:tc>
        <w:tc>
          <w:tcPr>
            <w:tcW w:w="0" w:type="dxa"/>
            <w:vAlign w:val="bottom"/>
          </w:tcPr>
          <w:p>
            <w:pPr>
              <w:spacing w:after="0"/>
              <w:rPr>
                <w:sz w:val="1"/>
                <w:szCs w:val="1"/>
                <w:color w:val="auto"/>
              </w:rPr>
            </w:pPr>
          </w:p>
        </w:tc>
      </w:tr>
      <w:tr>
        <w:trPr>
          <w:trHeight w:val="213"/>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0000FF"/>
            </w:tcBorders>
            <w:gridSpan w:val="4"/>
            <w:shd w:val="clear" w:color="auto" w:fill="CCEEFF"/>
          </w:tcPr>
          <w:p>
            <w:pPr>
              <w:spacing w:after="0" w:line="172" w:lineRule="exact"/>
              <w:rPr>
                <w:rFonts w:ascii="Arial" w:cs="Arial" w:eastAsia="Arial" w:hAnsi="Arial"/>
                <w:sz w:val="16"/>
                <w:szCs w:val="16"/>
                <w:color w:val="0000FF"/>
                <w:w w:val="92"/>
              </w:rPr>
            </w:pPr>
            <w:hyperlink r:id="rId46">
              <w:r>
                <w:rPr>
                  <w:rFonts w:ascii="Arial" w:cs="Arial" w:eastAsia="Arial" w:hAnsi="Arial"/>
                  <w:sz w:val="16"/>
                  <w:szCs w:val="16"/>
                  <w:color w:val="0000FF"/>
                  <w:w w:val="92"/>
                </w:rPr>
                <w:t>Amended and Restated Certificate of Incorporation of Carter’s, Inc.</w:t>
              </w:r>
            </w:hyperlink>
          </w:p>
        </w:tc>
        <w:tc>
          <w:tcPr>
            <w:tcW w:w="1240" w:type="dxa"/>
            <w:vAlign w:val="bottom"/>
            <w:tcBorders>
              <w:bottom w:val="single" w:sz="8" w:color="CCEEFF"/>
            </w:tcBorders>
            <w:gridSpan w:val="2"/>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8-K</w:t>
            </w:r>
          </w:p>
        </w:tc>
        <w:tc>
          <w:tcPr>
            <w:tcW w:w="960" w:type="dxa"/>
            <w:vAlign w:val="bottom"/>
            <w:tcBorders>
              <w:bottom w:val="single" w:sz="8" w:color="CCEEFF"/>
            </w:tcBorders>
            <w:gridSpan w:val="2"/>
            <w:shd w:val="clear" w:color="auto" w:fill="CCEEFF"/>
          </w:tcPr>
          <w:p>
            <w:pPr>
              <w:jc w:val="center"/>
              <w:ind w:left="39"/>
              <w:spacing w:after="0" w:line="172" w:lineRule="exact"/>
              <w:rPr>
                <w:sz w:val="20"/>
                <w:szCs w:val="20"/>
                <w:color w:val="auto"/>
              </w:rPr>
            </w:pPr>
            <w:r>
              <w:rPr>
                <w:rFonts w:ascii="Arial" w:cs="Arial" w:eastAsia="Arial" w:hAnsi="Arial"/>
                <w:sz w:val="16"/>
                <w:szCs w:val="16"/>
                <w:color w:val="auto"/>
                <w:w w:val="89"/>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center"/>
              <w:ind w:right="100"/>
              <w:spacing w:after="0" w:line="172" w:lineRule="exact"/>
              <w:rPr>
                <w:sz w:val="20"/>
                <w:szCs w:val="20"/>
                <w:color w:val="auto"/>
              </w:rPr>
            </w:pPr>
            <w:r>
              <w:rPr>
                <w:rFonts w:ascii="Arial" w:cs="Arial" w:eastAsia="Arial" w:hAnsi="Arial"/>
                <w:sz w:val="16"/>
                <w:szCs w:val="16"/>
                <w:color w:val="auto"/>
                <w:w w:val="92"/>
              </w:rPr>
              <w:t>May 23, 2017</w:t>
            </w: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5"/>
                <w:szCs w:val="15"/>
                <w:color w:val="auto"/>
              </w:rPr>
            </w:pPr>
          </w:p>
        </w:tc>
        <w:tc>
          <w:tcPr>
            <w:tcW w:w="5660" w:type="dxa"/>
            <w:vAlign w:val="bottom"/>
            <w:gridSpan w:val="7"/>
          </w:tcPr>
          <w:p>
            <w:pPr>
              <w:ind w:left="20"/>
              <w:spacing w:after="0" w:line="175" w:lineRule="exact"/>
              <w:rPr>
                <w:rFonts w:ascii="Arial" w:cs="Arial" w:eastAsia="Arial" w:hAnsi="Arial"/>
                <w:sz w:val="16"/>
                <w:szCs w:val="16"/>
                <w:color w:val="0000FF"/>
              </w:rPr>
            </w:pPr>
            <w:hyperlink r:id="rId47">
              <w:r>
                <w:rPr>
                  <w:rFonts w:ascii="Arial" w:cs="Arial" w:eastAsia="Arial" w:hAnsi="Arial"/>
                  <w:sz w:val="16"/>
                  <w:szCs w:val="16"/>
                  <w:color w:val="0000FF"/>
                </w:rPr>
                <w:t>Amended and Restated By-Laws of Carter’s, Inc.</w:t>
              </w:r>
            </w:hyperlink>
          </w:p>
        </w:tc>
        <w:tc>
          <w:tcPr>
            <w:tcW w:w="6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960" w:type="dxa"/>
            <w:vAlign w:val="bottom"/>
            <w:gridSpan w:val="2"/>
          </w:tcPr>
          <w:p>
            <w:pPr>
              <w:jc w:val="center"/>
              <w:ind w:left="39"/>
              <w:spacing w:after="0" w:line="175" w:lineRule="exact"/>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5"/>
                <w:szCs w:val="15"/>
                <w:color w:val="auto"/>
              </w:rPr>
            </w:pPr>
          </w:p>
        </w:tc>
        <w:tc>
          <w:tcPr>
            <w:tcW w:w="1520" w:type="dxa"/>
            <w:vAlign w:val="bottom"/>
            <w:gridSpan w:val="2"/>
          </w:tcPr>
          <w:p>
            <w:pPr>
              <w:jc w:val="center"/>
              <w:ind w:right="120"/>
              <w:spacing w:after="0" w:line="175" w:lineRule="exact"/>
              <w:rPr>
                <w:sz w:val="20"/>
                <w:szCs w:val="20"/>
                <w:color w:val="auto"/>
              </w:rPr>
            </w:pPr>
            <w:r>
              <w:rPr>
                <w:rFonts w:ascii="Arial" w:cs="Arial" w:eastAsia="Arial" w:hAnsi="Arial"/>
                <w:sz w:val="16"/>
                <w:szCs w:val="16"/>
                <w:color w:val="auto"/>
                <w:w w:val="92"/>
              </w:rPr>
              <w:t>August 18, 2023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0000FF"/>
            </w:tcBorders>
            <w:gridSpan w:val="3"/>
            <w:shd w:val="clear" w:color="auto" w:fill="CCEEFF"/>
          </w:tcPr>
          <w:p>
            <w:pPr>
              <w:spacing w:after="0" w:line="175" w:lineRule="exact"/>
              <w:rPr>
                <w:sz w:val="20"/>
                <w:szCs w:val="20"/>
                <w:color w:val="auto"/>
              </w:rPr>
            </w:pPr>
            <w:r>
              <w:rPr>
                <w:rFonts w:ascii="Arial" w:cs="Arial" w:eastAsia="Arial" w:hAnsi="Arial"/>
                <w:sz w:val="16"/>
                <w:szCs w:val="16"/>
                <w:color w:val="0000FF"/>
                <w:w w:val="93"/>
              </w:rPr>
              <w:t>Rule 13a-15(e)/15d-15(e) and 13a-15(f)/15d-15(f) Certification.</w:t>
            </w:r>
          </w:p>
        </w:tc>
        <w:tc>
          <w:tcPr>
            <w:tcW w:w="148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75"/>
        </w:trPr>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31.2</w:t>
            </w:r>
          </w:p>
        </w:tc>
        <w:tc>
          <w:tcPr>
            <w:tcW w:w="100" w:type="dxa"/>
            <w:vAlign w:val="bottom"/>
          </w:tcPr>
          <w:p>
            <w:pPr>
              <w:spacing w:after="0"/>
              <w:rPr>
                <w:sz w:val="15"/>
                <w:szCs w:val="15"/>
                <w:color w:val="auto"/>
              </w:rPr>
            </w:pPr>
          </w:p>
        </w:tc>
        <w:tc>
          <w:tcPr>
            <w:tcW w:w="5660" w:type="dxa"/>
            <w:vAlign w:val="bottom"/>
            <w:gridSpan w:val="7"/>
          </w:tcPr>
          <w:p>
            <w:pPr>
              <w:ind w:left="20"/>
              <w:spacing w:after="0" w:line="175" w:lineRule="exact"/>
              <w:rPr>
                <w:sz w:val="20"/>
                <w:szCs w:val="20"/>
                <w:color w:val="auto"/>
              </w:rPr>
            </w:pPr>
            <w:r>
              <w:rPr>
                <w:rFonts w:ascii="Arial" w:cs="Arial" w:eastAsia="Arial" w:hAnsi="Arial"/>
                <w:sz w:val="16"/>
                <w:szCs w:val="16"/>
                <w:color w:val="0000FF"/>
              </w:rPr>
              <w:t>Rule 13a-15(e)/15d-15(e) and 13a-15(f)/15d-15(f) Certification.</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FF"/>
            </w:tcBorders>
            <w:shd w:val="clear" w:color="auto" w:fill="CCEEFF"/>
          </w:tcPr>
          <w:p>
            <w:pPr>
              <w:spacing w:after="0" w:line="175" w:lineRule="exact"/>
              <w:rPr>
                <w:sz w:val="20"/>
                <w:szCs w:val="20"/>
                <w:color w:val="auto"/>
              </w:rPr>
            </w:pPr>
            <w:r>
              <w:rPr>
                <w:rFonts w:ascii="Arial" w:cs="Arial" w:eastAsia="Arial" w:hAnsi="Arial"/>
                <w:sz w:val="16"/>
                <w:szCs w:val="16"/>
                <w:color w:val="0000FF"/>
                <w:w w:val="93"/>
              </w:rPr>
              <w:t>Section 1350 Certification.</w:t>
            </w:r>
          </w:p>
        </w:tc>
        <w:tc>
          <w:tcPr>
            <w:tcW w:w="388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6"/>
        </w:trPr>
        <w:tc>
          <w:tcPr>
            <w:tcW w:w="96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93"/>
              </w:rPr>
              <w:t>101.INS</w:t>
            </w:r>
          </w:p>
        </w:tc>
        <w:tc>
          <w:tcPr>
            <w:tcW w:w="5660" w:type="dxa"/>
            <w:vAlign w:val="bottom"/>
            <w:gridSpan w:val="7"/>
          </w:tcPr>
          <w:p>
            <w:pPr>
              <w:ind w:left="20"/>
              <w:spacing w:after="0" w:line="166" w:lineRule="exact"/>
              <w:rPr>
                <w:sz w:val="20"/>
                <w:szCs w:val="20"/>
                <w:color w:val="auto"/>
              </w:rPr>
            </w:pPr>
            <w:r>
              <w:rPr>
                <w:rFonts w:ascii="Arial" w:cs="Arial" w:eastAsia="Arial" w:hAnsi="Arial"/>
                <w:sz w:val="16"/>
                <w:szCs w:val="16"/>
                <w:color w:val="auto"/>
                <w:w w:val="95"/>
              </w:rPr>
              <w:t>XBRL Instance Document - the instant document does not appear in the Interactive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6"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7"/>
          </w:tcPr>
          <w:p>
            <w:pPr>
              <w:ind w:left="20"/>
              <w:spacing w:after="0"/>
              <w:rPr>
                <w:sz w:val="20"/>
                <w:szCs w:val="20"/>
                <w:color w:val="auto"/>
              </w:rPr>
            </w:pPr>
            <w:r>
              <w:rPr>
                <w:rFonts w:ascii="Arial" w:cs="Arial" w:eastAsia="Arial" w:hAnsi="Arial"/>
                <w:sz w:val="16"/>
                <w:szCs w:val="16"/>
                <w:color w:val="auto"/>
                <w:w w:val="97"/>
              </w:rPr>
              <w:t>Data File because its XBRL tags are embedded within the Inline XBRL document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101.SCH</w:t>
            </w:r>
          </w:p>
        </w:tc>
        <w:tc>
          <w:tcPr>
            <w:tcW w:w="56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3"/>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101.CAL</w:t>
            </w:r>
          </w:p>
        </w:tc>
        <w:tc>
          <w:tcPr>
            <w:tcW w:w="5660" w:type="dxa"/>
            <w:vAlign w:val="bottom"/>
            <w:gridSpan w:val="7"/>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101.DEF</w:t>
            </w:r>
          </w:p>
        </w:tc>
        <w:tc>
          <w:tcPr>
            <w:tcW w:w="56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3"/>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rPr>
              <w:t>101.LAB</w:t>
            </w:r>
          </w:p>
        </w:tc>
        <w:tc>
          <w:tcPr>
            <w:tcW w:w="5660" w:type="dxa"/>
            <w:vAlign w:val="bottom"/>
            <w:gridSpan w:val="7"/>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101.PRE</w:t>
            </w:r>
          </w:p>
        </w:tc>
        <w:tc>
          <w:tcPr>
            <w:tcW w:w="56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0"/>
        </w:trPr>
        <w:tc>
          <w:tcPr>
            <w:tcW w:w="8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18"/>
                <w:szCs w:val="18"/>
                <w:color w:val="auto"/>
              </w:rPr>
            </w:pPr>
          </w:p>
        </w:tc>
        <w:tc>
          <w:tcPr>
            <w:tcW w:w="5660" w:type="dxa"/>
            <w:vAlign w:val="bottom"/>
            <w:gridSpan w:val="7"/>
          </w:tcPr>
          <w:p>
            <w:pPr>
              <w:ind w:left="20"/>
              <w:spacing w:after="0"/>
              <w:rPr>
                <w:sz w:val="20"/>
                <w:szCs w:val="20"/>
                <w:color w:val="auto"/>
              </w:rPr>
            </w:pPr>
            <w:r>
              <w:rPr>
                <w:rFonts w:ascii="Arial" w:cs="Arial" w:eastAsia="Arial" w:hAnsi="Arial"/>
                <w:sz w:val="16"/>
                <w:szCs w:val="16"/>
                <w:color w:val="auto"/>
                <w:w w:val="97"/>
              </w:rPr>
              <w:t>The cover page from this Current Report on Form 10-Q formatted as Inline XBRL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3" w:name="page34"/>
    <w:bookmarkEnd w:id="33"/>
    <w:p>
      <w:pPr>
        <w:spacing w:after="0" w:line="25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6160" w:val="left"/>
        </w:tabs>
        <w:rPr>
          <w:sz w:val="20"/>
          <w:szCs w:val="20"/>
          <w:color w:val="auto"/>
        </w:rPr>
      </w:pPr>
      <w:r>
        <w:rPr>
          <w:rFonts w:ascii="Arial" w:cs="Arial" w:eastAsia="Arial" w:hAnsi="Arial"/>
          <w:sz w:val="16"/>
          <w:szCs w:val="16"/>
          <w:color w:val="auto"/>
        </w:rPr>
        <w:t>October 27, 2023</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597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Michael D. Casey</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Executive Officer</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0"/>
        <w:spacing w:after="0"/>
        <w:tabs>
          <w:tab w:leader="none" w:pos="5800" w:val="left"/>
        </w:tabs>
        <w:rPr>
          <w:sz w:val="20"/>
          <w:szCs w:val="20"/>
          <w:color w:val="auto"/>
        </w:rPr>
      </w:pPr>
      <w:r>
        <w:rPr>
          <w:rFonts w:ascii="Arial" w:cs="Arial" w:eastAsia="Arial" w:hAnsi="Arial"/>
          <w:sz w:val="16"/>
          <w:szCs w:val="16"/>
          <w:color w:val="auto"/>
        </w:rPr>
        <w:t>October 27, 2023</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5971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Richard F. Westenberger</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Executive Vice President and</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Financial Officer</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80"/>
          </w:cols>
          <w:pgMar w:left="320" w:top="1440" w:right="1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October 27, 2023</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October 27, 2023</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140" w:firstLine="180"/>
        <w:spacing w:after="0" w:line="263"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September 30, 2023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94"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October 27, 2023</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October 27, 2023</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firstLine="18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6" Type="http://schemas.openxmlformats.org/officeDocument/2006/relationships/hyperlink" Target="http://www.sec.gov/Archives/edgar/data/1060822/000119312517179483/d400342dex31.htm" TargetMode="External"/><Relationship Id="rId47" Type="http://schemas.openxmlformats.org/officeDocument/2006/relationships/hyperlink" Target="http://www.sec.gov/Archives/edgar/data/1060822/000106082223000140/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2023-10-27T10:45:42Z</dcterms:created>
  <dcterms:modified xsi:type="dcterms:W3CDTF">2023-10-27T10:45:42Z</dcterms:modified>
</cp:coreProperties>
</file>