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1680" w:hanging="351"/>
        <w:spacing w:after="0"/>
        <w:tabs>
          <w:tab w:leader="none" w:pos="1680" w:val="left"/>
        </w:tabs>
        <w:numPr>
          <w:ilvl w:val="1"/>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85" w:lineRule="exact"/>
        <w:rPr>
          <w:rFonts w:ascii="MS PGothic" w:cs="MS PGothic" w:eastAsia="MS PGothic" w:hAnsi="MS PGothic"/>
          <w:sz w:val="20"/>
          <w:szCs w:val="20"/>
          <w:color w:val="auto"/>
        </w:rPr>
      </w:pPr>
    </w:p>
    <w:p>
      <w:pPr>
        <w:ind w:left="4200"/>
        <w:spacing w:after="0"/>
        <w:rPr>
          <w:rFonts w:ascii="MS PGothic" w:cs="MS PGothic" w:eastAsia="MS PGothic" w:hAnsi="MS PGothic"/>
          <w:sz w:val="20"/>
          <w:szCs w:val="20"/>
          <w:color w:val="auto"/>
        </w:rPr>
      </w:pPr>
      <w:r>
        <w:rPr>
          <w:rFonts w:ascii="Arial" w:cs="Arial" w:eastAsia="Arial" w:hAnsi="Arial"/>
          <w:sz w:val="16"/>
          <w:szCs w:val="16"/>
          <w:b w:val="1"/>
          <w:bCs w:val="1"/>
          <w:color w:val="auto"/>
        </w:rPr>
        <w:t>For the quarterly period ended April 3, 2021</w:t>
      </w:r>
    </w:p>
    <w:p>
      <w:pPr>
        <w:spacing w:after="0" w:line="207" w:lineRule="exact"/>
        <w:rPr>
          <w:rFonts w:ascii="MS PGothic" w:cs="MS PGothic" w:eastAsia="MS PGothic" w:hAnsi="MS PGothic"/>
          <w:sz w:val="20"/>
          <w:szCs w:val="20"/>
          <w:color w:val="auto"/>
        </w:rPr>
      </w:pPr>
    </w:p>
    <w:p>
      <w:pPr>
        <w:ind w:left="5500"/>
        <w:spacing w:after="0"/>
        <w:rPr>
          <w:rFonts w:ascii="MS PGothic" w:cs="MS PGothic" w:eastAsia="MS PGothic" w:hAnsi="MS PGothic"/>
          <w:sz w:val="20"/>
          <w:szCs w:val="20"/>
          <w:color w:val="auto"/>
        </w:rPr>
      </w:pPr>
      <w:r>
        <w:rPr>
          <w:rFonts w:ascii="Arial" w:cs="Arial" w:eastAsia="Arial" w:hAnsi="Arial"/>
          <w:sz w:val="16"/>
          <w:szCs w:val="16"/>
          <w:b w:val="1"/>
          <w:bCs w:val="1"/>
          <w:color w:val="auto"/>
        </w:rPr>
        <w:t>OR</w:t>
      </w:r>
    </w:p>
    <w:p>
      <w:pPr>
        <w:spacing w:after="0" w:line="221" w:lineRule="exact"/>
        <w:rPr>
          <w:rFonts w:ascii="MS PGothic" w:cs="MS PGothic" w:eastAsia="MS PGothic" w:hAnsi="MS PGothic"/>
          <w:sz w:val="20"/>
          <w:szCs w:val="20"/>
          <w:color w:val="auto"/>
        </w:rPr>
      </w:pPr>
    </w:p>
    <w:p>
      <w:pPr>
        <w:ind w:left="1700" w:hanging="406"/>
        <w:spacing w:after="0"/>
        <w:tabs>
          <w:tab w:leader="none" w:pos="170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68" w:lineRule="exact"/>
        <w:rPr>
          <w:sz w:val="24"/>
          <w:szCs w:val="24"/>
          <w:color w:val="auto"/>
        </w:rPr>
      </w:pPr>
    </w:p>
    <w:p>
      <w:pPr>
        <w:ind w:left="41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3987165</wp:posOffset>
            </wp:positionH>
            <wp:positionV relativeFrom="paragraph">
              <wp:posOffset>-4445</wp:posOffset>
            </wp:positionV>
            <wp:extent cx="522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420" w:type="dxa"/>
            <w:vAlign w:val="bottom"/>
          </w:tcPr>
          <w:p>
            <w:pPr>
              <w:spacing w:after="0"/>
              <w:rPr>
                <w:sz w:val="24"/>
                <w:szCs w:val="24"/>
                <w:color w:val="auto"/>
              </w:rPr>
            </w:pPr>
          </w:p>
        </w:tc>
        <w:tc>
          <w:tcPr>
            <w:tcW w:w="10460" w:type="dxa"/>
            <w:vAlign w:val="bottom"/>
            <w:gridSpan w:val="4"/>
          </w:tcPr>
          <w:p>
            <w:pPr>
              <w:jc w:val="center"/>
              <w:spacing w:after="0"/>
              <w:rPr>
                <w:sz w:val="20"/>
                <w:szCs w:val="20"/>
                <w:color w:val="auto"/>
              </w:rPr>
            </w:pPr>
            <w:r>
              <w:rPr>
                <w:rFonts w:ascii="Arial" w:cs="Arial" w:eastAsia="Arial" w:hAnsi="Arial"/>
                <w:sz w:val="22"/>
                <w:szCs w:val="22"/>
                <w:b w:val="1"/>
                <w:bCs w:val="1"/>
                <w:color w:val="auto"/>
                <w:w w:val="88"/>
              </w:rPr>
              <w:t>Commission file number: 001-31829</w:t>
            </w:r>
          </w:p>
        </w:tc>
      </w:tr>
      <w:tr>
        <w:trPr>
          <w:trHeight w:val="508"/>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80" w:type="dxa"/>
            <w:vAlign w:val="bottom"/>
            <w:gridSpan w:val="2"/>
          </w:tcPr>
          <w:p>
            <w:pPr>
              <w:jc w:val="center"/>
              <w:ind w:left="57"/>
              <w:spacing w:after="0"/>
              <w:rPr>
                <w:sz w:val="20"/>
                <w:szCs w:val="20"/>
                <w:color w:val="auto"/>
              </w:rPr>
            </w:pPr>
            <w:r>
              <w:rPr>
                <w:rFonts w:ascii="Arial" w:cs="Arial" w:eastAsia="Arial" w:hAnsi="Arial"/>
                <w:sz w:val="29"/>
                <w:szCs w:val="29"/>
                <w:b w:val="1"/>
                <w:bCs w:val="1"/>
                <w:color w:val="auto"/>
                <w:w w:val="98"/>
              </w:rPr>
              <w:t>CARTER’S, INC.</w:t>
            </w:r>
          </w:p>
        </w:tc>
        <w:tc>
          <w:tcPr>
            <w:tcW w:w="4000" w:type="dxa"/>
            <w:vAlign w:val="bottom"/>
          </w:tcPr>
          <w:p>
            <w:pPr>
              <w:spacing w:after="0"/>
              <w:rPr>
                <w:sz w:val="24"/>
                <w:szCs w:val="24"/>
                <w:color w:val="auto"/>
              </w:rPr>
            </w:pPr>
          </w:p>
        </w:tc>
      </w:tr>
      <w:tr>
        <w:trPr>
          <w:trHeight w:val="427"/>
        </w:trPr>
        <w:tc>
          <w:tcPr>
            <w:tcW w:w="420" w:type="dxa"/>
            <w:vAlign w:val="bottom"/>
          </w:tcPr>
          <w:p>
            <w:pPr>
              <w:spacing w:after="0"/>
              <w:rPr>
                <w:sz w:val="24"/>
                <w:szCs w:val="24"/>
                <w:color w:val="auto"/>
              </w:rPr>
            </w:pPr>
          </w:p>
        </w:tc>
        <w:tc>
          <w:tcPr>
            <w:tcW w:w="10460" w:type="dxa"/>
            <w:vAlign w:val="bottom"/>
            <w:gridSpan w:val="4"/>
          </w:tcPr>
          <w:p>
            <w:pPr>
              <w:ind w:left="3200"/>
              <w:spacing w:after="0"/>
              <w:rPr>
                <w:sz w:val="20"/>
                <w:szCs w:val="20"/>
                <w:color w:val="auto"/>
              </w:rPr>
            </w:pPr>
            <w:r>
              <w:rPr>
                <w:rFonts w:ascii="Arial" w:cs="Arial" w:eastAsia="Arial" w:hAnsi="Arial"/>
                <w:sz w:val="18"/>
                <w:szCs w:val="18"/>
                <w:color w:val="auto"/>
              </w:rPr>
              <w:t>(Exact name of Registrant as specified in its charter)</w:t>
            </w:r>
          </w:p>
        </w:tc>
      </w:tr>
      <w:tr>
        <w:trPr>
          <w:trHeight w:val="359"/>
        </w:trPr>
        <w:tc>
          <w:tcPr>
            <w:tcW w:w="420" w:type="dxa"/>
            <w:vAlign w:val="bottom"/>
          </w:tcPr>
          <w:p>
            <w:pPr>
              <w:spacing w:after="0"/>
              <w:rPr>
                <w:sz w:val="24"/>
                <w:szCs w:val="24"/>
                <w:color w:val="auto"/>
              </w:rPr>
            </w:pPr>
          </w:p>
        </w:tc>
        <w:tc>
          <w:tcPr>
            <w:tcW w:w="3780" w:type="dxa"/>
            <w:vAlign w:val="bottom"/>
          </w:tcPr>
          <w:p>
            <w:pPr>
              <w:jc w:val="center"/>
              <w:ind w:left="533"/>
              <w:spacing w:after="0"/>
              <w:rPr>
                <w:sz w:val="20"/>
                <w:szCs w:val="20"/>
                <w:color w:val="auto"/>
              </w:rPr>
            </w:pPr>
            <w:r>
              <w:rPr>
                <w:rFonts w:ascii="Arial" w:cs="Arial" w:eastAsia="Arial" w:hAnsi="Arial"/>
                <w:sz w:val="16"/>
                <w:szCs w:val="16"/>
                <w:b w:val="1"/>
                <w:bCs w:val="1"/>
                <w:color w:val="auto"/>
                <w:w w:val="91"/>
              </w:rPr>
              <w:t>Delaware</w:t>
            </w: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00" w:type="dxa"/>
            <w:vAlign w:val="bottom"/>
          </w:tcPr>
          <w:p>
            <w:pPr>
              <w:jc w:val="right"/>
              <w:ind w:right="2219"/>
              <w:spacing w:after="0"/>
              <w:rPr>
                <w:sz w:val="20"/>
                <w:szCs w:val="20"/>
                <w:color w:val="auto"/>
              </w:rPr>
            </w:pPr>
            <w:r>
              <w:rPr>
                <w:rFonts w:ascii="Arial" w:cs="Arial" w:eastAsia="Arial" w:hAnsi="Arial"/>
                <w:sz w:val="16"/>
                <w:szCs w:val="16"/>
                <w:b w:val="1"/>
                <w:bCs w:val="1"/>
                <w:color w:val="auto"/>
              </w:rPr>
              <w:t>13-3912933</w:t>
            </w:r>
          </w:p>
        </w:tc>
      </w:tr>
      <w:tr>
        <w:trPr>
          <w:trHeight w:val="418"/>
        </w:trPr>
        <w:tc>
          <w:tcPr>
            <w:tcW w:w="420" w:type="dxa"/>
            <w:vAlign w:val="bottom"/>
          </w:tcPr>
          <w:p>
            <w:pPr>
              <w:spacing w:after="0"/>
              <w:rPr>
                <w:sz w:val="24"/>
                <w:szCs w:val="24"/>
                <w:color w:val="auto"/>
              </w:rPr>
            </w:pPr>
          </w:p>
        </w:tc>
        <w:tc>
          <w:tcPr>
            <w:tcW w:w="3780" w:type="dxa"/>
            <w:vAlign w:val="bottom"/>
          </w:tcPr>
          <w:p>
            <w:pPr>
              <w:jc w:val="center"/>
              <w:ind w:left="533"/>
              <w:spacing w:after="0"/>
              <w:rPr>
                <w:sz w:val="20"/>
                <w:szCs w:val="20"/>
                <w:color w:val="auto"/>
              </w:rPr>
            </w:pPr>
            <w:r>
              <w:rPr>
                <w:rFonts w:ascii="Arial" w:cs="Arial" w:eastAsia="Arial" w:hAnsi="Arial"/>
                <w:sz w:val="16"/>
                <w:szCs w:val="16"/>
                <w:color w:val="auto"/>
                <w:w w:val="93"/>
              </w:rPr>
              <w:t>(State or other jurisdiction of</w:t>
            </w: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00" w:type="dxa"/>
            <w:vAlign w:val="bottom"/>
          </w:tcPr>
          <w:p>
            <w:pPr>
              <w:jc w:val="center"/>
              <w:ind w:right="1299"/>
              <w:spacing w:after="0"/>
              <w:rPr>
                <w:sz w:val="20"/>
                <w:szCs w:val="20"/>
                <w:color w:val="auto"/>
              </w:rPr>
            </w:pPr>
            <w:r>
              <w:rPr>
                <w:rFonts w:ascii="Arial" w:cs="Arial" w:eastAsia="Arial" w:hAnsi="Arial"/>
                <w:sz w:val="16"/>
                <w:szCs w:val="16"/>
                <w:color w:val="auto"/>
                <w:w w:val="94"/>
              </w:rPr>
              <w:t>(I.R.S. Employer Identification No.)</w:t>
            </w:r>
          </w:p>
        </w:tc>
      </w:tr>
      <w:tr>
        <w:trPr>
          <w:trHeight w:val="243"/>
        </w:trPr>
        <w:tc>
          <w:tcPr>
            <w:tcW w:w="420" w:type="dxa"/>
            <w:vAlign w:val="bottom"/>
          </w:tcPr>
          <w:p>
            <w:pPr>
              <w:spacing w:after="0"/>
              <w:rPr>
                <w:sz w:val="21"/>
                <w:szCs w:val="21"/>
                <w:color w:val="auto"/>
              </w:rPr>
            </w:pPr>
          </w:p>
        </w:tc>
        <w:tc>
          <w:tcPr>
            <w:tcW w:w="3780" w:type="dxa"/>
            <w:vAlign w:val="bottom"/>
          </w:tcPr>
          <w:p>
            <w:pPr>
              <w:jc w:val="center"/>
              <w:ind w:left="533"/>
              <w:spacing w:after="0"/>
              <w:rPr>
                <w:sz w:val="20"/>
                <w:szCs w:val="20"/>
                <w:color w:val="auto"/>
              </w:rPr>
            </w:pPr>
            <w:r>
              <w:rPr>
                <w:rFonts w:ascii="Arial" w:cs="Arial" w:eastAsia="Arial" w:hAnsi="Arial"/>
                <w:sz w:val="16"/>
                <w:szCs w:val="16"/>
                <w:color w:val="auto"/>
                <w:w w:val="94"/>
              </w:rPr>
              <w:t>incorporation or organization)</w:t>
            </w:r>
          </w:p>
        </w:tc>
        <w:tc>
          <w:tcPr>
            <w:tcW w:w="6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857"/>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jc w:val="center"/>
              <w:ind w:right="396"/>
              <w:spacing w:after="0"/>
              <w:rPr>
                <w:sz w:val="20"/>
                <w:szCs w:val="20"/>
                <w:color w:val="auto"/>
              </w:rPr>
            </w:pPr>
            <w:r>
              <w:rPr>
                <w:rFonts w:ascii="Arial" w:cs="Arial" w:eastAsia="Arial" w:hAnsi="Arial"/>
                <w:sz w:val="18"/>
                <w:szCs w:val="18"/>
                <w:b w:val="1"/>
                <w:bCs w:val="1"/>
                <w:color w:val="auto"/>
                <w:w w:val="87"/>
              </w:rPr>
              <w:t>Phipps Tower,</w:t>
            </w:r>
          </w:p>
        </w:tc>
        <w:tc>
          <w:tcPr>
            <w:tcW w:w="4000" w:type="dxa"/>
            <w:vAlign w:val="bottom"/>
          </w:tcPr>
          <w:p>
            <w:pPr>
              <w:spacing w:after="0"/>
              <w:rPr>
                <w:sz w:val="24"/>
                <w:szCs w:val="24"/>
                <w:color w:val="auto"/>
              </w:rPr>
            </w:pPr>
          </w:p>
        </w:tc>
      </w:tr>
      <w:tr>
        <w:trPr>
          <w:trHeight w:val="310"/>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680" w:type="dxa"/>
            <w:vAlign w:val="bottom"/>
            <w:gridSpan w:val="3"/>
          </w:tcPr>
          <w:p>
            <w:pPr>
              <w:jc w:val="center"/>
              <w:ind w:right="3759"/>
              <w:spacing w:after="0"/>
              <w:rPr>
                <w:sz w:val="20"/>
                <w:szCs w:val="20"/>
                <w:color w:val="auto"/>
              </w:rPr>
            </w:pPr>
            <w:r>
              <w:rPr>
                <w:rFonts w:ascii="Arial" w:cs="Arial" w:eastAsia="Arial" w:hAnsi="Arial"/>
                <w:sz w:val="18"/>
                <w:szCs w:val="18"/>
                <w:b w:val="1"/>
                <w:bCs w:val="1"/>
                <w:color w:val="auto"/>
                <w:w w:val="90"/>
              </w:rPr>
              <w:t>3438 Peachtree Road NE, Suite 1800</w:t>
            </w:r>
          </w:p>
        </w:tc>
      </w:tr>
      <w:tr>
        <w:trPr>
          <w:trHeight w:val="310"/>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80" w:type="dxa"/>
            <w:vAlign w:val="bottom"/>
            <w:gridSpan w:val="2"/>
          </w:tcPr>
          <w:p>
            <w:pPr>
              <w:jc w:val="center"/>
              <w:ind w:left="77"/>
              <w:spacing w:after="0"/>
              <w:rPr>
                <w:sz w:val="20"/>
                <w:szCs w:val="20"/>
                <w:color w:val="auto"/>
              </w:rPr>
            </w:pPr>
            <w:r>
              <w:rPr>
                <w:rFonts w:ascii="Arial" w:cs="Arial" w:eastAsia="Arial" w:hAnsi="Arial"/>
                <w:sz w:val="18"/>
                <w:szCs w:val="18"/>
                <w:b w:val="1"/>
                <w:bCs w:val="1"/>
                <w:color w:val="auto"/>
                <w:w w:val="91"/>
              </w:rPr>
              <w:t>Atlanta, Georgia 30326</w:t>
            </w:r>
          </w:p>
        </w:tc>
        <w:tc>
          <w:tcPr>
            <w:tcW w:w="4000" w:type="dxa"/>
            <w:vAlign w:val="bottom"/>
          </w:tcPr>
          <w:p>
            <w:pPr>
              <w:spacing w:after="0"/>
              <w:rPr>
                <w:sz w:val="24"/>
                <w:szCs w:val="24"/>
                <w:color w:val="auto"/>
              </w:rPr>
            </w:pPr>
          </w:p>
        </w:tc>
      </w:tr>
      <w:tr>
        <w:trPr>
          <w:trHeight w:val="297"/>
        </w:trPr>
        <w:tc>
          <w:tcPr>
            <w:tcW w:w="420" w:type="dxa"/>
            <w:vAlign w:val="bottom"/>
          </w:tcPr>
          <w:p>
            <w:pPr>
              <w:spacing w:after="0"/>
              <w:rPr>
                <w:sz w:val="24"/>
                <w:szCs w:val="24"/>
                <w:color w:val="auto"/>
              </w:rPr>
            </w:pPr>
          </w:p>
        </w:tc>
        <w:tc>
          <w:tcPr>
            <w:tcW w:w="104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10"/>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80" w:type="dxa"/>
            <w:vAlign w:val="bottom"/>
            <w:gridSpan w:val="2"/>
          </w:tcPr>
          <w:p>
            <w:pPr>
              <w:jc w:val="center"/>
              <w:ind w:left="57"/>
              <w:spacing w:after="0"/>
              <w:rPr>
                <w:sz w:val="20"/>
                <w:szCs w:val="20"/>
                <w:color w:val="auto"/>
              </w:rPr>
            </w:pPr>
            <w:r>
              <w:rPr>
                <w:rFonts w:ascii="Arial" w:cs="Arial" w:eastAsia="Arial" w:hAnsi="Arial"/>
                <w:sz w:val="18"/>
                <w:szCs w:val="18"/>
                <w:b w:val="1"/>
                <w:bCs w:val="1"/>
                <w:color w:val="auto"/>
                <w:w w:val="90"/>
              </w:rPr>
              <w:t>(678) 791-1000</w:t>
            </w:r>
          </w:p>
        </w:tc>
        <w:tc>
          <w:tcPr>
            <w:tcW w:w="400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1046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24"/>
        </w:trPr>
        <w:tc>
          <w:tcPr>
            <w:tcW w:w="4200" w:type="dxa"/>
            <w:vAlign w:val="bottom"/>
            <w:gridSpan w:val="2"/>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0"/>
        </w:trPr>
        <w:tc>
          <w:tcPr>
            <w:tcW w:w="420" w:type="dxa"/>
            <w:vAlign w:val="bottom"/>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r>
      <w:tr>
        <w:trPr>
          <w:trHeight w:val="230"/>
        </w:trPr>
        <w:tc>
          <w:tcPr>
            <w:tcW w:w="420" w:type="dxa"/>
            <w:vAlign w:val="bottom"/>
            <w:tcBorders>
              <w:right w:val="single" w:sz="8" w:color="auto"/>
            </w:tcBorders>
          </w:tcPr>
          <w:p>
            <w:pPr>
              <w:spacing w:after="0"/>
              <w:rPr>
                <w:sz w:val="20"/>
                <w:szCs w:val="20"/>
                <w:color w:val="auto"/>
              </w:rPr>
            </w:pPr>
          </w:p>
        </w:tc>
        <w:tc>
          <w:tcPr>
            <w:tcW w:w="3780" w:type="dxa"/>
            <w:vAlign w:val="bottom"/>
            <w:tcBorders>
              <w:bottom w:val="single" w:sz="8" w:color="auto"/>
            </w:tcBorders>
          </w:tcPr>
          <w:p>
            <w:pPr>
              <w:jc w:val="center"/>
              <w:ind w:left="513"/>
              <w:spacing w:after="0"/>
              <w:rPr>
                <w:sz w:val="20"/>
                <w:szCs w:val="20"/>
                <w:color w:val="auto"/>
              </w:rPr>
            </w:pPr>
            <w:r>
              <w:rPr>
                <w:rFonts w:ascii="Arial" w:cs="Arial" w:eastAsia="Arial" w:hAnsi="Arial"/>
                <w:sz w:val="16"/>
                <w:szCs w:val="16"/>
                <w:b w:val="1"/>
                <w:bCs w:val="1"/>
                <w:color w:val="auto"/>
                <w:w w:val="91"/>
              </w:rPr>
              <w:t>Title of Each Class</w:t>
            </w:r>
          </w:p>
        </w:tc>
        <w:tc>
          <w:tcPr>
            <w:tcW w:w="6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36"/>
        </w:trPr>
        <w:tc>
          <w:tcPr>
            <w:tcW w:w="420" w:type="dxa"/>
            <w:vAlign w:val="bottom"/>
            <w:tcBorders>
              <w:right w:val="single" w:sz="8" w:color="auto"/>
            </w:tcBorders>
          </w:tcPr>
          <w:p>
            <w:pPr>
              <w:spacing w:after="0"/>
              <w:rPr>
                <w:sz w:val="20"/>
                <w:szCs w:val="20"/>
                <w:color w:val="auto"/>
              </w:rPr>
            </w:pPr>
          </w:p>
        </w:tc>
        <w:tc>
          <w:tcPr>
            <w:tcW w:w="3780" w:type="dxa"/>
            <w:vAlign w:val="bottom"/>
            <w:tcBorders>
              <w:bottom w:val="single" w:sz="8" w:color="auto"/>
            </w:tcBorders>
          </w:tcPr>
          <w:p>
            <w:pPr>
              <w:jc w:val="center"/>
              <w:ind w:left="513"/>
              <w:spacing w:after="0"/>
              <w:rPr>
                <w:sz w:val="20"/>
                <w:szCs w:val="20"/>
                <w:color w:val="auto"/>
              </w:rPr>
            </w:pPr>
            <w:r>
              <w:rPr>
                <w:rFonts w:ascii="Arial" w:cs="Arial" w:eastAsia="Arial" w:hAnsi="Arial"/>
                <w:sz w:val="16"/>
                <w:szCs w:val="16"/>
                <w:color w:val="auto"/>
                <w:w w:val="90"/>
              </w:rPr>
              <w:t>Common stock, par value $0.01 per share</w:t>
            </w:r>
          </w:p>
        </w:tc>
        <w:tc>
          <w:tcPr>
            <w:tcW w:w="6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CRI</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94"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57" w:right="459" w:bottom="1440" w:gutter="0" w:footer="0" w:header="0"/>
        </w:sectPr>
      </w:pPr>
    </w:p>
    <w:bookmarkStart w:id="1" w:name="page2"/>
    <w:bookmarkEnd w:id="1"/>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24"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p>
    <w:p>
      <w:pPr>
        <w:spacing w:after="0" w:line="18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8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Arial" w:cs="Arial" w:eastAsia="Arial" w:hAnsi="Arial"/>
          <w:sz w:val="18"/>
          <w:szCs w:val="18"/>
          <w:color w:val="auto"/>
        </w:rPr>
        <w:t xml:space="preserve"> No x</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As of April 23, 2021, there were 43,956,877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66433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1700"/>
        <w:spacing w:after="0"/>
        <w:rPr>
          <w:sz w:val="20"/>
          <w:szCs w:val="20"/>
          <w:color w:val="auto"/>
        </w:rPr>
      </w:pPr>
      <w:r>
        <w:rPr>
          <w:rFonts w:ascii="Arial" w:cs="Arial" w:eastAsia="Arial" w:hAnsi="Arial"/>
          <w:sz w:val="20"/>
          <w:szCs w:val="20"/>
          <w:b w:val="1"/>
          <w:bCs w:val="1"/>
          <w:color w:val="auto"/>
        </w:rPr>
        <w:t>CARTER’S, INC.</w:t>
      </w:r>
    </w:p>
    <w:p>
      <w:pPr>
        <w:spacing w:after="0" w:line="189" w:lineRule="exact"/>
        <w:rPr>
          <w:sz w:val="20"/>
          <w:szCs w:val="20"/>
          <w:color w:val="auto"/>
        </w:rPr>
      </w:pPr>
    </w:p>
    <w:p>
      <w:pPr>
        <w:jc w:val="center"/>
        <w:ind w:left="1700"/>
        <w:spacing w:after="0"/>
        <w:rPr>
          <w:sz w:val="20"/>
          <w:szCs w:val="20"/>
          <w:color w:val="auto"/>
        </w:rPr>
      </w:pPr>
      <w:r>
        <w:rPr>
          <w:rFonts w:ascii="Arial" w:cs="Arial" w:eastAsia="Arial" w:hAnsi="Arial"/>
          <w:sz w:val="20"/>
          <w:szCs w:val="20"/>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20" w:type="dxa"/>
            <w:vAlign w:val="bottom"/>
          </w:tcPr>
          <w:p>
            <w:pP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Item 1</w:t>
              </w:r>
            </w:hyperlink>
          </w:p>
        </w:tc>
        <w:tc>
          <w:tcPr>
            <w:tcW w:w="640" w:type="dxa"/>
            <w:vAlign w:val="bottom"/>
          </w:tcPr>
          <w:p>
            <w:pPr>
              <w:spacing w:after="0"/>
              <w:rPr>
                <w:sz w:val="16"/>
                <w:szCs w:val="16"/>
                <w:color w:val="auto"/>
              </w:rPr>
            </w:pPr>
          </w:p>
        </w:tc>
        <w:tc>
          <w:tcPr>
            <w:tcW w:w="7800" w:type="dxa"/>
            <w:vAlign w:val="bottom"/>
            <w:gridSpan w:val="13"/>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0" w:type="dxa"/>
            <w:vAlign w:val="bottom"/>
            <w:gridSpan w:val="13"/>
          </w:tcPr>
          <w:p>
            <w:pPr>
              <w:spacing w:after="0"/>
              <w:rPr>
                <w:sz w:val="20"/>
                <w:szCs w:val="20"/>
                <w:color w:val="auto"/>
              </w:rPr>
            </w:pPr>
            <w:r>
              <w:rPr>
                <w:rFonts w:ascii="Arial" w:cs="Arial" w:eastAsia="Arial" w:hAnsi="Arial"/>
                <w:sz w:val="16"/>
                <w:szCs w:val="16"/>
                <w:color w:val="0000FF"/>
              </w:rPr>
              <w:t>Unaudited Condensed Consolidated Balance Sheets as of April 3, 2021, January 2, 2021 and March 28, 2020</w:t>
            </w:r>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0" w:type="dxa"/>
            <w:vAlign w:val="bottom"/>
            <w:gridSpan w:val="13"/>
          </w:tcPr>
          <w:p>
            <w:pPr>
              <w:spacing w:after="0"/>
              <w:rPr>
                <w:sz w:val="20"/>
                <w:szCs w:val="20"/>
                <w:color w:val="auto"/>
              </w:rPr>
            </w:pPr>
            <w:r>
              <w:rPr>
                <w:rFonts w:ascii="Arial" w:cs="Arial" w:eastAsia="Arial" w:hAnsi="Arial"/>
                <w:sz w:val="16"/>
                <w:szCs w:val="16"/>
                <w:color w:val="0000FF"/>
                <w:w w:val="92"/>
              </w:rPr>
              <w:t>Unaudited Condensed Consolidated Statements of Operations for the fiscal quarter ended April 3, 2021 and March 28,</w:t>
            </w:r>
          </w:p>
        </w:tc>
      </w:tr>
      <w:tr>
        <w:trPr>
          <w:trHeight w:val="169"/>
        </w:trPr>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84"/>
              </w:rPr>
              <w:t>2020</w:t>
            </w:r>
          </w:p>
        </w:tc>
        <w:tc>
          <w:tcPr>
            <w:tcW w:w="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1"/>
              </w:rPr>
              <w:t>Unaudited Condensed Consolidated Statements of Comprehensive Income for the fiscal quarter ended April 3, 2021 and</w:t>
            </w:r>
          </w:p>
        </w:tc>
      </w:tr>
      <w:tr>
        <w:trPr>
          <w:trHeight w:val="169"/>
        </w:trPr>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0" w:type="dxa"/>
            <w:vAlign w:val="bottom"/>
            <w:gridSpan w:val="13"/>
          </w:tcPr>
          <w:p>
            <w:pPr>
              <w:spacing w:after="0" w:line="169" w:lineRule="exact"/>
              <w:rPr>
                <w:sz w:val="20"/>
                <w:szCs w:val="20"/>
                <w:color w:val="auto"/>
              </w:rPr>
            </w:pPr>
            <w:r>
              <w:rPr>
                <w:rFonts w:ascii="Arial" w:cs="Arial" w:eastAsia="Arial" w:hAnsi="Arial"/>
                <w:sz w:val="16"/>
                <w:szCs w:val="16"/>
                <w:color w:val="0000FF"/>
              </w:rPr>
              <w:t>March 28, 2020</w:t>
            </w:r>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76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1"/>
              </w:rPr>
              <w:t>Unaudited Condensed Consolidated Statements of Changes in Stockholders’ Equity for the fiscal quarter ended April 3,</w:t>
            </w:r>
          </w:p>
        </w:tc>
        <w:tc>
          <w:tcPr>
            <w:tcW w:w="40" w:type="dxa"/>
            <w:vAlign w:val="bottom"/>
          </w:tcPr>
          <w:p>
            <w:pPr>
              <w:spacing w:after="0"/>
              <w:rPr>
                <w:sz w:val="19"/>
                <w:szCs w:val="19"/>
                <w:color w:val="auto"/>
              </w:rPr>
            </w:pPr>
          </w:p>
        </w:tc>
      </w:tr>
      <w:tr>
        <w:trPr>
          <w:trHeight w:val="169"/>
        </w:trPr>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0" w:type="dxa"/>
            <w:vAlign w:val="bottom"/>
            <w:gridSpan w:val="13"/>
          </w:tcPr>
          <w:p>
            <w:pPr>
              <w:spacing w:after="0" w:line="169" w:lineRule="exact"/>
              <w:rPr>
                <w:sz w:val="20"/>
                <w:szCs w:val="20"/>
                <w:color w:val="auto"/>
              </w:rPr>
            </w:pPr>
            <w:r>
              <w:rPr>
                <w:rFonts w:ascii="Arial" w:cs="Arial" w:eastAsia="Arial" w:hAnsi="Arial"/>
                <w:sz w:val="16"/>
                <w:szCs w:val="16"/>
                <w:color w:val="0000FF"/>
              </w:rPr>
              <w:t>2021 and March 28, 2020</w:t>
            </w:r>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0" w:type="dxa"/>
            <w:vAlign w:val="bottom"/>
            <w:gridSpan w:val="13"/>
          </w:tcPr>
          <w:p>
            <w:pPr>
              <w:spacing w:after="0"/>
              <w:rPr>
                <w:sz w:val="20"/>
                <w:szCs w:val="20"/>
                <w:color w:val="auto"/>
              </w:rPr>
            </w:pPr>
            <w:r>
              <w:rPr>
                <w:rFonts w:ascii="Arial" w:cs="Arial" w:eastAsia="Arial" w:hAnsi="Arial"/>
                <w:sz w:val="16"/>
                <w:szCs w:val="16"/>
                <w:color w:val="0000FF"/>
                <w:w w:val="92"/>
              </w:rPr>
              <w:t>Unaudited Condensed Consolidated Statements of Cash Flows for the fiscal quarter ended April 3, 2021 and March 28,</w:t>
            </w:r>
          </w:p>
        </w:tc>
      </w:tr>
      <w:tr>
        <w:trPr>
          <w:trHeight w:val="169"/>
        </w:trPr>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84"/>
              </w:rPr>
              <w:t>2020</w:t>
            </w:r>
          </w:p>
        </w:tc>
        <w:tc>
          <w:tcPr>
            <w:tcW w:w="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0" w:type="dxa"/>
            <w:vAlign w:val="bottom"/>
            <w:gridSpan w:val="13"/>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the Unaudited Condensed Consolidated Financial Statements</w:t>
              </w:r>
            </w:hyperlink>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r>
      <w:tr>
        <w:trPr>
          <w:trHeight w:val="223"/>
        </w:trPr>
        <w:tc>
          <w:tcPr>
            <w:tcW w:w="1060" w:type="dxa"/>
            <w:vAlign w:val="bottom"/>
            <w:tcBorders>
              <w:bottom w:val="single" w:sz="8" w:color="0000FF"/>
            </w:tcBorders>
            <w:gridSpan w:val="2"/>
          </w:tcPr>
          <w:p>
            <w:pPr>
              <w:spacing w:after="0"/>
              <w:rPr>
                <w:rFonts w:ascii="Arial" w:cs="Arial" w:eastAsia="Arial" w:hAnsi="Arial"/>
                <w:sz w:val="16"/>
                <w:szCs w:val="16"/>
                <w:color w:val="0000FF"/>
              </w:rPr>
            </w:pPr>
            <w:hyperlink w:anchor="page18">
              <w:r>
                <w:rPr>
                  <w:rFonts w:ascii="Arial" w:cs="Arial" w:eastAsia="Arial" w:hAnsi="Arial"/>
                  <w:sz w:val="16"/>
                  <w:szCs w:val="16"/>
                  <w:color w:val="0000FF"/>
                </w:rPr>
                <w:t>Item 2</w:t>
              </w:r>
            </w:hyperlink>
          </w:p>
        </w:tc>
        <w:tc>
          <w:tcPr>
            <w:tcW w:w="5820" w:type="dxa"/>
            <w:vAlign w:val="bottom"/>
            <w:tcBorders>
              <w:bottom w:val="single" w:sz="8" w:color="0000FF"/>
            </w:tcBorders>
            <w:gridSpan w:val="8"/>
          </w:tcPr>
          <w:p>
            <w:pPr>
              <w:spacing w:after="0"/>
              <w:rPr>
                <w:rFonts w:ascii="Arial" w:cs="Arial" w:eastAsia="Arial" w:hAnsi="Arial"/>
                <w:sz w:val="16"/>
                <w:szCs w:val="16"/>
                <w:color w:val="0000FF"/>
                <w:w w:val="92"/>
              </w:rPr>
            </w:pPr>
            <w:hyperlink w:anchor="page18">
              <w:r>
                <w:rPr>
                  <w:rFonts w:ascii="Arial" w:cs="Arial" w:eastAsia="Arial" w:hAnsi="Arial"/>
                  <w:sz w:val="16"/>
                  <w:szCs w:val="16"/>
                  <w:color w:val="0000FF"/>
                  <w:w w:val="92"/>
                </w:rPr>
                <w:t>Management’s Discussion and Analysis of Financial Condition and Results of Operations</w:t>
              </w:r>
            </w:hyperlink>
          </w:p>
        </w:tc>
        <w:tc>
          <w:tcPr>
            <w:tcW w:w="1980" w:type="dxa"/>
            <w:vAlign w:val="bottom"/>
            <w:gridSpan w:val="5"/>
          </w:tcPr>
          <w:p>
            <w:pPr>
              <w:spacing w:after="0"/>
              <w:rPr>
                <w:sz w:val="19"/>
                <w:szCs w:val="19"/>
                <w:color w:val="auto"/>
              </w:rPr>
            </w:pPr>
          </w:p>
        </w:tc>
      </w:tr>
      <w:tr>
        <w:trPr>
          <w:trHeight w:val="223"/>
        </w:trPr>
        <w:tc>
          <w:tcPr>
            <w:tcW w:w="420" w:type="dxa"/>
            <w:vAlign w:val="bottom"/>
            <w:tcBorders>
              <w:bottom w:val="single" w:sz="8" w:color="0000FF"/>
            </w:tcBorders>
          </w:tcPr>
          <w:p>
            <w:pPr>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Item 3</w:t>
              </w:r>
            </w:hyperlink>
          </w:p>
        </w:tc>
        <w:tc>
          <w:tcPr>
            <w:tcW w:w="640" w:type="dxa"/>
            <w:vAlign w:val="bottom"/>
          </w:tcPr>
          <w:p>
            <w:pPr>
              <w:spacing w:after="0"/>
              <w:rPr>
                <w:sz w:val="19"/>
                <w:szCs w:val="19"/>
                <w:color w:val="auto"/>
              </w:rPr>
            </w:pPr>
          </w:p>
        </w:tc>
        <w:tc>
          <w:tcPr>
            <w:tcW w:w="388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27">
              <w:r>
                <w:rPr>
                  <w:rFonts w:ascii="Arial" w:cs="Arial" w:eastAsia="Arial" w:hAnsi="Arial"/>
                  <w:sz w:val="16"/>
                  <w:szCs w:val="16"/>
                  <w:color w:val="0000FF"/>
                  <w:w w:val="92"/>
                </w:rPr>
                <w:t>Quantitative and Qualitative Disclosures about Market Risk</w:t>
              </w:r>
            </w:hyperlink>
          </w:p>
        </w:tc>
        <w:tc>
          <w:tcPr>
            <w:tcW w:w="3920" w:type="dxa"/>
            <w:vAlign w:val="bottom"/>
            <w:gridSpan w:val="7"/>
          </w:tcPr>
          <w:p>
            <w:pPr>
              <w:spacing w:after="0"/>
              <w:rPr>
                <w:sz w:val="19"/>
                <w:szCs w:val="19"/>
                <w:color w:val="auto"/>
              </w:rPr>
            </w:pPr>
          </w:p>
        </w:tc>
      </w:tr>
      <w:tr>
        <w:trPr>
          <w:trHeight w:val="223"/>
        </w:trPr>
        <w:tc>
          <w:tcPr>
            <w:tcW w:w="420" w:type="dxa"/>
            <w:vAlign w:val="bottom"/>
          </w:tcPr>
          <w:p>
            <w:pPr>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Item 4</w:t>
              </w:r>
            </w:hyperlink>
          </w:p>
        </w:tc>
        <w:tc>
          <w:tcPr>
            <w:tcW w:w="640" w:type="dxa"/>
            <w:vAlign w:val="bottom"/>
          </w:tcPr>
          <w:p>
            <w:pPr>
              <w:spacing w:after="0"/>
              <w:rPr>
                <w:sz w:val="19"/>
                <w:szCs w:val="19"/>
                <w:color w:val="auto"/>
              </w:rPr>
            </w:pPr>
          </w:p>
        </w:tc>
        <w:tc>
          <w:tcPr>
            <w:tcW w:w="7800" w:type="dxa"/>
            <w:vAlign w:val="bottom"/>
            <w:gridSpan w:val="13"/>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Controls and Procedures</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-1688465</wp:posOffset>
            </wp:positionV>
            <wp:extent cx="71323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172085</wp:posOffset>
            </wp:positionV>
            <wp:extent cx="9944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1</w:t>
        </w:r>
      </w:hyperlink>
    </w:p>
    <w:p>
      <w:pPr>
        <w:spacing w:after="0" w:line="154" w:lineRule="exact"/>
        <w:rPr>
          <w:sz w:val="20"/>
          <w:szCs w:val="20"/>
          <w:color w:val="auto"/>
        </w:rPr>
      </w:pPr>
    </w:p>
    <w:p>
      <w:pPr>
        <w:ind w:left="16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2</w:t>
        </w:r>
      </w:hyperlink>
    </w:p>
    <w:p>
      <w:pPr>
        <w:spacing w:after="0" w:line="248" w:lineRule="exact"/>
        <w:rPr>
          <w:sz w:val="20"/>
          <w:szCs w:val="20"/>
          <w:color w:val="auto"/>
        </w:rPr>
      </w:pPr>
    </w:p>
    <w:p>
      <w:pPr>
        <w:ind w:left="16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3</w:t>
        </w:r>
      </w:hyperlink>
    </w:p>
    <w:p>
      <w:pPr>
        <w:spacing w:after="0" w:line="248" w:lineRule="exact"/>
        <w:rPr>
          <w:sz w:val="20"/>
          <w:szCs w:val="20"/>
          <w:color w:val="auto"/>
        </w:rPr>
      </w:pPr>
    </w:p>
    <w:p>
      <w:pPr>
        <w:ind w:left="16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4</w:t>
        </w:r>
      </w:hyperlink>
    </w:p>
    <w:p>
      <w:pPr>
        <w:spacing w:after="0" w:line="248" w:lineRule="exact"/>
        <w:rPr>
          <w:sz w:val="20"/>
          <w:szCs w:val="20"/>
          <w:color w:val="auto"/>
        </w:rPr>
      </w:pPr>
    </w:p>
    <w:p>
      <w:pPr>
        <w:ind w:left="16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154" w:lineRule="exact"/>
        <w:rPr>
          <w:sz w:val="20"/>
          <w:szCs w:val="20"/>
          <w:color w:val="auto"/>
        </w:rPr>
      </w:pPr>
    </w:p>
    <w:p>
      <w:pPr>
        <w:ind w:left="16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6</w:t>
        </w:r>
      </w:hyperlink>
    </w:p>
    <w:p>
      <w:pPr>
        <w:spacing w:after="0" w:line="59" w:lineRule="exact"/>
        <w:rPr>
          <w:sz w:val="20"/>
          <w:szCs w:val="20"/>
          <w:color w:val="auto"/>
        </w:rPr>
      </w:pPr>
    </w:p>
    <w:p>
      <w:pPr>
        <w:ind w:left="120"/>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15</w:t>
        </w:r>
      </w:hyperlink>
    </w:p>
    <w:p>
      <w:pPr>
        <w:spacing w:after="0" w:line="59" w:lineRule="exact"/>
        <w:rPr>
          <w:sz w:val="20"/>
          <w:szCs w:val="20"/>
          <w:color w:val="auto"/>
        </w:rPr>
      </w:pPr>
    </w:p>
    <w:p>
      <w:pPr>
        <w:ind w:left="12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25</w:t>
        </w:r>
      </w:hyperlink>
    </w:p>
    <w:p>
      <w:pPr>
        <w:spacing w:after="0" w:line="59" w:lineRule="exact"/>
        <w:rPr>
          <w:sz w:val="20"/>
          <w:szCs w:val="20"/>
          <w:color w:val="auto"/>
        </w:rPr>
      </w:pPr>
    </w:p>
    <w:p>
      <w:pPr>
        <w:ind w:left="12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25</w:t>
        </w:r>
      </w:hyperlink>
    </w:p>
    <w:p>
      <w:pPr>
        <w:spacing w:after="0" w:line="104" w:lineRule="exact"/>
        <w:rPr>
          <w:sz w:val="20"/>
          <w:szCs w:val="20"/>
          <w:color w:val="auto"/>
        </w:rPr>
      </w:pPr>
    </w:p>
    <w:p>
      <w:pPr>
        <w:sectPr>
          <w:pgSz w:w="11900" w:h="16838" w:orient="portrait"/>
          <w:cols w:equalWidth="0" w:num="2">
            <w:col w:w="9540" w:space="720"/>
            <w:col w:w="980"/>
          </w:cols>
          <w:pgMar w:left="320" w:top="1440" w:right="339" w:bottom="1440" w:gutter="0" w:footer="0" w:header="0"/>
        </w:sectPr>
      </w:pPr>
    </w:p>
    <w:p>
      <w:pPr>
        <w:ind w:left="20"/>
        <w:spacing w:after="0"/>
        <w:rPr>
          <w:sz w:val="20"/>
          <w:szCs w:val="20"/>
          <w:color w:val="auto"/>
        </w:rPr>
      </w:pPr>
      <w:r>
        <w:rPr>
          <w:rFonts w:ascii="Arial" w:cs="Arial" w:eastAsia="Arial" w:hAnsi="Arial"/>
          <w:sz w:val="18"/>
          <w:szCs w:val="18"/>
          <w:b w:val="1"/>
          <w:bCs w:val="1"/>
          <w:u w:val="single" w:color="auto"/>
          <w:color w:val="0000FF"/>
        </w:rPr>
        <w:t>Part II. Other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0000FF"/>
            </w:tcBorders>
            <w:gridSpan w:val="2"/>
            <w:shd w:val="clear" w:color="auto" w:fill="CCEEFF"/>
          </w:tcPr>
          <w:p>
            <w:pP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Item 1</w:t>
              </w:r>
            </w:hyperlink>
          </w:p>
        </w:tc>
        <w:tc>
          <w:tcPr>
            <w:tcW w:w="640" w:type="dxa"/>
            <w:vAlign w:val="bottom"/>
            <w:tcBorders>
              <w:bottom w:val="single" w:sz="8" w:color="CCEEFF"/>
            </w:tcBorders>
            <w:gridSpan w:val="3"/>
            <w:shd w:val="clear" w:color="auto" w:fill="CCEEFF"/>
          </w:tcPr>
          <w:p>
            <w:pPr>
              <w:spacing w:after="0"/>
              <w:rPr>
                <w:sz w:val="19"/>
                <w:szCs w:val="19"/>
                <w:color w:val="auto"/>
              </w:rPr>
            </w:pPr>
          </w:p>
        </w:tc>
        <w:tc>
          <w:tcPr>
            <w:tcW w:w="1200" w:type="dxa"/>
            <w:vAlign w:val="bottom"/>
            <w:tcBorders>
              <w:bottom w:val="single" w:sz="8" w:color="0000FF"/>
            </w:tcBorders>
            <w:gridSpan w:val="4"/>
            <w:shd w:val="clear" w:color="auto" w:fill="CCEEFF"/>
          </w:tcPr>
          <w:p>
            <w:pP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Legal Proceedings</w:t>
              </w:r>
            </w:hyperlink>
          </w:p>
        </w:tc>
        <w:tc>
          <w:tcPr>
            <w:tcW w:w="7500" w:type="dxa"/>
            <w:vAlign w:val="bottom"/>
            <w:tcBorders>
              <w:bottom w:val="single" w:sz="8" w:color="CCEEFF"/>
            </w:tcBorders>
            <w:gridSpan w:val="4"/>
            <w:shd w:val="clear" w:color="auto" w:fill="CCEEFF"/>
          </w:tcPr>
          <w:p>
            <w:pPr>
              <w:spacing w:after="0"/>
              <w:rPr>
                <w:sz w:val="19"/>
                <w:szCs w:val="19"/>
                <w:color w:val="auto"/>
              </w:rPr>
            </w:pPr>
          </w:p>
        </w:tc>
        <w:tc>
          <w:tcPr>
            <w:tcW w:w="160" w:type="dxa"/>
            <w:vAlign w:val="bottom"/>
            <w:tcBorders>
              <w:bottom w:val="single" w:sz="8" w:color="0000FF"/>
            </w:tcBorders>
            <w:shd w:val="clear" w:color="auto" w:fill="CCEEFF"/>
          </w:tcPr>
          <w:p>
            <w:pPr>
              <w:jc w:val="right"/>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26</w:t>
              </w:r>
            </w:hyperlink>
          </w:p>
        </w:tc>
        <w:tc>
          <w:tcPr>
            <w:tcW w:w="70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1A</w:t>
              </w:r>
            </w:hyperlink>
          </w:p>
        </w:tc>
        <w:tc>
          <w:tcPr>
            <w:tcW w:w="8700" w:type="dxa"/>
            <w:vAlign w:val="bottom"/>
            <w:gridSpan w:val="8"/>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Risk Factors</w:t>
              </w:r>
            </w:hyperlink>
          </w:p>
        </w:tc>
        <w:tc>
          <w:tcPr>
            <w:tcW w:w="860" w:type="dxa"/>
            <w:vAlign w:val="bottom"/>
            <w:gridSpan w:val="2"/>
          </w:tcPr>
          <w:p>
            <w:pPr>
              <w:jc w:val="right"/>
              <w:ind w:right="70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26</w:t>
              </w:r>
            </w:hyperlink>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Item 2</w:t>
              </w:r>
            </w:hyperlink>
          </w:p>
        </w:tc>
        <w:tc>
          <w:tcPr>
            <w:tcW w:w="640" w:type="dxa"/>
            <w:vAlign w:val="bottom"/>
            <w:gridSpan w:val="3"/>
            <w:shd w:val="clear" w:color="auto" w:fill="CCEEFF"/>
          </w:tcPr>
          <w:p>
            <w:pPr>
              <w:spacing w:after="0"/>
              <w:rPr>
                <w:sz w:val="19"/>
                <w:szCs w:val="19"/>
                <w:color w:val="auto"/>
              </w:rPr>
            </w:pPr>
          </w:p>
        </w:tc>
        <w:tc>
          <w:tcPr>
            <w:tcW w:w="8700" w:type="dxa"/>
            <w:vAlign w:val="bottom"/>
            <w:gridSpan w:val="8"/>
            <w:shd w:val="clear" w:color="auto" w:fill="CCEEFF"/>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Unregistered Sales of Equity Securities and Use of Proceeds</w:t>
              </w:r>
            </w:hyperlink>
          </w:p>
        </w:tc>
        <w:tc>
          <w:tcPr>
            <w:tcW w:w="860" w:type="dxa"/>
            <w:vAlign w:val="bottom"/>
            <w:gridSpan w:val="2"/>
            <w:shd w:val="clear" w:color="auto" w:fill="CCEEFF"/>
          </w:tcPr>
          <w:p>
            <w:pPr>
              <w:jc w:val="right"/>
              <w:ind w:right="70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26</w:t>
              </w:r>
            </w:hyperlink>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2"/>
          </w:tcPr>
          <w:p>
            <w:pP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Item 3</w:t>
              </w:r>
            </w:hyperlink>
          </w:p>
        </w:tc>
        <w:tc>
          <w:tcPr>
            <w:tcW w:w="640" w:type="dxa"/>
            <w:vAlign w:val="bottom"/>
            <w:tcBorders>
              <w:top w:val="single" w:sz="8" w:color="CCEEFF"/>
            </w:tcBorders>
            <w:gridSpan w:val="3"/>
          </w:tcPr>
          <w:p>
            <w:pPr>
              <w:spacing w:after="0"/>
              <w:rPr>
                <w:sz w:val="16"/>
                <w:szCs w:val="16"/>
                <w:color w:val="auto"/>
              </w:rPr>
            </w:pPr>
          </w:p>
        </w:tc>
        <w:tc>
          <w:tcPr>
            <w:tcW w:w="3900" w:type="dxa"/>
            <w:vAlign w:val="bottom"/>
            <w:tcBorders>
              <w:top w:val="single" w:sz="8" w:color="0000FF"/>
            </w:tcBorders>
            <w:gridSpan w:val="7"/>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Defaults upon Senior Securities</w:t>
              </w:r>
            </w:hyperlink>
          </w:p>
        </w:tc>
        <w:tc>
          <w:tcPr>
            <w:tcW w:w="4800" w:type="dxa"/>
            <w:vAlign w:val="bottom"/>
            <w:tcBorders>
              <w:top w:val="single" w:sz="8" w:color="CCEEFF"/>
            </w:tcBorders>
          </w:tcPr>
          <w:p>
            <w:pPr>
              <w:spacing w:after="0"/>
              <w:rPr>
                <w:sz w:val="16"/>
                <w:szCs w:val="16"/>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26</w:t>
              </w:r>
            </w:hyperlink>
          </w:p>
        </w:tc>
        <w:tc>
          <w:tcPr>
            <w:tcW w:w="70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Item 4</w:t>
              </w:r>
            </w:hyperlink>
          </w:p>
        </w:tc>
        <w:tc>
          <w:tcPr>
            <w:tcW w:w="640" w:type="dxa"/>
            <w:vAlign w:val="bottom"/>
            <w:gridSpan w:val="3"/>
            <w:shd w:val="clear" w:color="auto" w:fill="CCEEFF"/>
          </w:tcPr>
          <w:p>
            <w:pPr>
              <w:spacing w:after="0"/>
              <w:rPr>
                <w:sz w:val="19"/>
                <w:szCs w:val="19"/>
                <w:color w:val="auto"/>
              </w:rPr>
            </w:pPr>
          </w:p>
        </w:tc>
        <w:tc>
          <w:tcPr>
            <w:tcW w:w="8700" w:type="dxa"/>
            <w:vAlign w:val="bottom"/>
            <w:gridSpan w:val="8"/>
            <w:shd w:val="clear" w:color="auto" w:fill="CCEEFF"/>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Mine Safety Disclosures</w:t>
              </w:r>
            </w:hyperlink>
          </w:p>
        </w:tc>
        <w:tc>
          <w:tcPr>
            <w:tcW w:w="860" w:type="dxa"/>
            <w:vAlign w:val="bottom"/>
            <w:gridSpan w:val="2"/>
            <w:shd w:val="clear" w:color="auto" w:fill="CCEEFF"/>
          </w:tcPr>
          <w:p>
            <w:pPr>
              <w:jc w:val="right"/>
              <w:ind w:right="70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26</w:t>
              </w:r>
            </w:hyperlink>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2"/>
          </w:tcPr>
          <w:p>
            <w:pP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Item 5</w:t>
              </w:r>
            </w:hyperlink>
          </w:p>
        </w:tc>
        <w:tc>
          <w:tcPr>
            <w:tcW w:w="640" w:type="dxa"/>
            <w:vAlign w:val="bottom"/>
            <w:tcBorders>
              <w:top w:val="single" w:sz="8" w:color="CCEEFF"/>
            </w:tcBorders>
            <w:gridSpan w:val="3"/>
          </w:tcPr>
          <w:p>
            <w:pPr>
              <w:spacing w:after="0"/>
              <w:rPr>
                <w:sz w:val="16"/>
                <w:szCs w:val="16"/>
                <w:color w:val="auto"/>
              </w:rPr>
            </w:pPr>
          </w:p>
        </w:tc>
        <w:tc>
          <w:tcPr>
            <w:tcW w:w="1580" w:type="dxa"/>
            <w:vAlign w:val="bottom"/>
            <w:tcBorders>
              <w:top w:val="single" w:sz="8" w:color="0000FF"/>
            </w:tcBorders>
            <w:gridSpan w:val="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Other Information</w:t>
              </w:r>
            </w:hyperlink>
          </w:p>
        </w:tc>
        <w:tc>
          <w:tcPr>
            <w:tcW w:w="712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26</w:t>
              </w:r>
            </w:hyperlink>
          </w:p>
        </w:tc>
        <w:tc>
          <w:tcPr>
            <w:tcW w:w="70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6</w:t>
              </w:r>
            </w:hyperlink>
          </w:p>
        </w:tc>
        <w:tc>
          <w:tcPr>
            <w:tcW w:w="8700" w:type="dxa"/>
            <w:vAlign w:val="bottom"/>
            <w:gridSpan w:val="8"/>
            <w:shd w:val="clear" w:color="auto" w:fill="CCEEFF"/>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Exhibits</w:t>
              </w:r>
            </w:hyperlink>
          </w:p>
        </w:tc>
        <w:tc>
          <w:tcPr>
            <w:tcW w:w="860" w:type="dxa"/>
            <w:vAlign w:val="bottom"/>
            <w:gridSpan w:val="2"/>
            <w:shd w:val="clear" w:color="auto" w:fill="CCEEFF"/>
          </w:tcPr>
          <w:p>
            <w:pPr>
              <w:jc w:val="right"/>
              <w:ind w:right="70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27</w:t>
              </w:r>
            </w:hyperlink>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4800" w:type="dxa"/>
            <w:vAlign w:val="bottom"/>
            <w:tcBorders>
              <w:top w:val="single" w:sz="8" w:color="CCEE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660" w:type="dxa"/>
            <w:vAlign w:val="bottom"/>
            <w:gridSpan w:val="6"/>
            <w:shd w:val="clear" w:color="auto" w:fill="CCEEFF"/>
          </w:tcPr>
          <w:p>
            <w:pPr>
              <w:spacing w:after="0" w:line="202" w:lineRule="exact"/>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Signatures</w:t>
              </w:r>
            </w:hyperlink>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700"/>
              <w:spacing w:after="0"/>
              <w:rPr>
                <w:rFonts w:ascii="Arial" w:cs="Arial" w:eastAsia="Arial" w:hAnsi="Arial"/>
                <w:sz w:val="16"/>
                <w:szCs w:val="16"/>
                <w:color w:val="0000FF"/>
                <w:w w:val="78"/>
              </w:rPr>
            </w:pPr>
            <w:hyperlink w:anchor="page30">
              <w:r>
                <w:rPr>
                  <w:rFonts w:ascii="Arial" w:cs="Arial" w:eastAsia="Arial" w:hAnsi="Arial"/>
                  <w:sz w:val="16"/>
                  <w:szCs w:val="16"/>
                  <w:color w:val="0000FF"/>
                  <w:w w:val="78"/>
                </w:rPr>
                <w:t>28</w:t>
              </w:r>
            </w:hyperlink>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4800" w:type="dxa"/>
            <w:vAlign w:val="bottom"/>
            <w:tcBorders>
              <w:top w:val="single" w:sz="8" w:color="CCEE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66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b w:val="1"/>
                <w:bCs w:val="1"/>
                <w:color w:val="0000FF"/>
              </w:rPr>
              <w:t>Certifications</w:t>
            </w: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1154"/>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860" w:type="dxa"/>
            <w:vAlign w:val="bottom"/>
            <w:tcBorders>
              <w:top w:val="single" w:sz="8" w:color="CCEEFF"/>
              <w:bottom w:val="single" w:sz="8" w:color="9A9A9A"/>
            </w:tcBorders>
          </w:tcPr>
          <w:p>
            <w:pPr>
              <w:spacing w:after="0"/>
              <w:rPr>
                <w:sz w:val="24"/>
                <w:szCs w:val="24"/>
                <w:color w:val="auto"/>
              </w:rPr>
            </w:pPr>
          </w:p>
        </w:tc>
        <w:tc>
          <w:tcPr>
            <w:tcW w:w="48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 2021</w:t>
            </w:r>
          </w:p>
        </w:tc>
        <w:tc>
          <w:tcPr>
            <w:tcW w:w="24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2021</w:t>
            </w:r>
          </w:p>
        </w:tc>
        <w:tc>
          <w:tcPr>
            <w:tcW w:w="240" w:type="dxa"/>
            <w:vAlign w:val="bottom"/>
          </w:tcPr>
          <w:p>
            <w:pPr>
              <w:spacing w:after="0"/>
              <w:rPr>
                <w:sz w:val="19"/>
                <w:szCs w:val="19"/>
                <w:color w:val="auto"/>
              </w:rPr>
            </w:pPr>
          </w:p>
        </w:tc>
        <w:tc>
          <w:tcPr>
            <w:tcW w:w="162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28, 2020</w:t>
            </w: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3"/>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1,053,690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1,102,323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759,100</w:t>
            </w:r>
          </w:p>
        </w:tc>
      </w:tr>
      <w:tr>
        <w:trPr>
          <w:trHeight w:val="206"/>
        </w:trPr>
        <w:tc>
          <w:tcPr>
            <w:tcW w:w="5460" w:type="dxa"/>
            <w:vAlign w:val="bottom"/>
          </w:tcPr>
          <w:p>
            <w:pPr>
              <w:ind w:left="140"/>
              <w:spacing w:after="0"/>
              <w:rPr>
                <w:sz w:val="20"/>
                <w:szCs w:val="20"/>
                <w:color w:val="auto"/>
              </w:rPr>
            </w:pPr>
            <w:r>
              <w:rPr>
                <w:rFonts w:ascii="Arial" w:cs="Arial" w:eastAsia="Arial" w:hAnsi="Arial"/>
                <w:sz w:val="16"/>
                <w:szCs w:val="16"/>
                <w:color w:val="auto"/>
                <w:w w:val="96"/>
              </w:rPr>
              <w:t>Accounts receivable, net of allowance for credit losses of $6,695, $5,940, and</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5460" w:type="dxa"/>
            <w:vAlign w:val="bottom"/>
          </w:tcPr>
          <w:p>
            <w:pPr>
              <w:ind w:left="140"/>
              <w:spacing w:after="0"/>
              <w:rPr>
                <w:sz w:val="20"/>
                <w:szCs w:val="20"/>
                <w:color w:val="auto"/>
              </w:rPr>
            </w:pPr>
            <w:r>
              <w:rPr>
                <w:rFonts w:ascii="Arial" w:cs="Arial" w:eastAsia="Arial" w:hAnsi="Arial"/>
                <w:sz w:val="16"/>
                <w:szCs w:val="16"/>
                <w:color w:val="auto"/>
              </w:rPr>
              <w:t>$10,620, respectively</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240,212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186,512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221,884</w:t>
            </w:r>
          </w:p>
        </w:tc>
      </w:tr>
      <w:tr>
        <w:trPr>
          <w:trHeight w:val="216"/>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Finished goods inventories, net of inventory reserves of $15,581, $14,206, and</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$35,597, respectively</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560,683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565,932</w:t>
            </w:r>
          </w:p>
        </w:tc>
      </w:tr>
      <w:tr>
        <w:trPr>
          <w:trHeight w:val="237"/>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63,290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57,927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43,349</w:t>
            </w:r>
          </w:p>
        </w:tc>
      </w:tr>
      <w:tr>
        <w:trPr>
          <w:trHeight w:val="243"/>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1,917,875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1,946,024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1,590,265</w:t>
            </w:r>
          </w:p>
        </w:tc>
      </w:tr>
      <w:tr>
        <w:trPr>
          <w:trHeight w:val="206"/>
        </w:trPr>
        <w:tc>
          <w:tcPr>
            <w:tcW w:w="5460" w:type="dxa"/>
            <w:vAlign w:val="bottom"/>
          </w:tcPr>
          <w:p>
            <w:pPr>
              <w:ind w:left="20"/>
              <w:spacing w:after="0"/>
              <w:rPr>
                <w:sz w:val="20"/>
                <w:szCs w:val="20"/>
                <w:color w:val="auto"/>
              </w:rPr>
            </w:pPr>
            <w:r>
              <w:rPr>
                <w:rFonts w:ascii="Arial" w:cs="Arial" w:eastAsia="Arial" w:hAnsi="Arial"/>
                <w:sz w:val="16"/>
                <w:szCs w:val="16"/>
                <w:color w:val="auto"/>
                <w:w w:val="98"/>
              </w:rPr>
              <w:t>Property, plant, and equipment, net of accumulated depreciation of $557,608,</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6"/>
                <w:szCs w:val="16"/>
                <w:color w:val="auto"/>
              </w:rPr>
              <w:t>$583,980, and $542,158, respectively</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248,799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262,345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303,919</w:t>
            </w:r>
          </w:p>
        </w:tc>
      </w:tr>
      <w:tr>
        <w:trPr>
          <w:trHeight w:val="25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559,391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673,301</w:t>
            </w: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color w:val="auto"/>
              </w:rPr>
              <w:t>Tradenames, net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307,830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307,893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308,080</w:t>
            </w:r>
          </w:p>
        </w:tc>
      </w:tr>
      <w:tr>
        <w:trPr>
          <w:trHeight w:val="25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207,720</w:t>
            </w: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36,596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37,510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39,785</w:t>
            </w:r>
          </w:p>
        </w:tc>
      </w:tr>
      <w:tr>
        <w:trPr>
          <w:trHeight w:val="24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34,024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30,435</w:t>
            </w:r>
          </w:p>
        </w:tc>
      </w:tr>
      <w:tr>
        <w:trPr>
          <w:trHeight w:val="243"/>
        </w:trPr>
        <w:tc>
          <w:tcPr>
            <w:tcW w:w="546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3,310,473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3,392,580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3,153,505</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29"/>
        </w:trPr>
        <w:tc>
          <w:tcPr>
            <w:tcW w:w="5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3"/>
        </w:trPr>
        <w:tc>
          <w:tcPr>
            <w:tcW w:w="54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334,831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472,140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187,199</w:t>
            </w:r>
          </w:p>
        </w:tc>
      </w:tr>
      <w:tr>
        <w:trPr>
          <w:trHeight w:val="253"/>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operating lease liabilities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161,341</w:t>
            </w:r>
          </w:p>
        </w:tc>
      </w:tr>
      <w:tr>
        <w:trPr>
          <w:trHeight w:val="236"/>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149,911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135,240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79,135</w:t>
            </w:r>
          </w:p>
        </w:tc>
      </w:tr>
      <w:tr>
        <w:trPr>
          <w:trHeight w:val="243"/>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792,532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427,675</w:t>
            </w: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989,980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989,530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1,238,822</w:t>
            </w:r>
          </w:p>
        </w:tc>
      </w:tr>
      <w:tr>
        <w:trPr>
          <w:trHeight w:val="25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65,260</w:t>
            </w: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517,875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554,497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647,334</w:t>
            </w:r>
          </w:p>
        </w:tc>
      </w:tr>
      <w:tr>
        <w:trPr>
          <w:trHeight w:val="24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59,160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65,218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58,412</w:t>
            </w:r>
          </w:p>
        </w:tc>
      </w:tr>
      <w:tr>
        <w:trPr>
          <w:trHeight w:val="233"/>
        </w:trPr>
        <w:tc>
          <w:tcPr>
            <w:tcW w:w="5460" w:type="dxa"/>
            <w:vAlign w:val="bottom"/>
          </w:tcPr>
          <w:p>
            <w:pPr>
              <w:ind w:left="560"/>
              <w:spacing w:after="0"/>
              <w:rPr>
                <w:sz w:val="20"/>
                <w:szCs w:val="20"/>
                <w:color w:val="auto"/>
              </w:rPr>
            </w:pPr>
            <w:r>
              <w:rPr>
                <w:rFonts w:ascii="Arial" w:cs="Arial" w:eastAsia="Arial" w:hAnsi="Arial"/>
                <w:sz w:val="16"/>
                <w:szCs w:val="16"/>
                <w:color w:val="auto"/>
              </w:rPr>
              <w:t>Total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2,280,864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2,454,547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2,437,503</w:t>
            </w:r>
          </w:p>
        </w:tc>
      </w:tr>
      <w:tr>
        <w:trPr>
          <w:trHeight w:val="172"/>
        </w:trPr>
        <w:tc>
          <w:tcPr>
            <w:tcW w:w="5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color w:val="auto"/>
              </w:rPr>
              <w:t>Commitments and contingencies - Note 14</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72"/>
        </w:trPr>
        <w:tc>
          <w:tcPr>
            <w:tcW w:w="5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Preferred stock; par value $0.01 per share;100,000 shares authorized; none issued</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 outstanding at April 3, 2021, January 2, 2021, and March 28,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460" w:type="dxa"/>
            <w:vAlign w:val="bottom"/>
          </w:tcPr>
          <w:p>
            <w:pPr>
              <w:ind w:left="20"/>
              <w:spacing w:after="0"/>
              <w:rPr>
                <w:sz w:val="20"/>
                <w:szCs w:val="20"/>
                <w:color w:val="auto"/>
              </w:rPr>
            </w:pPr>
            <w:r>
              <w:rPr>
                <w:rFonts w:ascii="Arial" w:cs="Arial" w:eastAsia="Arial" w:hAnsi="Arial"/>
                <w:sz w:val="16"/>
                <w:szCs w:val="16"/>
                <w:color w:val="auto"/>
                <w:w w:val="92"/>
              </w:rPr>
              <w:t>Common stock, voting; par value $0.01 per share; 150,000,000 shares authorized;</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6"/>
                <w:szCs w:val="16"/>
                <w:color w:val="auto"/>
                <w:w w:val="93"/>
              </w:rPr>
              <w:t>43,947,659, 43,780,075 and 43,610,725 shares issued and outstanding at April 3,</w:t>
            </w: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6"/>
                <w:szCs w:val="16"/>
                <w:color w:val="auto"/>
              </w:rPr>
              <w:t>2021, January 2, 2021, and March 28, 2020, respectively</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5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(31,534)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(48,626)</w:t>
            </w:r>
          </w:p>
        </w:tc>
      </w:tr>
      <w:tr>
        <w:trPr>
          <w:trHeight w:val="24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1,038,799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952,603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764,192</w:t>
            </w:r>
          </w:p>
        </w:tc>
      </w:tr>
      <w:tr>
        <w:trPr>
          <w:trHeight w:val="236"/>
        </w:trPr>
        <w:tc>
          <w:tcPr>
            <w:tcW w:w="54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1,029,609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938,033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716,002</w:t>
            </w:r>
          </w:p>
        </w:tc>
      </w:tr>
      <w:tr>
        <w:trPr>
          <w:trHeight w:val="268"/>
        </w:trPr>
        <w:tc>
          <w:tcPr>
            <w:tcW w:w="5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3,310,473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3,392,580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3,153,505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823"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Fiscal quarter ended</w:t>
            </w:r>
          </w:p>
        </w:tc>
      </w:tr>
      <w:tr>
        <w:trPr>
          <w:trHeight w:val="237"/>
        </w:trPr>
        <w:tc>
          <w:tcPr>
            <w:tcW w:w="7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 2021</w:t>
            </w:r>
          </w:p>
        </w:tc>
        <w:tc>
          <w:tcPr>
            <w:tcW w:w="240" w:type="dxa"/>
            <w:vAlign w:val="bottom"/>
          </w:tcPr>
          <w:p>
            <w:pPr>
              <w:spacing w:after="0"/>
              <w:rPr>
                <w:sz w:val="20"/>
                <w:szCs w:val="20"/>
                <w:color w:val="auto"/>
              </w:rPr>
            </w:pPr>
          </w:p>
        </w:tc>
        <w:tc>
          <w:tcPr>
            <w:tcW w:w="162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28, 2020</w:t>
            </w:r>
          </w:p>
        </w:tc>
      </w:tr>
      <w:tr>
        <w:trPr>
          <w:trHeight w:val="24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787,361</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654,473</w:t>
            </w: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401,731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403,373</w:t>
            </w:r>
          </w:p>
        </w:tc>
      </w:tr>
      <w:tr>
        <w:trPr>
          <w:trHeight w:val="24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Adverse purchase commitments (inventory and raw materials), net</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22,837</w:t>
            </w: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391,960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228,263</w:t>
            </w:r>
          </w:p>
        </w:tc>
      </w:tr>
      <w:tr>
        <w:trPr>
          <w:trHeight w:val="25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7,338</w:t>
            </w: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271,927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269,837</w:t>
            </w:r>
          </w:p>
        </w:tc>
      </w:tr>
      <w:tr>
        <w:trPr>
          <w:trHeight w:val="25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3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w:t>
            </w: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Intangible asset impairment</w:t>
            </w:r>
          </w:p>
        </w:tc>
        <w:tc>
          <w:tcPr>
            <w:tcW w:w="30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26,500</w:t>
            </w:r>
          </w:p>
        </w:tc>
      </w:tr>
      <w:tr>
        <w:trPr>
          <w:trHeight w:val="24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127,496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(78,478)</w:t>
            </w: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15,348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8,864</w:t>
            </w:r>
          </w:p>
        </w:tc>
      </w:tr>
      <w:tr>
        <w:trPr>
          <w:trHeight w:val="25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36"/>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4,818</w:t>
            </w: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(91,696)</w:t>
            </w:r>
          </w:p>
        </w:tc>
      </w:tr>
      <w:tr>
        <w:trPr>
          <w:trHeight w:val="237"/>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(13,002)</w:t>
            </w: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(78,694)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(loss) per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5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Fiscal quarter ended</w:t>
            </w:r>
          </w:p>
        </w:tc>
      </w:tr>
      <w:tr>
        <w:trPr>
          <w:trHeight w:val="237"/>
        </w:trPr>
        <w:tc>
          <w:tcPr>
            <w:tcW w:w="7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 2021</w:t>
            </w:r>
          </w:p>
        </w:tc>
        <w:tc>
          <w:tcPr>
            <w:tcW w:w="240" w:type="dxa"/>
            <w:vAlign w:val="bottom"/>
          </w:tcPr>
          <w:p>
            <w:pPr>
              <w:spacing w:after="0"/>
              <w:rPr>
                <w:sz w:val="20"/>
                <w:szCs w:val="20"/>
                <w:color w:val="auto"/>
              </w:rPr>
            </w:pPr>
          </w:p>
        </w:tc>
        <w:tc>
          <w:tcPr>
            <w:tcW w:w="162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28, 2020</w:t>
            </w:r>
          </w:p>
        </w:tc>
      </w:tr>
      <w:tr>
        <w:trPr>
          <w:trHeight w:val="24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86,196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(78,694)</w:t>
            </w: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6"/>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(12,992)</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87,422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(91,686)</w:t>
            </w:r>
          </w:p>
        </w:tc>
      </w:tr>
      <w:tr>
        <w:trPr>
          <w:trHeight w:val="21"/>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Common stock</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Common stock</w:t>
            </w:r>
          </w:p>
        </w:tc>
        <w:tc>
          <w:tcPr>
            <w:tcW w:w="14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60" w:type="dxa"/>
            <w:vAlign w:val="bottom"/>
            <w:gridSpan w:val="5"/>
          </w:tcPr>
          <w:p>
            <w:pPr>
              <w:ind w:left="60"/>
              <w:spacing w:after="0"/>
              <w:rPr>
                <w:sz w:val="20"/>
                <w:szCs w:val="20"/>
                <w:color w:val="auto"/>
              </w:rPr>
            </w:pPr>
            <w:r>
              <w:rPr>
                <w:rFonts w:ascii="Arial" w:cs="Arial" w:eastAsia="Arial" w:hAnsi="Arial"/>
                <w:sz w:val="16"/>
                <w:szCs w:val="16"/>
                <w:b w:val="1"/>
                <w:bCs w:val="1"/>
                <w:color w:val="auto"/>
              </w:rPr>
              <w:t>Accumulated other</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40" w:type="dxa"/>
            <w:vAlign w:val="bottom"/>
            <w:gridSpan w:val="4"/>
          </w:tcPr>
          <w:p>
            <w:pPr>
              <w:jc w:val="center"/>
              <w:ind w:right="120"/>
              <w:spacing w:after="0" w:line="175" w:lineRule="exact"/>
              <w:rPr>
                <w:sz w:val="20"/>
                <w:szCs w:val="20"/>
                <w:color w:val="auto"/>
              </w:rPr>
            </w:pPr>
            <w:r>
              <w:rPr>
                <w:rFonts w:ascii="Arial" w:cs="Arial" w:eastAsia="Arial" w:hAnsi="Arial"/>
                <w:sz w:val="16"/>
                <w:szCs w:val="16"/>
                <w:b w:val="1"/>
                <w:bCs w:val="1"/>
                <w:color w:val="auto"/>
                <w:w w:val="92"/>
              </w:rPr>
              <w:t>paid-in capital</w:t>
            </w:r>
          </w:p>
        </w:tc>
        <w:tc>
          <w:tcPr>
            <w:tcW w:w="1560" w:type="dxa"/>
            <w:vAlign w:val="bottom"/>
            <w:gridSpan w:val="5"/>
          </w:tcPr>
          <w:p>
            <w:pPr>
              <w:ind w:left="60"/>
              <w:spacing w:after="0" w:line="175" w:lineRule="exact"/>
              <w:rPr>
                <w:sz w:val="20"/>
                <w:szCs w:val="20"/>
                <w:color w:val="auto"/>
              </w:rPr>
            </w:pPr>
            <w:r>
              <w:rPr>
                <w:rFonts w:ascii="Arial" w:cs="Arial" w:eastAsia="Arial" w:hAnsi="Arial"/>
                <w:sz w:val="16"/>
                <w:szCs w:val="16"/>
                <w:b w:val="1"/>
                <w:bCs w:val="1"/>
                <w:color w:val="auto"/>
                <w:w w:val="96"/>
              </w:rPr>
              <w:t>comprehensive loss</w:t>
            </w:r>
          </w:p>
        </w:tc>
        <w:tc>
          <w:tcPr>
            <w:tcW w:w="180" w:type="dxa"/>
            <w:vAlign w:val="bottom"/>
          </w:tcPr>
          <w:p>
            <w:pPr>
              <w:spacing w:after="0"/>
              <w:rPr>
                <w:sz w:val="15"/>
                <w:szCs w:val="15"/>
                <w:color w:val="auto"/>
              </w:rPr>
            </w:pPr>
          </w:p>
        </w:tc>
        <w:tc>
          <w:tcPr>
            <w:tcW w:w="106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5"/>
                <w:szCs w:val="15"/>
                <w:color w:val="auto"/>
              </w:rPr>
            </w:pPr>
          </w:p>
        </w:tc>
        <w:tc>
          <w:tcPr>
            <w:tcW w:w="116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 shares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5"/>
              </w:rPr>
              <w:t>-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43,963,103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880,130</w:t>
            </w:r>
          </w:p>
        </w:tc>
        <w:tc>
          <w:tcPr>
            <w:tcW w:w="0" w:type="dxa"/>
            <w:vAlign w:val="bottom"/>
          </w:tcPr>
          <w:p>
            <w:pPr>
              <w:spacing w:after="0"/>
              <w:rPr>
                <w:sz w:val="1"/>
                <w:szCs w:val="1"/>
                <w:color w:val="auto"/>
              </w:rPr>
            </w:pPr>
          </w:p>
        </w:tc>
      </w:tr>
      <w:tr>
        <w:trPr>
          <w:trHeight w:val="233"/>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33,158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Withholdings from vesting</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0" w:type="dxa"/>
            <w:vAlign w:val="bottom"/>
          </w:tcPr>
          <w:p>
            <w:pPr>
              <w:spacing w:after="0"/>
              <w:rPr>
                <w:sz w:val="1"/>
                <w:szCs w:val="1"/>
                <w:color w:val="auto"/>
              </w:rPr>
            </w:pPr>
          </w:p>
        </w:tc>
      </w:tr>
      <w:tr>
        <w:trPr>
          <w:trHeight w:val="23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132,759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233"/>
        </w:trPr>
        <w:tc>
          <w:tcPr>
            <w:tcW w:w="34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(474,684)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(45,255)</w:t>
            </w:r>
          </w:p>
        </w:tc>
        <w:tc>
          <w:tcPr>
            <w:tcW w:w="0" w:type="dxa"/>
            <w:vAlign w:val="bottom"/>
          </w:tcPr>
          <w:p>
            <w:pPr>
              <w:spacing w:after="0"/>
              <w:rPr>
                <w:sz w:val="1"/>
                <w:szCs w:val="1"/>
                <w:color w:val="auto"/>
              </w:rPr>
            </w:pPr>
          </w:p>
        </w:tc>
      </w:tr>
      <w:tr>
        <w:trPr>
          <w:trHeight w:val="25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and paid</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(78,694)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(91,686)</w:t>
            </w:r>
          </w:p>
        </w:tc>
        <w:tc>
          <w:tcPr>
            <w:tcW w:w="0" w:type="dxa"/>
            <w:vAlign w:val="bottom"/>
          </w:tcPr>
          <w:p>
            <w:pPr>
              <w:spacing w:after="0"/>
              <w:rPr>
                <w:sz w:val="1"/>
                <w:szCs w:val="1"/>
                <w:color w:val="auto"/>
              </w:rPr>
            </w:pPr>
          </w:p>
        </w:tc>
      </w:tr>
      <w:tr>
        <w:trPr>
          <w:trHeight w:val="26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28, 2020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43,610,725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(48,626)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764,192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716,002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6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w w:val="93"/>
              </w:rPr>
              <w:t>Accumulated other</w:t>
            </w:r>
          </w:p>
        </w:tc>
        <w:tc>
          <w:tcPr>
            <w:tcW w:w="18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24"/>
                <w:szCs w:val="24"/>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Common stock</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Common stock</w:t>
            </w: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paid-in capital</w:t>
            </w:r>
          </w:p>
        </w:tc>
        <w:tc>
          <w:tcPr>
            <w:tcW w:w="156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w w:val="88"/>
              </w:rPr>
              <w:t>comprehensive loss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 shares</w:t>
            </w:r>
          </w:p>
        </w:tc>
        <w:tc>
          <w:tcPr>
            <w:tcW w:w="280" w:type="dxa"/>
            <w:vAlign w:val="bottom"/>
          </w:tcPr>
          <w:p>
            <w:pPr>
              <w:spacing w:after="0"/>
              <w:rPr>
                <w:sz w:val="19"/>
                <w:szCs w:val="19"/>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auto"/>
                <w:w w:val="85"/>
              </w:rPr>
              <w:t>-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43"/>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43,780,075</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17,752</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(32,760)</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952,603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938,033</w:t>
            </w:r>
          </w:p>
        </w:tc>
        <w:tc>
          <w:tcPr>
            <w:tcW w:w="0" w:type="dxa"/>
            <w:vAlign w:val="bottom"/>
          </w:tcPr>
          <w:p>
            <w:pPr>
              <w:spacing w:after="0"/>
              <w:rPr>
                <w:sz w:val="1"/>
                <w:szCs w:val="1"/>
                <w:color w:val="auto"/>
              </w:rPr>
            </w:pPr>
          </w:p>
        </w:tc>
      </w:tr>
      <w:tr>
        <w:trPr>
          <w:trHeight w:val="233"/>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12,065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Withholdings from vesting</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0" w:type="dxa"/>
            <w:vAlign w:val="bottom"/>
          </w:tcPr>
          <w:p>
            <w:pPr>
              <w:spacing w:after="0"/>
              <w:rPr>
                <w:sz w:val="1"/>
                <w:szCs w:val="1"/>
                <w:color w:val="auto"/>
              </w:rPr>
            </w:pPr>
          </w:p>
        </w:tc>
      </w:tr>
      <w:tr>
        <w:trPr>
          <w:trHeight w:val="23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192,963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0" w:type="dxa"/>
            <w:vAlign w:val="bottom"/>
          </w:tcPr>
          <w:p>
            <w:pPr>
              <w:spacing w:after="0"/>
              <w:rPr>
                <w:sz w:val="1"/>
                <w:szCs w:val="1"/>
                <w:color w:val="auto"/>
              </w:rPr>
            </w:pPr>
          </w:p>
        </w:tc>
      </w:tr>
      <w:tr>
        <w:trPr>
          <w:trHeight w:val="237"/>
        </w:trPr>
        <w:tc>
          <w:tcPr>
            <w:tcW w:w="34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87,422</w:t>
            </w:r>
          </w:p>
        </w:tc>
        <w:tc>
          <w:tcPr>
            <w:tcW w:w="0" w:type="dxa"/>
            <w:vAlign w:val="bottom"/>
          </w:tcPr>
          <w:p>
            <w:pPr>
              <w:spacing w:after="0"/>
              <w:rPr>
                <w:sz w:val="1"/>
                <w:szCs w:val="1"/>
                <w:color w:val="auto"/>
              </w:rPr>
            </w:pPr>
          </w:p>
        </w:tc>
      </w:tr>
      <w:tr>
        <w:trPr>
          <w:trHeight w:val="26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April 3,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43,947,659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21,904</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(31,534)</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1,038,799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1,029,609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Fiscal quarter ended</w:t>
            </w:r>
          </w:p>
        </w:tc>
      </w:tr>
      <w:tr>
        <w:trPr>
          <w:trHeight w:val="237"/>
        </w:trPr>
        <w:tc>
          <w:tcPr>
            <w:tcW w:w="7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 2021</w:t>
            </w:r>
          </w:p>
        </w:tc>
        <w:tc>
          <w:tcPr>
            <w:tcW w:w="240" w:type="dxa"/>
            <w:vAlign w:val="bottom"/>
          </w:tcPr>
          <w:p>
            <w:pPr>
              <w:spacing w:after="0"/>
              <w:rPr>
                <w:sz w:val="20"/>
                <w:szCs w:val="20"/>
                <w:color w:val="auto"/>
              </w:rPr>
            </w:pPr>
          </w:p>
        </w:tc>
        <w:tc>
          <w:tcPr>
            <w:tcW w:w="162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28, 2020</w:t>
            </w:r>
          </w:p>
        </w:tc>
      </w:tr>
      <w:tr>
        <w:trPr>
          <w:trHeight w:val="22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33"/>
        </w:trPr>
        <w:tc>
          <w:tcPr>
            <w:tcW w:w="740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86,196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(78,694)</w:t>
            </w:r>
          </w:p>
        </w:tc>
      </w:tr>
      <w:tr>
        <w:trPr>
          <w:trHeight w:val="253"/>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3"/>
        </w:trPr>
        <w:tc>
          <w:tcPr>
            <w:tcW w:w="7400" w:type="dxa"/>
            <w:vAlign w:val="bottom"/>
          </w:tcPr>
          <w:p>
            <w:pPr>
              <w:ind w:left="36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23,183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22,433</w:t>
            </w:r>
          </w:p>
        </w:tc>
      </w:tr>
      <w:tr>
        <w:trPr>
          <w:trHeight w:val="253"/>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233"/>
        </w:trPr>
        <w:tc>
          <w:tcPr>
            <w:tcW w:w="7400" w:type="dxa"/>
            <w:vAlign w:val="bottom"/>
          </w:tcPr>
          <w:p>
            <w:pPr>
              <w:ind w:left="360"/>
              <w:spacing w:after="0"/>
              <w:rPr>
                <w:sz w:val="20"/>
                <w:szCs w:val="20"/>
                <w:color w:val="auto"/>
              </w:rPr>
            </w:pPr>
            <w:r>
              <w:rPr>
                <w:rFonts w:ascii="Arial" w:cs="Arial" w:eastAsia="Arial" w:hAnsi="Arial"/>
                <w:sz w:val="16"/>
                <w:szCs w:val="16"/>
                <w:color w:val="auto"/>
              </w:rPr>
              <w:t>Provisions for excess and obsolete inventory, net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26,596</w:t>
            </w:r>
          </w:p>
        </w:tc>
      </w:tr>
      <w:tr>
        <w:trPr>
          <w:trHeight w:val="253"/>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 impairment</w:t>
            </w:r>
          </w:p>
        </w:tc>
        <w:tc>
          <w:tcPr>
            <w:tcW w:w="3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w:t>
            </w:r>
          </w:p>
        </w:tc>
      </w:tr>
      <w:tr>
        <w:trPr>
          <w:trHeight w:val="233"/>
        </w:trPr>
        <w:tc>
          <w:tcPr>
            <w:tcW w:w="7400" w:type="dxa"/>
            <w:vAlign w:val="bottom"/>
          </w:tcPr>
          <w:p>
            <w:pPr>
              <w:ind w:left="360"/>
              <w:spacing w:after="0"/>
              <w:rPr>
                <w:sz w:val="20"/>
                <w:szCs w:val="20"/>
                <w:color w:val="auto"/>
              </w:rPr>
            </w:pPr>
            <w:r>
              <w:rPr>
                <w:rFonts w:ascii="Arial" w:cs="Arial" w:eastAsia="Arial" w:hAnsi="Arial"/>
                <w:sz w:val="16"/>
                <w:szCs w:val="16"/>
                <w:color w:val="auto"/>
              </w:rPr>
              <w:t>Intangible asset impairments</w:t>
            </w:r>
          </w:p>
        </w:tc>
        <w:tc>
          <w:tcPr>
            <w:tcW w:w="30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26,500</w:t>
            </w:r>
          </w:p>
        </w:tc>
      </w:tr>
      <w:tr>
        <w:trPr>
          <w:trHeight w:val="253"/>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Other asset impairments and (gain) loss on disposal of property, plant and equipment, net of recoveries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r>
      <w:tr>
        <w:trPr>
          <w:trHeight w:val="233"/>
        </w:trPr>
        <w:tc>
          <w:tcPr>
            <w:tcW w:w="740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53"/>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r>
      <w:tr>
        <w:trPr>
          <w:trHeight w:val="233"/>
        </w:trPr>
        <w:tc>
          <w:tcPr>
            <w:tcW w:w="7400" w:type="dxa"/>
            <w:vAlign w:val="bottom"/>
          </w:tcPr>
          <w:p>
            <w:pPr>
              <w:ind w:left="360"/>
              <w:spacing w:after="0"/>
              <w:rPr>
                <w:sz w:val="20"/>
                <w:szCs w:val="20"/>
                <w:color w:val="auto"/>
              </w:rPr>
            </w:pPr>
            <w:r>
              <w:rPr>
                <w:rFonts w:ascii="Arial" w:cs="Arial" w:eastAsia="Arial" w:hAnsi="Arial"/>
                <w:sz w:val="16"/>
                <w:szCs w:val="16"/>
                <w:color w:val="auto"/>
              </w:rPr>
              <w:t>Unrealized foreign currency exchange loss, net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3,856</w:t>
            </w:r>
          </w:p>
        </w:tc>
      </w:tr>
      <w:tr>
        <w:trPr>
          <w:trHeight w:val="253"/>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Provisions for doubtful accounts receivable from customers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w:t>
            </w:r>
          </w:p>
        </w:tc>
      </w:tr>
      <w:tr>
        <w:trPr>
          <w:trHeight w:val="233"/>
        </w:trPr>
        <w:tc>
          <w:tcPr>
            <w:tcW w:w="7400" w:type="dxa"/>
            <w:vAlign w:val="bottom"/>
          </w:tcPr>
          <w:p>
            <w:pPr>
              <w:ind w:left="360"/>
              <w:spacing w:after="0"/>
              <w:rPr>
                <w:sz w:val="20"/>
                <w:szCs w:val="20"/>
                <w:color w:val="auto"/>
              </w:rPr>
            </w:pPr>
            <w:r>
              <w:rPr>
                <w:rFonts w:ascii="Arial" w:cs="Arial" w:eastAsia="Arial" w:hAnsi="Arial"/>
                <w:sz w:val="16"/>
                <w:szCs w:val="16"/>
                <w:color w:val="auto"/>
              </w:rPr>
              <w:t>Deferred income tax (benefit)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(10,053)</w:t>
            </w:r>
          </w:p>
        </w:tc>
      </w:tr>
      <w:tr>
        <w:trPr>
          <w:trHeight w:val="253"/>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changes in operating assets and liabilities: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3"/>
        </w:trPr>
        <w:tc>
          <w:tcPr>
            <w:tcW w:w="740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(54,484)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22,926</w:t>
            </w:r>
          </w:p>
        </w:tc>
      </w:tr>
      <w:tr>
        <w:trPr>
          <w:trHeight w:val="253"/>
        </w:trPr>
        <w:tc>
          <w:tcPr>
            <w:tcW w:w="7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Finished goods inventories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(5,634)</w:t>
            </w:r>
          </w:p>
        </w:tc>
      </w:tr>
      <w:tr>
        <w:trPr>
          <w:trHeight w:val="233"/>
        </w:trPr>
        <w:tc>
          <w:tcPr>
            <w:tcW w:w="7400" w:type="dxa"/>
            <w:vAlign w:val="bottom"/>
          </w:tcPr>
          <w:p>
            <w:pPr>
              <w:ind w:left="4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7,254</w:t>
            </w:r>
          </w:p>
        </w:tc>
      </w:tr>
      <w:tr>
        <w:trPr>
          <w:trHeight w:val="246"/>
        </w:trPr>
        <w:tc>
          <w:tcPr>
            <w:tcW w:w="7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and other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(142,171)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(56,781)</w:t>
            </w:r>
          </w:p>
        </w:tc>
      </w:tr>
      <w:tr>
        <w:trPr>
          <w:trHeight w:val="236"/>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(39,530)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(14,302)</w:t>
            </w:r>
          </w:p>
        </w:tc>
      </w:tr>
      <w:tr>
        <w:trPr>
          <w:trHeight w:val="149"/>
        </w:trPr>
        <w:tc>
          <w:tcPr>
            <w:tcW w:w="7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3"/>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(8,068)</w:t>
            </w:r>
          </w:p>
        </w:tc>
      </w:tr>
      <w:tr>
        <w:trPr>
          <w:trHeight w:val="237"/>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(8,068)</w:t>
            </w:r>
          </w:p>
        </w:tc>
      </w:tr>
      <w:tr>
        <w:trPr>
          <w:trHeight w:val="149"/>
        </w:trPr>
        <w:tc>
          <w:tcPr>
            <w:tcW w:w="7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3"/>
        </w:trPr>
        <w:tc>
          <w:tcPr>
            <w:tcW w:w="7400" w:type="dxa"/>
            <w:vAlign w:val="bottom"/>
          </w:tcPr>
          <w:p>
            <w:pPr>
              <w:ind w:left="220"/>
              <w:spacing w:after="0"/>
              <w:rPr>
                <w:sz w:val="20"/>
                <w:szCs w:val="20"/>
                <w:color w:val="auto"/>
              </w:rPr>
            </w:pPr>
            <w:r>
              <w:rPr>
                <w:rFonts w:ascii="Arial" w:cs="Arial" w:eastAsia="Arial" w:hAnsi="Arial"/>
                <w:sz w:val="16"/>
                <w:szCs w:val="16"/>
                <w:color w:val="auto"/>
              </w:rPr>
              <w:t>Borrowings under secured revolving credit facility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644,000</w:t>
            </w:r>
          </w:p>
        </w:tc>
      </w:tr>
      <w:tr>
        <w:trPr>
          <w:trHeight w:val="253"/>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3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(45,255)</w:t>
            </w:r>
          </w:p>
        </w:tc>
      </w:tr>
      <w:tr>
        <w:trPr>
          <w:trHeight w:val="233"/>
        </w:trPr>
        <w:tc>
          <w:tcPr>
            <w:tcW w:w="740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(26,260)</w:t>
            </w:r>
          </w:p>
        </w:tc>
      </w:tr>
      <w:tr>
        <w:trPr>
          <w:trHeight w:val="253"/>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Withholdings from vesting of restricted stock</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w:t>
            </w:r>
          </w:p>
        </w:tc>
      </w:tr>
      <w:tr>
        <w:trPr>
          <w:trHeight w:val="237"/>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exercises of stock options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r>
      <w:tr>
        <w:trPr>
          <w:trHeight w:val="236"/>
        </w:trPr>
        <w:tc>
          <w:tcPr>
            <w:tcW w:w="74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569,613</w:t>
            </w:r>
          </w:p>
        </w:tc>
      </w:tr>
      <w:tr>
        <w:trPr>
          <w:trHeight w:val="149"/>
        </w:trPr>
        <w:tc>
          <w:tcPr>
            <w:tcW w:w="7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effect of exchange rate changes on cash and cash equivalents</w:t>
            </w:r>
          </w:p>
        </w:tc>
        <w:tc>
          <w:tcPr>
            <w:tcW w:w="3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w:t>
            </w: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(48,633)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544,789</w:t>
            </w:r>
          </w:p>
        </w:tc>
      </w:tr>
      <w:tr>
        <w:trPr>
          <w:trHeight w:val="24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1,102,323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214,311</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1,053,690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759,100</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Carter’s, Inc. and its wholly owned subsidiaries (collectively, the “Company”) design, source, and market branded childrenswear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Skip Hop, Child of Mine, Just One You, Simple Joys, Carter’s little baby basics</w:t>
      </w:r>
      <w:r>
        <w:rPr>
          <w:rFonts w:ascii="Arial" w:cs="Arial" w:eastAsia="Arial" w:hAnsi="Arial"/>
          <w:sz w:val="18"/>
          <w:szCs w:val="18"/>
          <w:color w:val="auto"/>
        </w:rPr>
        <w:t>,</w:t>
      </w:r>
      <w:r>
        <w:rPr>
          <w:rFonts w:ascii="Arial" w:cs="Arial" w:eastAsia="Arial" w:hAnsi="Arial"/>
          <w:sz w:val="18"/>
          <w:szCs w:val="18"/>
          <w:i w:val="1"/>
          <w:iCs w:val="1"/>
          <w:color w:val="auto"/>
        </w:rPr>
        <w:t xml:space="preserve"> little planet</w:t>
      </w:r>
      <w:r>
        <w:rPr>
          <w:rFonts w:ascii="Arial" w:cs="Arial" w:eastAsia="Arial" w:hAnsi="Arial"/>
          <w:sz w:val="18"/>
          <w:szCs w:val="18"/>
          <w:color w:val="auto"/>
        </w:rPr>
        <w:t>, and other brands. The Company’s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9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(loss), statement of stockholders’ equity, and cash flows of the Company for the interim periods presented. Except as otherwise disclosed, all such adjustments consist only of those of a normal recurring nature. Operating results for the fiscal quarter ended April 3, 2021 are not necessarily indicative of the results that may be expected for the current fiscal year ending January 1, 2022.</w:t>
      </w:r>
    </w:p>
    <w:p>
      <w:pPr>
        <w:spacing w:after="0" w:line="14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condensed consolidated balance sheet as of January 2, 2021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During the second quarter of fiscal year 2020, it was determined that there were amounts presented incorrectly in the statement of cash flows for the annual and interim year to date periods subsequent to the December 30, 2018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due to the presentation of the non-cash impact of the initial and subsequent recognition of the Right of Use (“ROU”) assets and lease liabilities within the “Prepaid expenses and other assets” and “Accounts payable and other liabilities” line items, respectively, within operating cash flows. This incorrect presentation had no impact on net cash (used in) provided by operating activities for any of the periods. We assessed the materiality of the incorrect presentation and concluded that the previously issued financial statements were not materially misstated. The presentation errors resulted in an offsetting overstatement of cash used for prepaid expenses and other assets and cash provided by accounts payable and other liabilities of $29 million for the three months ended March 28, 2020. The accompanying consolidated statement of cash flows appropriately reflect the corrected presentation of these non-cash activities. In addition, the Company has reclassified prior comparable period amounts to present ROU asset amortization and lease liability payment activity on a net basis within the “Accounts payable and other liabilities” line item. The revisions to the three months ended March 31, 2020 have been presented in this Form 10-Q. We will continue to provide supplemental noncash cash flow disclosure information in the notes to the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is closely monitoring the effects of the ongoing coronavirus (“COVID-19”) pandemic and its impact on our business. Additionally, the Company assessed certain accounting matters that generally require consideration of forecasted financial information in context with the information reasonably available to us and the unknown future impacts of COVID-19 as of April 3, 2021 and through the date of this report filing. The accounting matters assessed included, but were not limited to, our allowance for credit losses, inventory reserves, adverse inventory and fabric purchase commitments, stock based compensation, and the carrying value of our goodwill and other long-lived assets. Based on these assessments, in the first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quarter of fiscal 2021, the Company recorded a benefit in fabric purchase commitment charges of $6.3 million related to better than expected sales of inventory and utilization of fabric that were reserved for in the first quarter of fiscal 2020 due to COVID-19 related disruptions. As of April 3, 2021, the Company had an outstanding reserve of $6.3 million for adverse inventory and fabric purchase commitments.</w:t>
      </w:r>
    </w:p>
    <w:p>
      <w:pPr>
        <w:spacing w:after="0" w:line="1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 COVID-19 related charges in the first quarter of fiscal 2021 were $2.1 million and were primarily related to the costs associated with additional protective equipment and cleaning supplies.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accounting policies the Company follows are set forth in its most recently filed Annual Report on Form 10-K. There have been no material changes to these accounting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9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first quarter of fiscal 2021 and 2020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ind w:left="200"/>
              <w:spacing w:after="0"/>
              <w:rPr>
                <w:sz w:val="20"/>
                <w:szCs w:val="20"/>
                <w:color w:val="auto"/>
              </w:rPr>
            </w:pPr>
            <w:r>
              <w:rPr>
                <w:rFonts w:ascii="Arial" w:cs="Arial" w:eastAsia="Arial" w:hAnsi="Arial"/>
                <w:sz w:val="16"/>
                <w:szCs w:val="16"/>
                <w:b w:val="1"/>
                <w:bCs w:val="1"/>
                <w:color w:val="auto"/>
              </w:rPr>
              <w:t>Fiscal quarter ended April 3, 2021</w:t>
            </w: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189"/>
        </w:trPr>
        <w:tc>
          <w:tcPr>
            <w:tcW w:w="43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6"/>
                <w:szCs w:val="16"/>
                <w:color w:val="auto"/>
              </w:rPr>
            </w:pPr>
          </w:p>
        </w:tc>
        <w:tc>
          <w:tcPr>
            <w:tcW w:w="1480" w:type="dxa"/>
            <w:vAlign w:val="bottom"/>
            <w:gridSpan w:val="4"/>
          </w:tcPr>
          <w:p>
            <w:pPr>
              <w:ind w:left="180"/>
              <w:spacing w:after="0"/>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6"/>
                <w:szCs w:val="16"/>
                <w:color w:val="auto"/>
              </w:rPr>
            </w:pPr>
          </w:p>
        </w:tc>
        <w:tc>
          <w:tcPr>
            <w:tcW w:w="1540" w:type="dxa"/>
            <w:vAlign w:val="bottom"/>
            <w:gridSpan w:val="4"/>
          </w:tcPr>
          <w:p>
            <w:pPr>
              <w:ind w:left="100"/>
              <w:spacing w:after="0"/>
              <w:rPr>
                <w:sz w:val="20"/>
                <w:szCs w:val="20"/>
                <w:color w:val="auto"/>
              </w:rPr>
            </w:pPr>
            <w:r>
              <w:rPr>
                <w:rFonts w:ascii="Arial" w:cs="Arial" w:eastAsia="Arial" w:hAnsi="Arial"/>
                <w:sz w:val="16"/>
                <w:szCs w:val="16"/>
                <w:b w:val="1"/>
                <w:bCs w:val="1"/>
                <w:color w:val="auto"/>
              </w:rPr>
              <w:t>U.S. Wholesale</w:t>
            </w:r>
          </w:p>
        </w:tc>
        <w:tc>
          <w:tcPr>
            <w:tcW w:w="220" w:type="dxa"/>
            <w:vAlign w:val="bottom"/>
          </w:tcPr>
          <w:p>
            <w:pPr>
              <w:spacing w:after="0"/>
              <w:rPr>
                <w:sz w:val="16"/>
                <w:szCs w:val="16"/>
                <w:color w:val="auto"/>
              </w:rPr>
            </w:pPr>
          </w:p>
        </w:tc>
        <w:tc>
          <w:tcPr>
            <w:tcW w:w="1540" w:type="dxa"/>
            <w:vAlign w:val="bottom"/>
            <w:gridSpan w:val="4"/>
          </w:tcPr>
          <w:p>
            <w:pPr>
              <w:ind w:left="140"/>
              <w:spacing w:after="0"/>
              <w:rPr>
                <w:sz w:val="20"/>
                <w:szCs w:val="20"/>
                <w:color w:val="auto"/>
              </w:rPr>
            </w:pPr>
            <w:r>
              <w:rPr>
                <w:rFonts w:ascii="Arial" w:cs="Arial" w:eastAsia="Arial" w:hAnsi="Arial"/>
                <w:sz w:val="16"/>
                <w:szCs w:val="16"/>
                <w:b w:val="1"/>
                <w:bCs w:val="1"/>
                <w:color w:val="auto"/>
              </w:rPr>
              <w:t>International</w:t>
            </w:r>
          </w:p>
        </w:tc>
        <w:tc>
          <w:tcPr>
            <w:tcW w:w="640" w:type="dxa"/>
            <w:vAlign w:val="bottom"/>
          </w:tcPr>
          <w:p>
            <w:pPr>
              <w:spacing w:after="0"/>
              <w:rPr>
                <w:sz w:val="16"/>
                <w:szCs w:val="16"/>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83"/>
              </w:rPr>
              <w:t>Total</w:t>
            </w:r>
          </w:p>
        </w:tc>
      </w:tr>
      <w:tr>
        <w:trPr>
          <w:trHeight w:val="34"/>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283,377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42,792</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326,169</w:t>
            </w:r>
          </w:p>
        </w:tc>
      </w:tr>
      <w:tr>
        <w:trPr>
          <w:trHeight w:val="237"/>
        </w:trPr>
        <w:tc>
          <w:tcPr>
            <w:tcW w:w="434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407,067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54,125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461,192</w:t>
            </w:r>
          </w:p>
        </w:tc>
      </w:tr>
      <w:tr>
        <w:trPr>
          <w:trHeight w:val="261"/>
        </w:trPr>
        <w:tc>
          <w:tcPr>
            <w:tcW w:w="434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407,067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283,377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96,917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787,361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5"/>
        </w:trPr>
        <w:tc>
          <w:tcPr>
            <w:tcW w:w="4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7,463</w:t>
            </w:r>
          </w:p>
        </w:tc>
      </w:tr>
    </w:tbl>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ind w:left="120"/>
              <w:spacing w:after="0"/>
              <w:rPr>
                <w:sz w:val="20"/>
                <w:szCs w:val="20"/>
                <w:color w:val="auto"/>
              </w:rPr>
            </w:pPr>
            <w:r>
              <w:rPr>
                <w:rFonts w:ascii="Arial" w:cs="Arial" w:eastAsia="Arial" w:hAnsi="Arial"/>
                <w:sz w:val="16"/>
                <w:szCs w:val="16"/>
                <w:b w:val="1"/>
                <w:bCs w:val="1"/>
                <w:color w:val="auto"/>
              </w:rPr>
              <w:t>Fiscal quarter ended March 28, 2020</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3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36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6"/>
                <w:szCs w:val="16"/>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Total</w:t>
            </w:r>
          </w:p>
        </w:tc>
      </w:tr>
      <w:tr>
        <w:trPr>
          <w:trHeight w:val="34"/>
        </w:trPr>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252,130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38,730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290,860</w:t>
            </w:r>
          </w:p>
        </w:tc>
      </w:tr>
      <w:tr>
        <w:trPr>
          <w:trHeight w:val="236"/>
        </w:trPr>
        <w:tc>
          <w:tcPr>
            <w:tcW w:w="430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4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320,717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42,896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363,613</w:t>
            </w:r>
          </w:p>
        </w:tc>
      </w:tr>
      <w:tr>
        <w:trPr>
          <w:trHeight w:val="262"/>
        </w:trPr>
        <w:tc>
          <w:tcPr>
            <w:tcW w:w="43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320,717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252,130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81,626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654,473</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5"/>
        </w:trPr>
        <w:tc>
          <w:tcPr>
            <w:tcW w:w="4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7,338</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9"/>
                <w:szCs w:val="19"/>
                <w:color w:val="auto"/>
              </w:rPr>
            </w:pPr>
          </w:p>
        </w:tc>
        <w:tc>
          <w:tcPr>
            <w:tcW w:w="1760" w:type="dxa"/>
            <w:vAlign w:val="bottom"/>
            <w:gridSpan w:val="2"/>
          </w:tcPr>
          <w:p>
            <w:pPr>
              <w:ind w:left="220"/>
              <w:spacing w:after="0"/>
              <w:rPr>
                <w:sz w:val="20"/>
                <w:szCs w:val="20"/>
                <w:color w:val="auto"/>
              </w:rPr>
            </w:pPr>
            <w:r>
              <w:rPr>
                <w:rFonts w:ascii="Arial" w:cs="Arial" w:eastAsia="Arial" w:hAnsi="Arial"/>
                <w:sz w:val="16"/>
                <w:szCs w:val="16"/>
                <w:b w:val="1"/>
                <w:bCs w:val="1"/>
                <w:color w:val="auto"/>
              </w:rPr>
              <w:t>April 3, 2021</w:t>
            </w: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2021</w:t>
            </w:r>
          </w:p>
        </w:tc>
        <w:tc>
          <w:tcPr>
            <w:tcW w:w="280" w:type="dxa"/>
            <w:vAlign w:val="bottom"/>
          </w:tcPr>
          <w:p>
            <w:pPr>
              <w:spacing w:after="0"/>
              <w:rPr>
                <w:sz w:val="19"/>
                <w:szCs w:val="19"/>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28, 2020</w:t>
            </w:r>
          </w:p>
        </w:tc>
      </w:tr>
      <w:tr>
        <w:trPr>
          <w:trHeight w:val="24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from wholesale customers, net</w:t>
            </w:r>
            <w:r>
              <w:rPr>
                <w:rFonts w:ascii="Arial" w:cs="Arial" w:eastAsia="Arial" w:hAnsi="Arial"/>
                <w:sz w:val="21"/>
                <w:szCs w:val="21"/>
                <w:color w:val="auto"/>
                <w:vertAlign w:val="superscript"/>
              </w:rPr>
              <w:t>(1)</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234,643</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180,830</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219,140</w:t>
            </w:r>
          </w:p>
        </w:tc>
      </w:tr>
      <w:tr>
        <w:trPr>
          <w:trHeight w:val="233"/>
        </w:trPr>
        <w:tc>
          <w:tcPr>
            <w:tcW w:w="5140" w:type="dxa"/>
            <w:vAlign w:val="bottom"/>
          </w:tcPr>
          <w:p>
            <w:pPr>
              <w:ind w:left="20"/>
              <w:spacing w:after="0"/>
              <w:rPr>
                <w:sz w:val="20"/>
                <w:szCs w:val="20"/>
                <w:color w:val="auto"/>
              </w:rPr>
            </w:pPr>
            <w:r>
              <w:rPr>
                <w:rFonts w:ascii="Arial" w:cs="Arial" w:eastAsia="Arial" w:hAnsi="Arial"/>
                <w:sz w:val="16"/>
                <w:szCs w:val="16"/>
                <w:color w:val="auto"/>
              </w:rPr>
              <w:t>Royalties receivable</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6,428</w:t>
            </w:r>
          </w:p>
        </w:tc>
      </w:tr>
      <w:tr>
        <w:trPr>
          <w:trHeight w:val="24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allowances and other receivables</w:t>
            </w:r>
          </w:p>
        </w:tc>
        <w:tc>
          <w:tcPr>
            <w:tcW w:w="3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11,968</w:t>
            </w:r>
          </w:p>
        </w:tc>
      </w:tr>
      <w:tr>
        <w:trPr>
          <w:trHeight w:val="233"/>
        </w:trPr>
        <w:tc>
          <w:tcPr>
            <w:tcW w:w="5140" w:type="dxa"/>
            <w:vAlign w:val="bottom"/>
          </w:tcPr>
          <w:p>
            <w:pPr>
              <w:ind w:left="20"/>
              <w:spacing w:after="0"/>
              <w:rPr>
                <w:sz w:val="20"/>
                <w:szCs w:val="20"/>
                <w:color w:val="auto"/>
              </w:rPr>
            </w:pPr>
            <w:r>
              <w:rPr>
                <w:rFonts w:ascii="Arial" w:cs="Arial" w:eastAsia="Arial" w:hAnsi="Arial"/>
                <w:sz w:val="16"/>
                <w:szCs w:val="16"/>
                <w:color w:val="auto"/>
              </w:rPr>
              <w:t>Total gross receivables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253,397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198,878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237,536</w:t>
            </w:r>
          </w:p>
        </w:tc>
      </w:tr>
      <w:tr>
        <w:trPr>
          <w:trHeight w:val="25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Wholesale accounts receivable reserves</w:t>
            </w:r>
            <w:r>
              <w:rPr>
                <w:rFonts w:ascii="Arial" w:cs="Arial" w:eastAsia="Arial" w:hAnsi="Arial"/>
                <w:sz w:val="21"/>
                <w:szCs w:val="21"/>
                <w:color w:val="auto"/>
                <w:vertAlign w:val="superscript"/>
              </w:rPr>
              <w:t>(1)(2)</w:t>
            </w:r>
          </w:p>
        </w:tc>
        <w:tc>
          <w:tcPr>
            <w:tcW w:w="3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(15,652)</w:t>
            </w:r>
          </w:p>
        </w:tc>
      </w:tr>
      <w:tr>
        <w:trPr>
          <w:trHeight w:val="237"/>
        </w:trPr>
        <w:tc>
          <w:tcPr>
            <w:tcW w:w="514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240,212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186,512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221,884</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140" w:hanging="332"/>
        <w:spacing w:after="0" w:line="273"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 reclassified $2.0 million of customer support related items from Wholesale accounts receivable reserves into Trade receivables from wholesale customers, net for the period ended March 28, 2020.</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allowance for credit losses of $6.7 million, $5.9 million, and $10.6 million for the periods ended April 3, 2021, January 2, 2021, and March 28, 2020, respectively.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6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9"/>
                <w:szCs w:val="19"/>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3, 2021</w:t>
            </w:r>
          </w:p>
        </w:tc>
        <w:tc>
          <w:tcPr>
            <w:tcW w:w="260" w:type="dxa"/>
            <w:vAlign w:val="bottom"/>
          </w:tcPr>
          <w:p>
            <w:pPr>
              <w:spacing w:after="0"/>
              <w:rPr>
                <w:sz w:val="19"/>
                <w:szCs w:val="19"/>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 2021</w:t>
            </w:r>
          </w:p>
        </w:tc>
        <w:tc>
          <w:tcPr>
            <w:tcW w:w="280" w:type="dxa"/>
            <w:vAlign w:val="bottom"/>
          </w:tcPr>
          <w:p>
            <w:pPr>
              <w:spacing w:after="0"/>
              <w:rPr>
                <w:sz w:val="19"/>
                <w:szCs w:val="19"/>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28, 2020</w:t>
            </w:r>
          </w:p>
        </w:tc>
      </w:tr>
      <w:tr>
        <w:trPr>
          <w:trHeight w:val="22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3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r>
      <w:tr>
        <w:trPr>
          <w:trHeight w:val="233"/>
        </w:trPr>
        <w:tc>
          <w:tcPr>
            <w:tcW w:w="5140" w:type="dxa"/>
            <w:vAlign w:val="bottom"/>
          </w:tcPr>
          <w:p>
            <w:pPr>
              <w:ind w:left="140"/>
              <w:spacing w:after="0"/>
              <w:rPr>
                <w:sz w:val="20"/>
                <w:szCs w:val="20"/>
                <w:color w:val="auto"/>
              </w:rPr>
            </w:pPr>
            <w:r>
              <w:rPr>
                <w:rFonts w:ascii="Arial" w:cs="Arial" w:eastAsia="Arial" w:hAnsi="Arial"/>
                <w:sz w:val="16"/>
                <w:szCs w:val="16"/>
                <w:color w:val="auto"/>
              </w:rPr>
              <w:t>Unredeemed gift cards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17,426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18,300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16,758</w:t>
            </w:r>
          </w:p>
        </w:tc>
      </w:tr>
      <w:tr>
        <w:trPr>
          <w:trHeight w:val="253"/>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Unredeemed customer loyalty rewards</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4,503</w:t>
            </w:r>
          </w:p>
        </w:tc>
      </w:tr>
      <w:tr>
        <w:trPr>
          <w:trHeight w:val="243"/>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62"/>
        </w:trPr>
        <w:tc>
          <w:tcPr>
            <w:tcW w:w="5140" w:type="dxa"/>
            <w:vAlign w:val="bottom"/>
            <w:tcBorders>
              <w:bottom w:val="single" w:sz="8" w:color="CCEEFF"/>
            </w:tcBorders>
            <w:shd w:val="clear" w:color="auto" w:fill="CCEEFF"/>
          </w:tcPr>
          <w:p>
            <w:pPr>
              <w:ind w:left="480"/>
              <w:spacing w:after="0" w:line="237" w:lineRule="exact"/>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36"/>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 - non-current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w:t>
            </w:r>
          </w:p>
        </w:tc>
      </w:tr>
      <w:tr>
        <w:trPr>
          <w:trHeight w:val="243"/>
        </w:trPr>
        <w:tc>
          <w:tcPr>
            <w:tcW w:w="5140" w:type="dxa"/>
            <w:vAlign w:val="bottom"/>
          </w:tcPr>
          <w:p>
            <w:pPr>
              <w:ind w:left="480"/>
              <w:spacing w:after="0"/>
              <w:rPr>
                <w:sz w:val="20"/>
                <w:szCs w:val="20"/>
                <w:color w:val="auto"/>
              </w:rPr>
            </w:pPr>
            <w:r>
              <w:rPr>
                <w:rFonts w:ascii="Arial" w:cs="Arial" w:eastAsia="Arial" w:hAnsi="Arial"/>
                <w:sz w:val="16"/>
                <w:szCs w:val="16"/>
                <w:color w:val="auto"/>
              </w:rPr>
              <w:t>Total contract liabilities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25,368</w:t>
            </w:r>
          </w:p>
        </w:tc>
      </w:tr>
      <w:tr>
        <w:trPr>
          <w:trHeight w:val="21"/>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500" w:right="80" w:hanging="492"/>
        <w:spacing w:after="0" w:line="273" w:lineRule="auto"/>
        <w:tabs>
          <w:tab w:leader="none" w:pos="492" w:val="left"/>
        </w:tabs>
        <w:numPr>
          <w:ilvl w:val="0"/>
          <w:numId w:val="3"/>
        </w:numPr>
        <w:rPr>
          <w:rFonts w:ascii="Arial" w:cs="Arial" w:eastAsia="Arial" w:hAnsi="Arial"/>
          <w:sz w:val="14"/>
          <w:szCs w:val="14"/>
          <w:color w:val="auto"/>
        </w:rPr>
      </w:pPr>
      <w:r>
        <w:rPr>
          <w:rFonts w:ascii="Arial" w:cs="Arial" w:eastAsia="Arial" w:hAnsi="Arial"/>
          <w:sz w:val="14"/>
          <w:szCs w:val="14"/>
          <w:color w:val="auto"/>
        </w:rPr>
        <w:t>Carter’s credit card - upfront bonus - 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1" w:lineRule="exact"/>
        <w:rPr>
          <w:rFonts w:ascii="Arial" w:cs="Arial" w:eastAsia="Arial" w:hAnsi="Arial"/>
          <w:sz w:val="14"/>
          <w:szCs w:val="14"/>
          <w:color w:val="auto"/>
        </w:rPr>
      </w:pPr>
    </w:p>
    <w:p>
      <w:pPr>
        <w:ind w:left="480" w:hanging="472"/>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9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5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April 3, 2021, the Company’s finance leases were not material to the consolidated balance sheets, consolidated statements of operations, or statements of cash flows.</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 for the first quarter of fiscal 2021 and 2020:</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Fiscal quarter ended</w:t>
            </w:r>
          </w:p>
        </w:tc>
      </w:tr>
      <w:tr>
        <w:trPr>
          <w:trHeight w:val="237"/>
        </w:trPr>
        <w:tc>
          <w:tcPr>
            <w:tcW w:w="73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20"/>
                <w:szCs w:val="20"/>
                <w:color w:val="auto"/>
              </w:rPr>
            </w:pPr>
          </w:p>
        </w:tc>
        <w:tc>
          <w:tcPr>
            <w:tcW w:w="168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3, 2021</w:t>
            </w:r>
          </w:p>
        </w:tc>
        <w:tc>
          <w:tcPr>
            <w:tcW w:w="260" w:type="dxa"/>
            <w:vAlign w:val="bottom"/>
          </w:tcPr>
          <w:p>
            <w:pPr>
              <w:spacing w:after="0"/>
              <w:rPr>
                <w:sz w:val="20"/>
                <w:szCs w:val="20"/>
                <w:color w:val="auto"/>
              </w:rPr>
            </w:pPr>
          </w:p>
        </w:tc>
        <w:tc>
          <w:tcPr>
            <w:tcW w:w="160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28, 2020</w:t>
            </w:r>
          </w:p>
        </w:tc>
      </w:tr>
      <w:tr>
        <w:trPr>
          <w:trHeight w:val="24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42,698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46,423</w:t>
            </w:r>
          </w:p>
        </w:tc>
      </w:tr>
      <w:tr>
        <w:trPr>
          <w:trHeight w:val="24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cost</w:t>
            </w:r>
            <w:r>
              <w:rPr>
                <w:rFonts w:ascii="Arial" w:cs="Arial" w:eastAsia="Arial" w:hAnsi="Arial"/>
                <w:sz w:val="21"/>
                <w:szCs w:val="21"/>
                <w:color w:val="auto"/>
                <w:vertAlign w:val="superscript"/>
              </w:rPr>
              <w:t>(*)</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16,285</w:t>
            </w:r>
          </w:p>
        </w:tc>
      </w:tr>
      <w:tr>
        <w:trPr>
          <w:trHeight w:val="262"/>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lease cost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62,708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short-term leases, which are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3820" w:type="dxa"/>
            <w:vAlign w:val="bottom"/>
            <w:tcBorders>
              <w:bottom w:val="single" w:sz="8" w:color="auto"/>
            </w:tcBorders>
            <w:gridSpan w:val="3"/>
          </w:tcPr>
          <w:p>
            <w:pPr>
              <w:ind w:left="1200"/>
              <w:spacing w:after="0"/>
              <w:rPr>
                <w:sz w:val="20"/>
                <w:szCs w:val="20"/>
                <w:color w:val="auto"/>
              </w:rPr>
            </w:pPr>
            <w:r>
              <w:rPr>
                <w:rFonts w:ascii="Arial" w:cs="Arial" w:eastAsia="Arial" w:hAnsi="Arial"/>
                <w:sz w:val="16"/>
                <w:szCs w:val="16"/>
                <w:b w:val="1"/>
                <w:bCs w:val="1"/>
                <w:color w:val="auto"/>
              </w:rPr>
              <w:t>Fiscal quarter ended</w:t>
            </w:r>
          </w:p>
        </w:tc>
      </w:tr>
      <w:tr>
        <w:trPr>
          <w:trHeight w:val="236"/>
        </w:trPr>
        <w:tc>
          <w:tcPr>
            <w:tcW w:w="7380" w:type="dxa"/>
            <w:vAlign w:val="bottom"/>
          </w:tcPr>
          <w:p>
            <w:pPr>
              <w:spacing w:after="0"/>
              <w:rPr>
                <w:sz w:val="20"/>
                <w:szCs w:val="20"/>
                <w:color w:val="auto"/>
              </w:rPr>
            </w:pPr>
          </w:p>
        </w:tc>
        <w:tc>
          <w:tcPr>
            <w:tcW w:w="1960" w:type="dxa"/>
            <w:vAlign w:val="bottom"/>
            <w:gridSpan w:val="2"/>
          </w:tcPr>
          <w:p>
            <w:pPr>
              <w:ind w:left="480"/>
              <w:spacing w:after="0"/>
              <w:rPr>
                <w:sz w:val="20"/>
                <w:szCs w:val="20"/>
                <w:color w:val="auto"/>
              </w:rPr>
            </w:pPr>
            <w:r>
              <w:rPr>
                <w:rFonts w:ascii="Arial" w:cs="Arial" w:eastAsia="Arial" w:hAnsi="Arial"/>
                <w:sz w:val="16"/>
                <w:szCs w:val="16"/>
                <w:b w:val="1"/>
                <w:bCs w:val="1"/>
                <w:color w:val="auto"/>
              </w:rPr>
              <w:t>April 3, 2021</w:t>
            </w:r>
          </w:p>
        </w:tc>
        <w:tc>
          <w:tcPr>
            <w:tcW w:w="1860" w:type="dxa"/>
            <w:vAlign w:val="bottom"/>
          </w:tcPr>
          <w:p>
            <w:pPr>
              <w:ind w:left="400"/>
              <w:spacing w:after="0"/>
              <w:rPr>
                <w:sz w:val="20"/>
                <w:szCs w:val="20"/>
                <w:color w:val="auto"/>
              </w:rPr>
            </w:pPr>
            <w:r>
              <w:rPr>
                <w:rFonts w:ascii="Arial" w:cs="Arial" w:eastAsia="Arial" w:hAnsi="Arial"/>
                <w:sz w:val="16"/>
                <w:szCs w:val="16"/>
                <w:b w:val="1"/>
                <w:bCs w:val="1"/>
                <w:color w:val="auto"/>
              </w:rPr>
              <w:t>March 28, 2020</w:t>
            </w:r>
          </w:p>
        </w:tc>
      </w:tr>
      <w:tr>
        <w:trPr>
          <w:trHeight w:val="24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operating lease term (years)</w:t>
            </w:r>
          </w:p>
        </w:tc>
        <w:tc>
          <w:tcPr>
            <w:tcW w:w="186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5.9</w:t>
            </w:r>
          </w:p>
        </w:tc>
      </w:tr>
      <w:tr>
        <w:trPr>
          <w:trHeight w:val="224"/>
        </w:trPr>
        <w:tc>
          <w:tcPr>
            <w:tcW w:w="7380" w:type="dxa"/>
            <w:vAlign w:val="bottom"/>
          </w:tcPr>
          <w:p>
            <w:pPr>
              <w:ind w:left="20"/>
              <w:spacing w:after="0"/>
              <w:rPr>
                <w:sz w:val="20"/>
                <w:szCs w:val="20"/>
                <w:color w:val="auto"/>
              </w:rPr>
            </w:pPr>
            <w:r>
              <w:rPr>
                <w:rFonts w:ascii="Arial" w:cs="Arial" w:eastAsia="Arial" w:hAnsi="Arial"/>
                <w:sz w:val="16"/>
                <w:szCs w:val="16"/>
                <w:color w:val="auto"/>
              </w:rPr>
              <w:t>Weighted average discount rate for operating leases</w:t>
            </w:r>
          </w:p>
        </w:tc>
        <w:tc>
          <w:tcPr>
            <w:tcW w:w="1860" w:type="dxa"/>
            <w:vAlign w:val="bottom"/>
          </w:tcPr>
          <w:p>
            <w:pPr>
              <w:jc w:val="right"/>
              <w:ind w:right="6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9"/>
                <w:szCs w:val="19"/>
                <w:color w:val="auto"/>
              </w:rPr>
            </w:pPr>
          </w:p>
        </w:tc>
        <w:tc>
          <w:tcPr>
            <w:tcW w:w="1860" w:type="dxa"/>
            <w:vAlign w:val="bottom"/>
          </w:tcPr>
          <w:p>
            <w:pPr>
              <w:jc w:val="right"/>
              <w:ind w:right="639"/>
              <w:spacing w:after="0"/>
              <w:rPr>
                <w:sz w:val="20"/>
                <w:szCs w:val="20"/>
                <w:color w:val="auto"/>
              </w:rPr>
            </w:pPr>
            <w:r>
              <w:rPr>
                <w:rFonts w:ascii="Arial" w:cs="Arial" w:eastAsia="Arial" w:hAnsi="Arial"/>
                <w:sz w:val="16"/>
                <w:szCs w:val="16"/>
                <w:color w:val="auto"/>
              </w:rPr>
              <w:t>4.29%</w:t>
            </w:r>
          </w:p>
        </w:tc>
      </w:tr>
    </w:tbl>
    <w:p>
      <w:pPr>
        <w:spacing w:after="0" w:line="2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the first quarter of fiscal 2021 and 2020 were $57.9 million and $50.2 million, respectively.</w:t>
      </w:r>
    </w:p>
    <w:p>
      <w:pPr>
        <w:spacing w:after="0" w:line="14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Non-cash transactions to recognize operating assets and liabilities for new leases in the first quarter of fiscal 2021 and 2020 were $3.3 million and $29.4 million,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9600" w:type="dxa"/>
            <w:vAlign w:val="bottom"/>
          </w:tcPr>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9600" w:type="dxa"/>
            <w:vAlign w:val="bottom"/>
          </w:tcPr>
          <w:p>
            <w:pPr>
              <w:spacing w:after="0"/>
              <w:rPr>
                <w:sz w:val="20"/>
                <w:szCs w:val="20"/>
                <w:color w:val="auto"/>
              </w:rPr>
            </w:pPr>
            <w:r>
              <w:rPr>
                <w:rFonts w:ascii="Arial" w:cs="Arial" w:eastAsia="Arial" w:hAnsi="Arial"/>
                <w:sz w:val="18"/>
                <w:szCs w:val="18"/>
                <w:color w:val="auto"/>
              </w:rPr>
              <w:t>As of April 3, 2021, the maturities of lease liabilities were as follows: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Operating leases</w:t>
            </w:r>
          </w:p>
        </w:tc>
        <w:tc>
          <w:tcPr>
            <w:tcW w:w="0" w:type="dxa"/>
            <w:vAlign w:val="bottom"/>
          </w:tcPr>
          <w:p>
            <w:pPr>
              <w:spacing w:after="0"/>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149,606</w:t>
            </w:r>
          </w:p>
        </w:tc>
        <w:tc>
          <w:tcPr>
            <w:tcW w:w="0" w:type="dxa"/>
            <w:vAlign w:val="bottom"/>
          </w:tcPr>
          <w:p>
            <w:pPr>
              <w:spacing w:after="0"/>
              <w:rPr>
                <w:sz w:val="1"/>
                <w:szCs w:val="1"/>
                <w:color w:val="auto"/>
              </w:rPr>
            </w:pPr>
          </w:p>
        </w:tc>
      </w:tr>
      <w:tr>
        <w:trPr>
          <w:trHeight w:val="233"/>
        </w:trPr>
        <w:tc>
          <w:tcPr>
            <w:tcW w:w="960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159,141</w:t>
            </w:r>
          </w:p>
        </w:tc>
        <w:tc>
          <w:tcPr>
            <w:tcW w:w="0" w:type="dxa"/>
            <w:vAlign w:val="bottom"/>
          </w:tcPr>
          <w:p>
            <w:pPr>
              <w:spacing w:after="0"/>
              <w:rPr>
                <w:sz w:val="1"/>
                <w:szCs w:val="1"/>
                <w:color w:val="auto"/>
              </w:rPr>
            </w:pPr>
          </w:p>
        </w:tc>
      </w:tr>
      <w:tr>
        <w:trPr>
          <w:trHeight w:val="25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130,852</w:t>
            </w:r>
          </w:p>
        </w:tc>
        <w:tc>
          <w:tcPr>
            <w:tcW w:w="0" w:type="dxa"/>
            <w:vAlign w:val="bottom"/>
          </w:tcPr>
          <w:p>
            <w:pPr>
              <w:spacing w:after="0"/>
              <w:rPr>
                <w:sz w:val="1"/>
                <w:szCs w:val="1"/>
                <w:color w:val="auto"/>
              </w:rPr>
            </w:pPr>
          </w:p>
        </w:tc>
      </w:tr>
      <w:tr>
        <w:trPr>
          <w:trHeight w:val="233"/>
        </w:trPr>
        <w:tc>
          <w:tcPr>
            <w:tcW w:w="9600" w:type="dxa"/>
            <w:vAlign w:val="bottom"/>
          </w:tcPr>
          <w:p>
            <w:pPr>
              <w:ind w:left="2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104,942</w:t>
            </w:r>
          </w:p>
        </w:tc>
        <w:tc>
          <w:tcPr>
            <w:tcW w:w="0" w:type="dxa"/>
            <w:vAlign w:val="bottom"/>
          </w:tcPr>
          <w:p>
            <w:pPr>
              <w:spacing w:after="0"/>
              <w:rPr>
                <w:sz w:val="1"/>
                <w:szCs w:val="1"/>
                <w:color w:val="auto"/>
              </w:rPr>
            </w:pPr>
          </w:p>
        </w:tc>
      </w:tr>
      <w:tr>
        <w:trPr>
          <w:trHeight w:val="25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76,530</w:t>
            </w:r>
          </w:p>
        </w:tc>
        <w:tc>
          <w:tcPr>
            <w:tcW w:w="0" w:type="dxa"/>
            <w:vAlign w:val="bottom"/>
          </w:tcPr>
          <w:p>
            <w:pPr>
              <w:spacing w:after="0"/>
              <w:rPr>
                <w:sz w:val="1"/>
                <w:szCs w:val="1"/>
                <w:color w:val="auto"/>
              </w:rPr>
            </w:pPr>
          </w:p>
        </w:tc>
      </w:tr>
      <w:tr>
        <w:trPr>
          <w:trHeight w:val="233"/>
        </w:trPr>
        <w:tc>
          <w:tcPr>
            <w:tcW w:w="9600" w:type="dxa"/>
            <w:vAlign w:val="bottom"/>
          </w:tcPr>
          <w:p>
            <w:pPr>
              <w:ind w:left="20"/>
              <w:spacing w:after="0"/>
              <w:rPr>
                <w:sz w:val="20"/>
                <w:szCs w:val="20"/>
                <w:color w:val="auto"/>
              </w:rPr>
            </w:pPr>
            <w:r>
              <w:rPr>
                <w:rFonts w:ascii="Arial" w:cs="Arial" w:eastAsia="Arial" w:hAnsi="Arial"/>
                <w:sz w:val="16"/>
                <w:szCs w:val="16"/>
                <w:color w:val="auto"/>
              </w:rPr>
              <w:t>2026</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54,094</w:t>
            </w:r>
          </w:p>
        </w:tc>
        <w:tc>
          <w:tcPr>
            <w:tcW w:w="0" w:type="dxa"/>
            <w:vAlign w:val="bottom"/>
          </w:tcPr>
          <w:p>
            <w:pPr>
              <w:spacing w:after="0"/>
              <w:rPr>
                <w:sz w:val="1"/>
                <w:szCs w:val="1"/>
                <w:color w:val="auto"/>
              </w:rPr>
            </w:pPr>
          </w:p>
        </w:tc>
      </w:tr>
      <w:tr>
        <w:trPr>
          <w:trHeight w:val="24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After 2026</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77,693</w:t>
            </w:r>
          </w:p>
        </w:tc>
        <w:tc>
          <w:tcPr>
            <w:tcW w:w="0" w:type="dxa"/>
            <w:vAlign w:val="bottom"/>
          </w:tcPr>
          <w:p>
            <w:pPr>
              <w:spacing w:after="0"/>
              <w:rPr>
                <w:sz w:val="1"/>
                <w:szCs w:val="1"/>
                <w:color w:val="auto"/>
              </w:rPr>
            </w:pPr>
          </w:p>
        </w:tc>
      </w:tr>
      <w:tr>
        <w:trPr>
          <w:trHeight w:val="233"/>
        </w:trPr>
        <w:tc>
          <w:tcPr>
            <w:tcW w:w="9600" w:type="dxa"/>
            <w:vAlign w:val="bottom"/>
          </w:tcPr>
          <w:p>
            <w:pPr>
              <w:ind w:left="2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752,858</w:t>
            </w:r>
          </w:p>
        </w:tc>
        <w:tc>
          <w:tcPr>
            <w:tcW w:w="0" w:type="dxa"/>
            <w:vAlign w:val="bottom"/>
          </w:tcPr>
          <w:p>
            <w:pPr>
              <w:spacing w:after="0"/>
              <w:rPr>
                <w:sz w:val="1"/>
                <w:szCs w:val="1"/>
                <w:color w:val="auto"/>
              </w:rPr>
            </w:pPr>
          </w:p>
        </w:tc>
      </w:tr>
      <w:tr>
        <w:trPr>
          <w:trHeight w:val="25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(62,866)</w:t>
            </w:r>
          </w:p>
        </w:tc>
        <w:tc>
          <w:tcPr>
            <w:tcW w:w="0" w:type="dxa"/>
            <w:vAlign w:val="bottom"/>
          </w:tcPr>
          <w:p>
            <w:pPr>
              <w:spacing w:after="0"/>
              <w:rPr>
                <w:sz w:val="1"/>
                <w:szCs w:val="1"/>
                <w:color w:val="auto"/>
              </w:rPr>
            </w:pPr>
          </w:p>
        </w:tc>
      </w:tr>
      <w:tr>
        <w:trPr>
          <w:trHeight w:val="259"/>
        </w:trPr>
        <w:tc>
          <w:tcPr>
            <w:tcW w:w="9600" w:type="dxa"/>
            <w:vAlign w:val="bottom"/>
          </w:tcPr>
          <w:p>
            <w:pPr>
              <w:ind w:left="20"/>
              <w:spacing w:after="0"/>
              <w:rPr>
                <w:sz w:val="20"/>
                <w:szCs w:val="20"/>
                <w:color w:val="auto"/>
              </w:rPr>
            </w:pPr>
            <w:r>
              <w:rPr>
                <w:rFonts w:ascii="Arial" w:cs="Arial" w:eastAsia="Arial" w:hAnsi="Arial"/>
                <w:sz w:val="16"/>
                <w:szCs w:val="16"/>
                <w:color w:val="auto"/>
              </w:rPr>
              <w:t>Present value of lease liabilities</w:t>
            </w:r>
            <w:r>
              <w:rPr>
                <w:rFonts w:ascii="Arial" w:cs="Arial" w:eastAsia="Arial" w:hAnsi="Arial"/>
                <w:sz w:val="21"/>
                <w:szCs w:val="21"/>
                <w:color w:val="auto"/>
                <w:vertAlign w:val="superscript"/>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689,992</w:t>
            </w:r>
          </w:p>
        </w:tc>
        <w:tc>
          <w:tcPr>
            <w:tcW w:w="0" w:type="dxa"/>
            <w:vAlign w:val="bottom"/>
          </w:tcPr>
          <w:p>
            <w:pPr>
              <w:spacing w:after="0"/>
              <w:rPr>
                <w:sz w:val="1"/>
                <w:szCs w:val="1"/>
                <w:color w:val="auto"/>
              </w:rPr>
            </w:pPr>
          </w:p>
        </w:tc>
      </w:tr>
      <w:tr>
        <w:trPr>
          <w:trHeight w:val="111"/>
        </w:trPr>
        <w:tc>
          <w:tcPr>
            <w:tcW w:w="960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right="280" w:hanging="332"/>
        <w:spacing w:after="0" w:line="273"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 We used the incremental borrowing rate on December 30, 2018, for operating leases that commenced prior to that date.</w:t>
      </w:r>
    </w:p>
    <w:p>
      <w:pPr>
        <w:spacing w:after="0" w:line="15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of April 3, 2021, the minimum rental commitments for additional operating lease contracts that have not yet commenced, primarily for retail stores, are $6.9 million. These operating leases will commence between fiscal year 2021 and fiscal year 2023 with lease terms of 7 years to 9 years.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22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3, 2021</w:t>
            </w:r>
          </w:p>
        </w:tc>
        <w:tc>
          <w:tcPr>
            <w:tcW w:w="260" w:type="dxa"/>
            <w:vAlign w:val="bottom"/>
          </w:tcPr>
          <w:p>
            <w:pPr>
              <w:spacing w:after="0"/>
              <w:rPr>
                <w:sz w:val="19"/>
                <w:szCs w:val="19"/>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2021</w:t>
            </w:r>
          </w:p>
        </w:tc>
        <w:tc>
          <w:tcPr>
            <w:tcW w:w="260" w:type="dxa"/>
            <w:vAlign w:val="bottom"/>
          </w:tcPr>
          <w:p>
            <w:pPr>
              <w:spacing w:after="0"/>
              <w:rPr>
                <w:sz w:val="19"/>
                <w:szCs w:val="19"/>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28, 2020</w:t>
            </w:r>
          </w:p>
        </w:tc>
      </w:tr>
      <w:tr>
        <w:trPr>
          <w:trHeight w:val="243"/>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Cumulative foreign currency translation adjustments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(39,514)</w:t>
            </w:r>
          </w:p>
        </w:tc>
      </w:tr>
      <w:tr>
        <w:trPr>
          <w:trHeight w:val="243"/>
        </w:trPr>
        <w:tc>
          <w:tcPr>
            <w:tcW w:w="5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Pension and post-retirement obligations</w:t>
            </w:r>
            <w:r>
              <w:rPr>
                <w:rFonts w:ascii="Arial" w:cs="Arial" w:eastAsia="Arial" w:hAnsi="Arial"/>
                <w:sz w:val="21"/>
                <w:szCs w:val="21"/>
                <w:color w:val="auto"/>
                <w:vertAlign w:val="superscript"/>
              </w:rPr>
              <w:t>(*)</w:t>
            </w: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(9,112)</w:t>
            </w:r>
          </w:p>
        </w:tc>
      </w:tr>
      <w:tr>
        <w:trPr>
          <w:trHeight w:val="262"/>
        </w:trPr>
        <w:tc>
          <w:tcPr>
            <w:tcW w:w="5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accumulated other 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(48,626)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income taxes of $3.5 million, $3.5 million, and $2.8 million, for the periods ended April 3, 2021, January 2, 2021, and March 28, 2020, respectively.</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first quarter of both fiscal 2021 and fiscal 2020, no amounts were reclassified from Accumulated other comprehensive loss to the statement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changes in the carrying amount of goodwill attributable to each segment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24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28, 2019</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70,638</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229,026</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6"/>
                <w:szCs w:val="16"/>
                <w:color w:val="auto"/>
              </w:rPr>
              <w:t>Goodwill impairment</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(17,742)</w:t>
            </w: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6"/>
                <w:szCs w:val="16"/>
                <w:b w:val="1"/>
                <w:bCs w:val="1"/>
                <w:color w:val="auto"/>
              </w:rPr>
              <w:t>Balance at March 28, 2020</w:t>
            </w:r>
            <w:r>
              <w:rPr>
                <w:rFonts w:ascii="Arial" w:cs="Arial" w:eastAsia="Arial" w:hAnsi="Arial"/>
                <w:sz w:val="21"/>
                <w:szCs w:val="21"/>
                <w:b w:val="1"/>
                <w:bCs w:val="1"/>
                <w:color w:val="auto"/>
                <w:vertAlign w:val="superscript"/>
              </w:rPr>
              <w:t>(2)</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49,332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207,720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6"/>
                <w:szCs w:val="16"/>
                <w:b w:val="1"/>
                <w:bCs w:val="1"/>
                <w:color w:val="auto"/>
              </w:rPr>
              <w:t>Balance at January 2, 2021</w:t>
            </w:r>
            <w:r>
              <w:rPr>
                <w:rFonts w:ascii="Arial" w:cs="Arial" w:eastAsia="Arial" w:hAnsi="Arial"/>
                <w:sz w:val="21"/>
                <w:szCs w:val="21"/>
                <w:b w:val="1"/>
                <w:bCs w:val="1"/>
                <w:color w:val="auto"/>
                <w:vertAlign w:val="superscript"/>
              </w:rPr>
              <w:t>(2)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53,388</w:t>
            </w:r>
          </w:p>
        </w:tc>
        <w:tc>
          <w:tcPr>
            <w:tcW w:w="120" w:type="dxa"/>
            <w:vAlign w:val="bottom"/>
          </w:tcPr>
          <w:p>
            <w:pPr>
              <w:spacing w:after="0"/>
              <w:rPr>
                <w:sz w:val="21"/>
                <w:szCs w:val="21"/>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211,776</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72"/>
        </w:trPr>
        <w:tc>
          <w:tcPr>
            <w:tcW w:w="5240" w:type="dxa"/>
            <w:vAlign w:val="bottom"/>
          </w:tcPr>
          <w:p>
            <w:pPr>
              <w:spacing w:after="0"/>
              <w:rPr>
                <w:sz w:val="20"/>
                <w:szCs w:val="20"/>
                <w:color w:val="auto"/>
              </w:rPr>
            </w:pPr>
            <w:r>
              <w:rPr>
                <w:rFonts w:ascii="Arial" w:cs="Arial" w:eastAsia="Arial" w:hAnsi="Arial"/>
                <w:sz w:val="16"/>
                <w:szCs w:val="16"/>
                <w:b w:val="1"/>
                <w:bCs w:val="1"/>
                <w:color w:val="auto"/>
              </w:rPr>
              <w:t>Balance at April 3, 2021</w:t>
            </w:r>
            <w:r>
              <w:rPr>
                <w:rFonts w:ascii="Arial" w:cs="Arial" w:eastAsia="Arial" w:hAnsi="Arial"/>
                <w:sz w:val="21"/>
                <w:szCs w:val="21"/>
                <w:b w:val="1"/>
                <w:bCs w:val="1"/>
                <w:color w:val="auto"/>
                <w:vertAlign w:val="superscript"/>
              </w:rPr>
              <w:t>(2)</w:t>
            </w:r>
          </w:p>
        </w:tc>
        <w:tc>
          <w:tcPr>
            <w:tcW w:w="20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23"/>
                <w:szCs w:val="2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23"/>
                <w:szCs w:val="2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53,883</w:t>
            </w:r>
          </w:p>
        </w:tc>
        <w:tc>
          <w:tcPr>
            <w:tcW w:w="120" w:type="dxa"/>
            <w:vAlign w:val="bottom"/>
          </w:tcPr>
          <w:p>
            <w:pPr>
              <w:spacing w:after="0"/>
              <w:rPr>
                <w:sz w:val="23"/>
                <w:szCs w:val="23"/>
                <w:color w:val="auto"/>
              </w:rPr>
            </w:pPr>
          </w:p>
        </w:tc>
        <w:tc>
          <w:tcPr>
            <w:tcW w:w="300" w:type="dxa"/>
            <w:vAlign w:val="bottom"/>
            <w:tcBorders>
              <w:top w:val="single" w:sz="8" w:color="auto"/>
            </w:tcBorders>
            <w:vMerge w:val="restart"/>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212,271</w:t>
            </w:r>
          </w:p>
        </w:tc>
        <w:tc>
          <w:tcPr>
            <w:tcW w:w="0" w:type="dxa"/>
            <w:vAlign w:val="bottom"/>
          </w:tcPr>
          <w:p>
            <w:pPr>
              <w:spacing w:after="0"/>
              <w:rPr>
                <w:sz w:val="1"/>
                <w:szCs w:val="1"/>
                <w:color w:val="auto"/>
              </w:rPr>
            </w:pPr>
          </w:p>
        </w:tc>
      </w:tr>
      <w:tr>
        <w:trPr>
          <w:trHeight w:val="98"/>
        </w:trPr>
        <w:tc>
          <w:tcPr>
            <w:tcW w:w="5240" w:type="dxa"/>
            <w:vAlign w:val="bottom"/>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460" w:hanging="332"/>
        <w:spacing w:after="0" w:line="273" w:lineRule="auto"/>
        <w:tabs>
          <w:tab w:leader="none" w:pos="332"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first quarter of fiscal 2020, a charge of $17.7 million was recorded to reflect the impairment of the value ascribed to the goodwill in the Other International reporting unit in the International segment.</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Goodwill balance for the International reporting unit is net of accumulated impairment losses of $17.7 million.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value of the Company’s intangible assets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April 3, 2021</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2"/>
              </w:rPr>
              <w:t>January 2, 2021</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189"/>
        </w:trPr>
        <w:tc>
          <w:tcPr>
            <w:tcW w:w="266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266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 useful</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life</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0"/>
              </w:rPr>
              <w:t>Net amount</w:t>
            </w:r>
          </w:p>
        </w:tc>
      </w:tr>
      <w:tr>
        <w:trPr>
          <w:trHeight w:val="24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r>
      <w:tr>
        <w:trPr>
          <w:trHeight w:val="233"/>
        </w:trPr>
        <w:tc>
          <w:tcPr>
            <w:tcW w:w="2660" w:type="dxa"/>
            <w:vAlign w:val="bottom"/>
          </w:tcPr>
          <w:p>
            <w:pPr>
              <w:ind w:left="2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70,000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70,000</w:t>
            </w:r>
          </w:p>
        </w:tc>
      </w:tr>
      <w:tr>
        <w:trPr>
          <w:trHeight w:val="25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Finite-life tradenames</w:t>
            </w:r>
          </w:p>
        </w:tc>
        <w:tc>
          <w:tcPr>
            <w:tcW w:w="13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9"/>
              </w:rPr>
              <w:t>5 -20 years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2,597</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2,660</w:t>
            </w:r>
          </w:p>
        </w:tc>
      </w:tr>
      <w:tr>
        <w:trPr>
          <w:trHeight w:val="26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tradenames, net</w:t>
            </w: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307,830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307,893</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Skip Hop customer relationships</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15 years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34,672</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35,466</w:t>
            </w:r>
          </w:p>
        </w:tc>
      </w:tr>
      <w:tr>
        <w:trPr>
          <w:trHeight w:val="237"/>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Carter’s Mexico customer relationships</w:t>
            </w:r>
          </w:p>
        </w:tc>
        <w:tc>
          <w:tcPr>
            <w:tcW w:w="13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1"/>
              </w:rPr>
              <w:t>10 years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r>
      <w:tr>
        <w:trPr>
          <w:trHeight w:val="26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customer relationships, net</w:t>
            </w: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36,596</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28, 2020</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2"/>
        </w:trPr>
        <w:tc>
          <w:tcPr>
            <w:tcW w:w="5840" w:type="dxa"/>
            <w:vAlign w:val="bottom"/>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useful life</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2"/>
              </w:rPr>
              <w:t>Gross amount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0"/>
              </w:rPr>
              <w:t>Net amount</w:t>
            </w: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r>
      <w:tr>
        <w:trPr>
          <w:trHeight w:val="243"/>
        </w:trPr>
        <w:tc>
          <w:tcPr>
            <w:tcW w:w="5840" w:type="dxa"/>
            <w:vAlign w:val="bottom"/>
          </w:tcPr>
          <w:p>
            <w:pPr>
              <w:ind w:left="2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r>
              <w:rPr>
                <w:rFonts w:ascii="Arial" w:cs="Arial" w:eastAsia="Arial" w:hAnsi="Arial"/>
                <w:sz w:val="21"/>
                <w:szCs w:val="21"/>
                <w:color w:val="auto"/>
                <w:vertAlign w:val="superscript"/>
              </w:rPr>
              <w:t>(1)</w:t>
            </w: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70,000</w:t>
            </w: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r>
              <w:rPr>
                <w:rFonts w:ascii="Arial" w:cs="Arial" w:eastAsia="Arial" w:hAnsi="Arial"/>
                <w:sz w:val="21"/>
                <w:szCs w:val="21"/>
                <w:color w:val="auto"/>
                <w:vertAlign w:val="superscript"/>
              </w:rPr>
              <w:t>(2)</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36"/>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Finite-life tradenames</w:t>
            </w:r>
          </w:p>
        </w:tc>
        <w:tc>
          <w:tcPr>
            <w:tcW w:w="17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89"/>
              </w:rPr>
              <w:t>5 - 20 years</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2,847</w:t>
            </w:r>
          </w:p>
        </w:tc>
      </w:tr>
      <w:tr>
        <w:trPr>
          <w:trHeight w:val="26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tradenames, net</w:t>
            </w: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308,080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Skip Hop customer relationships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15 years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37,849</w:t>
            </w:r>
          </w:p>
        </w:tc>
      </w:tr>
      <w:tr>
        <w:trPr>
          <w:trHeight w:val="236"/>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Carter’s Mexico customer relationships</w:t>
            </w:r>
          </w:p>
        </w:tc>
        <w:tc>
          <w:tcPr>
            <w:tcW w:w="17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7"/>
              </w:rPr>
              <w:t>10 years</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w:t>
            </w:r>
          </w:p>
        </w:tc>
      </w:tr>
      <w:tr>
        <w:trPr>
          <w:trHeight w:val="26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customer relationships, net</w:t>
            </w: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39,785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40" w:right="60" w:hanging="332"/>
        <w:spacing w:after="0" w:line="273" w:lineRule="auto"/>
        <w:tabs>
          <w:tab w:leader="none" w:pos="332"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$13.6 million, $1.6 million, and $0.3 million was recorded on our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 in the U.S. Retail, U.S. Wholesale, and International segments, respectively, to reflect the impairment of the value ascribed to the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w:t>
      </w:r>
    </w:p>
    <w:p>
      <w:pPr>
        <w:spacing w:after="0" w:line="11" w:lineRule="exact"/>
        <w:rPr>
          <w:rFonts w:ascii="Arial" w:cs="Arial" w:eastAsia="Arial" w:hAnsi="Arial"/>
          <w:sz w:val="14"/>
          <w:szCs w:val="14"/>
          <w:color w:val="auto"/>
        </w:rPr>
      </w:pPr>
    </w:p>
    <w:p>
      <w:pPr>
        <w:ind w:left="340" w:right="20" w:hanging="332"/>
        <w:spacing w:after="0" w:line="273" w:lineRule="auto"/>
        <w:tabs>
          <w:tab w:leader="none" w:pos="332"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$6.8 million, $3.7 million, and $0.5 million was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w:t>
      </w:r>
    </w:p>
    <w:p>
      <w:pPr>
        <w:spacing w:after="0" w:line="15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Amortization expense for intangible assets subject to amortization was approximately $0.9 million for both first fiscal quarters ended April 3, 2021 and March 28,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Amortization</w:t>
            </w:r>
          </w:p>
        </w:tc>
      </w:tr>
      <w:tr>
        <w:trPr>
          <w:trHeight w:val="22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expense</w:t>
            </w:r>
          </w:p>
        </w:tc>
      </w:tr>
      <w:tr>
        <w:trPr>
          <w:trHeight w:val="24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w:t>
            </w:r>
          </w:p>
        </w:tc>
      </w:tr>
      <w:tr>
        <w:trPr>
          <w:trHeight w:val="233"/>
        </w:trPr>
        <w:tc>
          <w:tcPr>
            <w:tcW w:w="9800" w:type="dxa"/>
            <w:vAlign w:val="bottom"/>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3,730</w:t>
            </w:r>
          </w:p>
        </w:tc>
      </w:tr>
      <w:tr>
        <w:trPr>
          <w:trHeight w:val="25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w:t>
            </w:r>
          </w:p>
        </w:tc>
      </w:tr>
      <w:tr>
        <w:trPr>
          <w:trHeight w:val="233"/>
        </w:trPr>
        <w:tc>
          <w:tcPr>
            <w:tcW w:w="980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3,658</w:t>
            </w:r>
          </w:p>
        </w:tc>
      </w:tr>
      <w:tr>
        <w:trPr>
          <w:trHeight w:val="25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w:t>
            </w:r>
          </w:p>
        </w:tc>
      </w:tr>
      <w:tr>
        <w:trPr>
          <w:trHeight w:val="223"/>
        </w:trPr>
        <w:tc>
          <w:tcPr>
            <w:tcW w:w="9800" w:type="dxa"/>
            <w:vAlign w:val="bottom"/>
          </w:tcPr>
          <w:p>
            <w:pPr>
              <w:ind w:left="20"/>
              <w:spacing w:after="0"/>
              <w:rPr>
                <w:sz w:val="20"/>
                <w:szCs w:val="20"/>
                <w:color w:val="auto"/>
              </w:rPr>
            </w:pPr>
            <w:r>
              <w:rPr>
                <w:rFonts w:ascii="Arial" w:cs="Arial" w:eastAsia="Arial" w:hAnsi="Arial"/>
                <w:sz w:val="16"/>
                <w:szCs w:val="16"/>
                <w:color w:val="auto"/>
              </w:rPr>
              <w:t>2026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3,658</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7960" w:type="dxa"/>
            <w:vAlign w:val="bottom"/>
          </w:tcPr>
          <w:p>
            <w:pPr>
              <w:spacing w:after="0"/>
              <w:rPr>
                <w:sz w:val="19"/>
                <w:szCs w:val="19"/>
                <w:color w:val="auto"/>
              </w:rPr>
            </w:pPr>
          </w:p>
        </w:tc>
        <w:tc>
          <w:tcPr>
            <w:tcW w:w="3160" w:type="dxa"/>
            <w:vAlign w:val="bottom"/>
            <w:tcBorders>
              <w:bottom w:val="single" w:sz="8" w:color="auto"/>
            </w:tcBorders>
            <w:gridSpan w:val="5"/>
          </w:tcPr>
          <w:p>
            <w:pPr>
              <w:jc w:val="right"/>
              <w:ind w:right="779"/>
              <w:spacing w:after="0"/>
              <w:rPr>
                <w:sz w:val="20"/>
                <w:szCs w:val="20"/>
                <w:color w:val="auto"/>
              </w:rPr>
            </w:pPr>
            <w:r>
              <w:rPr>
                <w:rFonts w:ascii="Arial" w:cs="Arial" w:eastAsia="Arial" w:hAnsi="Arial"/>
                <w:sz w:val="16"/>
                <w:szCs w:val="16"/>
                <w:b w:val="1"/>
                <w:bCs w:val="1"/>
                <w:color w:val="auto"/>
              </w:rPr>
              <w:t>Fiscal quarter ended</w:t>
            </w:r>
          </w:p>
        </w:tc>
      </w:tr>
      <w:tr>
        <w:trPr>
          <w:trHeight w:val="237"/>
        </w:trPr>
        <w:tc>
          <w:tcPr>
            <w:tcW w:w="79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 2021</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March 28, 2020</w:t>
            </w:r>
          </w:p>
        </w:tc>
      </w:tr>
      <w:tr>
        <w:trPr>
          <w:trHeight w:val="243"/>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12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474,684</w:t>
            </w:r>
          </w:p>
        </w:tc>
      </w:tr>
      <w:tr>
        <w:trPr>
          <w:trHeight w:val="233"/>
        </w:trPr>
        <w:tc>
          <w:tcPr>
            <w:tcW w:w="7960" w:type="dxa"/>
            <w:vAlign w:val="bottom"/>
          </w:tcPr>
          <w:p>
            <w:pPr>
              <w:ind w:left="20"/>
              <w:spacing w:after="0"/>
              <w:rPr>
                <w:sz w:val="20"/>
                <w:szCs w:val="20"/>
                <w:color w:val="auto"/>
              </w:rPr>
            </w:pPr>
            <w:r>
              <w:rPr>
                <w:rFonts w:ascii="Arial" w:cs="Arial" w:eastAsia="Arial" w:hAnsi="Arial"/>
                <w:sz w:val="16"/>
                <w:szCs w:val="16"/>
                <w:color w:val="auto"/>
              </w:rPr>
              <w:t>Aggregate cost of shares repurchased (dollars in thousands)</w:t>
            </w: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45,255</w:t>
            </w:r>
          </w:p>
        </w:tc>
      </w:tr>
      <w:tr>
        <w:trPr>
          <w:trHeight w:val="253"/>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r>
    </w:tbl>
    <w:p>
      <w:pPr>
        <w:spacing w:after="0" w:line="2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April 3, 2021 was approximately $650.4 million, based on settled repurchase transactions. The share repurchase authorizations have no expiration date.</w:t>
      </w:r>
    </w:p>
    <w:p>
      <w:pPr>
        <w:spacing w:after="0" w:line="14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previously announced, the Company, in connection with the COVID-19 pandemic, suspended its common stock share repurchase program at the end of the first quarter in fiscal 2020. While the Company may elect to resume purchases at any time, the timing and amount of any future repurchases will be determined by the Company based on its evaluation of market conditions, share price, other investment priorities, and other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On May 1, 2020, in connection with the COVID-19 pandemic, the Company suspended its quarterly cash dividend. As a result, the Company did not declare or pay cash dividends for the first quarter of fiscal 2021. In the first fiscal quarter ended March 28, 2020, the Company declared and paid cash dividends per share of $0.60.</w:t>
      </w:r>
    </w:p>
    <w:p>
      <w:pPr>
        <w:spacing w:after="0" w:line="143"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On April 27, 2021, in connection with the announcement of the amendment on the Company’s revolving credit facility, the Company’s Board of Directors authorized a quarterly cash dividend payment of $0.40 per common share, payable on May 28, 2021, to shareholders of record at the close of business on May 12, 2021. The Board of Directors will evaluate future dividend declarations based on a number of factors, including restrictions under the Company’s revolving credit facility, business conditions, the Company’s financial performance, and other considerations.</w:t>
      </w:r>
    </w:p>
    <w:p>
      <w:pPr>
        <w:spacing w:after="0" w:line="13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Provisions in the Company’s secured revolving credit facility could have the effect of restricting the Company’s ability to pay cash dividends on, or make future repurchases of, its common stock, as further described in Note 8, </w:t>
      </w:r>
      <w:r>
        <w:rPr>
          <w:rFonts w:ascii="Arial" w:cs="Arial" w:eastAsia="Arial" w:hAnsi="Arial"/>
          <w:sz w:val="17"/>
          <w:szCs w:val="17"/>
          <w:i w:val="1"/>
          <w:iCs w:val="1"/>
          <w:color w:val="auto"/>
        </w:rPr>
        <w:t>Long-term Debt</w:t>
      </w:r>
      <w:r>
        <w:rPr>
          <w:rFonts w:ascii="Arial" w:cs="Arial" w:eastAsia="Arial" w:hAnsi="Arial"/>
          <w:sz w:val="17"/>
          <w:szCs w:val="17"/>
          <w:color w:val="auto"/>
        </w:rPr>
        <w:t>, to the consolidated financial statements.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9"/>
                <w:szCs w:val="19"/>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 2021</w:t>
            </w:r>
          </w:p>
        </w:tc>
        <w:tc>
          <w:tcPr>
            <w:tcW w:w="20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240" w:type="dxa"/>
            <w:vAlign w:val="bottom"/>
          </w:tcPr>
          <w:p>
            <w:pPr>
              <w:spacing w:after="0"/>
              <w:rPr>
                <w:sz w:val="19"/>
                <w:szCs w:val="19"/>
                <w:color w:val="auto"/>
              </w:rPr>
            </w:pPr>
          </w:p>
        </w:tc>
        <w:tc>
          <w:tcPr>
            <w:tcW w:w="162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28, 2020</w:t>
            </w:r>
          </w:p>
        </w:tc>
      </w:tr>
      <w:tr>
        <w:trPr>
          <w:trHeight w:val="243"/>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$500 million 5.500%</w:t>
            </w: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May 15, 2025</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$500 million 5.625%</w:t>
            </w:r>
          </w:p>
        </w:tc>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Senior Notes due March 15, 2027</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r>
      <w:tr>
        <w:trPr>
          <w:trHeight w:val="243"/>
        </w:trPr>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senior notes</w:t>
            </w:r>
          </w:p>
        </w:tc>
        <w:tc>
          <w:tcPr>
            <w:tcW w:w="4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37"/>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(5,178)</w:t>
            </w:r>
          </w:p>
        </w:tc>
      </w:tr>
      <w:tr>
        <w:trPr>
          <w:trHeight w:val="243"/>
        </w:trPr>
        <w:tc>
          <w:tcPr>
            <w:tcW w:w="1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4"/>
              </w:rPr>
              <w:t>Senior notes, net</w:t>
            </w:r>
          </w:p>
        </w:tc>
        <w:tc>
          <w:tcPr>
            <w:tcW w:w="4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989,980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989,530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494,822</w:t>
            </w:r>
          </w:p>
        </w:tc>
      </w:tr>
      <w:tr>
        <w:trPr>
          <w:trHeight w:val="236"/>
        </w:trPr>
        <w:tc>
          <w:tcPr>
            <w:tcW w:w="5580" w:type="dxa"/>
            <w:vAlign w:val="bottom"/>
            <w:gridSpan w:val="2"/>
          </w:tcPr>
          <w:p>
            <w:pPr>
              <w:ind w:left="20"/>
              <w:spacing w:after="0"/>
              <w:rPr>
                <w:sz w:val="20"/>
                <w:szCs w:val="20"/>
                <w:color w:val="auto"/>
              </w:rPr>
            </w:pPr>
            <w:r>
              <w:rPr>
                <w:rFonts w:ascii="Arial" w:cs="Arial" w:eastAsia="Arial" w:hAnsi="Arial"/>
                <w:sz w:val="16"/>
                <w:szCs w:val="16"/>
                <w:color w:val="auto"/>
              </w:rPr>
              <w:t>Secured revolving credit facility</w:t>
            </w:r>
          </w:p>
        </w:tc>
        <w:tc>
          <w:tcPr>
            <w:tcW w:w="2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744,000</w:t>
            </w:r>
          </w:p>
        </w:tc>
      </w:tr>
      <w:tr>
        <w:trPr>
          <w:trHeight w:val="268"/>
        </w:trPr>
        <w:tc>
          <w:tcPr>
            <w:tcW w:w="5580" w:type="dxa"/>
            <w:vAlign w:val="bottom"/>
            <w:tcBorders>
              <w:top w:val="single" w:sz="8" w:color="CCEEFF"/>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Total long-term debt, net</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989,980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1,238,822</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April 3, 2021, the Company had no outstanding borrowings under its secured revolving credit facility, exclusive of $5.0 million of outstanding letters of credit. As of April 3, 2021, approximately $745.0 million remained available for future borrowing. All outstanding borrowings under the Company’s secured revolving credit facility are classified as non-current liabilities on the Company’s consolidated balance sheet because of the contractual repayment terms under the credit facility.</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April 3, 2021, the interest rate margins applicable to the secured revolving credit facility were 1.625% for LIBOR (London Interbank Offered Rate) rate loans and 0.625% for base rate loans.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first quarter of fiscal 2021, there were no changes in our financial and other covenants under the secured revolving credit facility as described in our Form 10-K for the 2020 fiscal year ended January 2,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April 3, 2021, the Company was in compliance with its financial and other covenants under the secured revolving credit facility.</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April 21, 2021, the Company, through its wholly owned subsidiary, The William Carter Company (“TWCC”), entered into Amendment No. 3 to its fourth amended and restated credit agreement (“Amendment No. 3”). Among other things, Amendment No. 3 provides that through the remainder of the Restricted Period, which ends on the date the Company delivers its financial statements and associated certificates relating to the third fiscal quarter of 2021:</w:t>
      </w:r>
    </w:p>
    <w:p>
      <w:pPr>
        <w:spacing w:after="0" w:line="52" w:lineRule="exact"/>
        <w:rPr>
          <w:sz w:val="20"/>
          <w:szCs w:val="20"/>
          <w:color w:val="auto"/>
        </w:rPr>
      </w:pPr>
    </w:p>
    <w:p>
      <w:pPr>
        <w:jc w:val="both"/>
        <w:ind w:left="660" w:right="4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must maintain a minimum liquidity (defined as cash-on-hand plus availability under the secured revolving credit facility) on the last day of each fiscal month of at least $950 million (the “Revised Liquidity Requirement”), which was increased by $250 million from $700 million; and</w:t>
      </w:r>
    </w:p>
    <w:p>
      <w:pPr>
        <w:spacing w:after="0" w:line="62" w:lineRule="exact"/>
        <w:rPr>
          <w:rFonts w:ascii="Arial" w:cs="Arial" w:eastAsia="Arial" w:hAnsi="Arial"/>
          <w:sz w:val="18"/>
          <w:szCs w:val="18"/>
          <w:color w:val="auto"/>
        </w:rPr>
      </w:pPr>
    </w:p>
    <w:p>
      <w:pPr>
        <w:ind w:left="660" w:right="180" w:hanging="328"/>
        <w:spacing w:after="0" w:line="29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may make additional restricted payments, including to pay cash dividends and repurchase common stock, in an amount not to exceed $250 million, provided that (a) no default or event of default will have occurred and be continuing or would result from the payment and</w:t>
      </w:r>
    </w:p>
    <w:p>
      <w:pPr>
        <w:ind w:left="660" w:right="140"/>
        <w:spacing w:after="0" w:line="260" w:lineRule="auto"/>
        <w:rPr>
          <w:rFonts w:ascii="Arial" w:cs="Arial" w:eastAsia="Arial" w:hAnsi="Arial"/>
          <w:sz w:val="16"/>
          <w:szCs w:val="16"/>
          <w:color w:val="auto"/>
        </w:rPr>
      </w:pPr>
      <w:r>
        <w:rPr>
          <w:rFonts w:ascii="Arial" w:cs="Arial" w:eastAsia="Arial" w:hAnsi="Arial"/>
          <w:sz w:val="18"/>
          <w:szCs w:val="18"/>
          <w:color w:val="auto"/>
        </w:rPr>
        <w:t>(b) after giving effect to the payment, the Company would have been in compliance with Revised Liquidity Requirement as of the last day of the most recent month.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Fiscal quarter ended</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 2021</w:t>
            </w:r>
          </w:p>
        </w:tc>
        <w:tc>
          <w:tcPr>
            <w:tcW w:w="220" w:type="dxa"/>
            <w:vAlign w:val="bottom"/>
          </w:tcPr>
          <w:p>
            <w:pPr>
              <w:spacing w:after="0"/>
              <w:rPr>
                <w:sz w:val="20"/>
                <w:szCs w:val="20"/>
                <w:color w:val="auto"/>
              </w:rPr>
            </w:pPr>
          </w:p>
        </w:tc>
        <w:tc>
          <w:tcPr>
            <w:tcW w:w="160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28, 2020</w:t>
            </w:r>
          </w:p>
        </w:tc>
      </w:tr>
      <w:tr>
        <w:trPr>
          <w:trHeight w:val="24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w:t>
            </w:r>
          </w:p>
        </w:tc>
      </w:tr>
      <w:tr>
        <w:trPr>
          <w:trHeight w:val="233"/>
        </w:trPr>
        <w:tc>
          <w:tcPr>
            <w:tcW w:w="742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3"/>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w:t>
            </w:r>
          </w:p>
        </w:tc>
      </w:tr>
      <w:tr>
        <w:trPr>
          <w:trHeight w:val="237"/>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Performance-based awards</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w:t>
            </w:r>
          </w:p>
        </w:tc>
      </w:tr>
      <w:tr>
        <w:trPr>
          <w:trHeight w:val="26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February 10, 2021, the Company’s Board of Directors approved the issuance of the following new awards to certain key employees under the Company’s existing stock-based compensation plan, subject to vesting: 301,584 shares of time-based restricted stock awards with a grant-date fair value of $98.05 each.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2021, a total of 94,589 restricted stock awards (time-based) vested.</w:t>
      </w:r>
    </w:p>
    <w:p>
      <w:pPr>
        <w:spacing w:after="0" w:line="185"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recognizes compensation cost ratably over the applicable performance periods based on the estimated probability of achievement of its performance targets at the end of each period. During the first quarter of 2021, the achievement of performance target estimates related to certain performance-based grants were revised resulting in a $2.6 million increase to stock-based compensation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As of April 3, 2021, the Company had gross unrecognized income tax benefits of approximately $15.6 million, of which $11.0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3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Included in the reserves for unrecognized tax benefits at April 3, 2021 is approximately $2.1 million of reserves for which the statute of limitations is expected to expire within the next 12 months. If these tax benefits are ultimately recognized, such recognition, net of federal income taxes, may affect the annual effective income tax rate for fiscal 2021 or fiscal 2022 along with the effective income tax rate in the quarter in which the benefits are recognized.</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recognizes interest related to unrecognized tax benefits as a component of interest expense and recognizes penalties related to unrecognized income tax benefits as a component of income tax expense. During the first fiscal quarter ended April 3, 2021 and March 28, 2020, interest expense on uncertain tax positions was not material. The Company had approximately $2.9 million, $2.7 million, and $2.5 million of interest accrued on uncertain tax positions as of April 3, 2021, January 2, 2021, and March 28, 2020,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$15.4 million, $20.2 million, and $16.7 million at April 3, 2021, January 2, 2021, and March 28, 2020, respectively. These investments are classified as Level 1 within the fair value hierarchy. The change in the aggregate fair values of marketable securities are due to the net activity of gains and losses and any contributions and distributions during the period. Gains on the investments in marketable securities were not material for the first fiscal quarter ended April 3, 2021. Loss on the investments in marketable securities were $3.0 million for the first fiscal quarter ended March 28, 2020. These amounts are included in Other expense (income), net on the Company’s consolidated statement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April 3, 2021, the Company had no outstanding borrowings under its secured revolving credit facility.</w:t>
      </w:r>
    </w:p>
    <w:p>
      <w:pPr>
        <w:spacing w:after="0" w:line="19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fair value of the Company’s senior notes at April 3, 2021 was approximately $1.06 billion. The fair value of these senior notes with a notional value and carrying value (gross of debt issuance costs) of $1.00 billion was estimated using a quoted price as provided in the secondary market, which considers the Company’s credit risk and market related conditions, and is therefore within Level 2 of the fair value hierarchy.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45"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29210</wp:posOffset>
            </wp:positionV>
            <wp:extent cx="2348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Weighted-average number of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151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Basic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1517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Dilutive effect of equity awards</w:t>
      </w:r>
      <w:r>
        <w:rPr>
          <w:rFonts w:ascii="Arial" w:cs="Arial" w:eastAsia="Arial" w:hAnsi="Arial"/>
          <w:sz w:val="21"/>
          <w:szCs w:val="21"/>
          <w:color w:val="auto"/>
          <w:vertAlign w:val="superscript"/>
        </w:rPr>
        <w:t>(1)</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Diluted number of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3, 2021</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43,370,744</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129,198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26670</wp:posOffset>
            </wp:positionV>
            <wp:extent cx="11398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43,499,942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26670</wp:posOffset>
            </wp:positionV>
            <wp:extent cx="11398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March 28, 2020</w:t>
      </w:r>
    </w:p>
    <w:p>
      <w:pPr>
        <w:spacing w:after="0" w:line="30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43,355,635</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26670</wp:posOffset>
            </wp:positionV>
            <wp:extent cx="11404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43,355,635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26670</wp:posOffset>
            </wp:positionV>
            <wp:extent cx="11404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3">
            <w:col w:w="7240" w:space="720"/>
            <w:col w:w="1280" w:space="540"/>
            <w:col w:w="1440"/>
          </w:cols>
          <w:pgMar w:left="320" w:top="364" w:right="359" w:bottom="1440" w:gutter="0" w:footer="0" w:header="0"/>
          <w:type w:val="continuous"/>
        </w:sectPr>
      </w:pP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151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(dollars in thousands, except per share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ind w:left="20"/>
              <w:spacing w:after="0"/>
              <w:rPr>
                <w:sz w:val="20"/>
                <w:szCs w:val="20"/>
                <w:color w:val="auto"/>
              </w:rPr>
            </w:pPr>
            <w:r>
              <w:rPr>
                <w:rFonts w:ascii="Arial" w:cs="Arial" w:eastAsia="Arial" w:hAnsi="Arial"/>
                <w:sz w:val="16"/>
                <w:szCs w:val="16"/>
                <w:color w:val="auto"/>
              </w:rPr>
              <w:t>Basic net income (loss) per common share:</w:t>
            </w: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(loss)</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86,196</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(78,694)</w:t>
            </w: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68"/>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(loss) available to common shareholders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85,163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(78,948)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 net income (loss) per common share</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6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52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86,196</w:t>
            </w:r>
          </w:p>
        </w:tc>
        <w:tc>
          <w:tcPr>
            <w:tcW w:w="120" w:type="dxa"/>
            <w:vAlign w:val="bottom"/>
          </w:tcPr>
          <w:p>
            <w:pPr>
              <w:spacing w:after="0"/>
              <w:rPr>
                <w:sz w:val="20"/>
                <w:szCs w:val="20"/>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(78,694)</w:t>
            </w:r>
          </w:p>
        </w:tc>
        <w:tc>
          <w:tcPr>
            <w:tcW w:w="0" w:type="dxa"/>
            <w:vAlign w:val="bottom"/>
          </w:tcPr>
          <w:p>
            <w:pPr>
              <w:spacing w:after="0"/>
              <w:rPr>
                <w:sz w:val="1"/>
                <w:szCs w:val="1"/>
                <w:color w:val="auto"/>
              </w:rPr>
            </w:pPr>
          </w:p>
        </w:tc>
      </w:tr>
      <w:tr>
        <w:trPr>
          <w:trHeight w:val="246"/>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6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43"/>
        </w:trPr>
        <w:tc>
          <w:tcPr>
            <w:tcW w:w="7520" w:type="dxa"/>
            <w:vAlign w:val="bottom"/>
          </w:tcPr>
          <w:p>
            <w:pPr>
              <w:ind w:left="360"/>
              <w:spacing w:after="0"/>
              <w:rPr>
                <w:sz w:val="20"/>
                <w:szCs w:val="20"/>
                <w:color w:val="auto"/>
              </w:rPr>
            </w:pPr>
            <w:r>
              <w:rPr>
                <w:rFonts w:ascii="Arial" w:cs="Arial" w:eastAsia="Arial" w:hAnsi="Arial"/>
                <w:sz w:val="16"/>
                <w:szCs w:val="16"/>
                <w:color w:val="auto"/>
              </w:rPr>
              <w:t>Net income (loss) available to common shareholders</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85,166</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(78,948)</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7520" w:type="dxa"/>
            <w:vAlign w:val="bottom"/>
          </w:tcPr>
          <w:p>
            <w:pPr>
              <w:ind w:left="360"/>
              <w:spacing w:after="0"/>
              <w:rPr>
                <w:sz w:val="20"/>
                <w:szCs w:val="20"/>
                <w:color w:val="auto"/>
              </w:rPr>
            </w:pPr>
            <w:r>
              <w:rPr>
                <w:rFonts w:ascii="Arial" w:cs="Arial" w:eastAsia="Arial" w:hAnsi="Arial"/>
                <w:sz w:val="16"/>
                <w:szCs w:val="16"/>
                <w:color w:val="auto"/>
              </w:rPr>
              <w:t>Diluted net income (loss) per common share</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72"/>
        </w:trPr>
        <w:tc>
          <w:tcPr>
            <w:tcW w:w="7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7520" w:type="dxa"/>
            <w:vAlign w:val="bottom"/>
          </w:tcPr>
          <w:p>
            <w:pPr>
              <w:ind w:left="360"/>
              <w:spacing w:after="0"/>
              <w:rPr>
                <w:sz w:val="20"/>
                <w:szCs w:val="20"/>
                <w:color w:val="auto"/>
              </w:rPr>
            </w:pPr>
            <w:r>
              <w:rPr>
                <w:rFonts w:ascii="Arial" w:cs="Arial" w:eastAsia="Arial" w:hAnsi="Arial"/>
                <w:sz w:val="16"/>
                <w:szCs w:val="16"/>
                <w:color w:val="auto"/>
              </w:rPr>
              <w:t>Anti-dilutive awards excluded from diluted earnings per share computation</w:t>
            </w:r>
            <w:r>
              <w:rPr>
                <w:rFonts w:ascii="Arial" w:cs="Arial" w:eastAsia="Arial" w:hAnsi="Arial"/>
                <w:sz w:val="21"/>
                <w:szCs w:val="21"/>
                <w:color w:val="auto"/>
                <w:vertAlign w:val="superscript"/>
              </w:rPr>
              <w:t>(2)</w:t>
            </w:r>
          </w:p>
        </w:tc>
        <w:tc>
          <w:tcPr>
            <w:tcW w:w="6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481,491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302,238</w:t>
            </w:r>
          </w:p>
        </w:tc>
        <w:tc>
          <w:tcPr>
            <w:tcW w:w="0" w:type="dxa"/>
            <w:vAlign w:val="bottom"/>
          </w:tcPr>
          <w:p>
            <w:pPr>
              <w:spacing w:after="0"/>
              <w:rPr>
                <w:sz w:val="1"/>
                <w:szCs w:val="1"/>
                <w:color w:val="auto"/>
              </w:rPr>
            </w:pPr>
          </w:p>
        </w:tc>
      </w:tr>
      <w:tr>
        <w:trPr>
          <w:trHeight w:val="107"/>
        </w:trPr>
        <w:tc>
          <w:tcPr>
            <w:tcW w:w="7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500" w:right="280" w:hanging="492"/>
        <w:spacing w:after="0" w:line="273" w:lineRule="auto"/>
        <w:tabs>
          <w:tab w:leader="none" w:pos="492"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quarter ended March 28, 2020, there were 339,841 potentially dilutive equity awards that were excluded from the diluted earnings per share calculation because the Company incurred a net loss for this period and their inclusion would be anti-dilutive.</w:t>
      </w:r>
    </w:p>
    <w:p>
      <w:pPr>
        <w:spacing w:after="0" w:line="11" w:lineRule="exact"/>
        <w:rPr>
          <w:rFonts w:ascii="Arial" w:cs="Arial" w:eastAsia="Arial" w:hAnsi="Arial"/>
          <w:sz w:val="14"/>
          <w:szCs w:val="14"/>
          <w:color w:val="auto"/>
        </w:rPr>
      </w:pPr>
    </w:p>
    <w:p>
      <w:pPr>
        <w:ind w:left="480" w:hanging="472"/>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volume of anti-dilutive awards is, in part, due to the related unamortized compensation costs.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at the end of any comparable period,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 2021</w:t>
            </w:r>
          </w:p>
        </w:tc>
        <w:tc>
          <w:tcPr>
            <w:tcW w:w="24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240" w:type="dxa"/>
            <w:vAlign w:val="bottom"/>
          </w:tcPr>
          <w:p>
            <w:pPr>
              <w:spacing w:after="0"/>
              <w:rPr>
                <w:sz w:val="19"/>
                <w:szCs w:val="19"/>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28, 2020</w:t>
            </w:r>
          </w:p>
        </w:tc>
      </w:tr>
      <w:tr>
        <w:trPr>
          <w:trHeight w:val="24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40,143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7,665</w:t>
            </w:r>
          </w:p>
        </w:tc>
      </w:tr>
      <w:tr>
        <w:trPr>
          <w:trHeight w:val="233"/>
        </w:trPr>
        <w:tc>
          <w:tcPr>
            <w:tcW w:w="5560" w:type="dxa"/>
            <w:vAlign w:val="bottom"/>
          </w:tcPr>
          <w:p>
            <w:pPr>
              <w:ind w:left="20"/>
              <w:spacing w:after="0"/>
              <w:rPr>
                <w:sz w:val="20"/>
                <w:szCs w:val="20"/>
                <w:color w:val="auto"/>
              </w:rPr>
            </w:pPr>
            <w:r>
              <w:rPr>
                <w:rFonts w:ascii="Arial" w:cs="Arial" w:eastAsia="Arial" w:hAnsi="Arial"/>
                <w:sz w:val="16"/>
                <w:szCs w:val="16"/>
                <w:color w:val="auto"/>
              </w:rPr>
              <w:t>Unredeemed gift cards</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17,426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16,758</w:t>
            </w:r>
          </w:p>
        </w:tc>
      </w:tr>
      <w:tr>
        <w:trPr>
          <w:trHeight w:val="25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employee benefits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9,908</w:t>
            </w:r>
          </w:p>
        </w:tc>
      </w:tr>
      <w:tr>
        <w:trPr>
          <w:trHeight w:val="233"/>
        </w:trPr>
        <w:tc>
          <w:tcPr>
            <w:tcW w:w="5560" w:type="dxa"/>
            <w:vAlign w:val="bottom"/>
          </w:tcPr>
          <w:p>
            <w:pPr>
              <w:ind w:left="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16,054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10,900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7,378</w:t>
            </w:r>
          </w:p>
        </w:tc>
      </w:tr>
      <w:tr>
        <w:trPr>
          <w:trHeight w:val="25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r>
      <w:tr>
        <w:trPr>
          <w:trHeight w:val="233"/>
        </w:trPr>
        <w:tc>
          <w:tcPr>
            <w:tcW w:w="5560" w:type="dxa"/>
            <w:vAlign w:val="bottom"/>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10,222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8,873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salaries and wages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11,911</w:t>
            </w:r>
          </w:p>
        </w:tc>
      </w:tr>
      <w:tr>
        <w:trPr>
          <w:trHeight w:val="237"/>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23,886</w:t>
            </w:r>
          </w:p>
        </w:tc>
      </w:tr>
      <w:tr>
        <w:trPr>
          <w:trHeight w:val="26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79,135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0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The Company's contractual obligations and commitments include obligations associated with leases, the secured revolving credit agreement, senior notes, employee benefit plans, and facility consolidations/closures as disclosed in Note 16, </w:t>
      </w:r>
      <w:r>
        <w:rPr>
          <w:rFonts w:ascii="Arial" w:cs="Arial" w:eastAsia="Arial" w:hAnsi="Arial"/>
          <w:sz w:val="18"/>
          <w:szCs w:val="18"/>
          <w:i w:val="1"/>
          <w:iCs w:val="1"/>
          <w:color w:val="auto"/>
        </w:rPr>
        <w:t>Organizational Restructuring and Office Consolidation</w:t>
      </w:r>
      <w:r>
        <w:rPr>
          <w:rFonts w:ascii="Arial" w:cs="Arial" w:eastAsia="Arial" w:hAnsi="Arial"/>
          <w:sz w:val="18"/>
          <w:szCs w:val="18"/>
          <w:color w:val="auto"/>
        </w:rPr>
        <w:t>, to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information for our reportable segments and unallocated corporate expenses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5"/>
          </w:tcPr>
          <w:p>
            <w:pPr>
              <w:ind w:left="960"/>
              <w:spacing w:after="0"/>
              <w:rPr>
                <w:sz w:val="20"/>
                <w:szCs w:val="20"/>
                <w:color w:val="auto"/>
              </w:rPr>
            </w:pPr>
            <w:r>
              <w:rPr>
                <w:rFonts w:ascii="Arial" w:cs="Arial" w:eastAsia="Arial" w:hAnsi="Arial"/>
                <w:sz w:val="16"/>
                <w:szCs w:val="16"/>
                <w:b w:val="1"/>
                <w:bCs w:val="1"/>
                <w:color w:val="auto"/>
              </w:rPr>
              <w:t>Fiscal quarter ended</w:t>
            </w:r>
          </w:p>
        </w:tc>
        <w:tc>
          <w:tcPr>
            <w:tcW w:w="1620" w:type="dxa"/>
            <w:vAlign w:val="bottom"/>
            <w:tcBorders>
              <w:bottom w:val="single" w:sz="8" w:color="auto"/>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559"/>
              <w:spacing w:after="0"/>
              <w:rPr>
                <w:sz w:val="20"/>
                <w:szCs w:val="20"/>
                <w:color w:val="auto"/>
              </w:rPr>
            </w:pPr>
            <w:r>
              <w:rPr>
                <w:rFonts w:ascii="Arial" w:cs="Arial" w:eastAsia="Arial" w:hAnsi="Arial"/>
                <w:sz w:val="16"/>
                <w:szCs w:val="16"/>
                <w:b w:val="1"/>
                <w:bCs w:val="1"/>
                <w:color w:val="auto"/>
              </w:rPr>
              <w:t>% of</w:t>
            </w: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9"/>
                <w:szCs w:val="19"/>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3, 2021</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Total Net Sales</w:t>
            </w:r>
          </w:p>
        </w:tc>
        <w:tc>
          <w:tcPr>
            <w:tcW w:w="14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28, 2020</w:t>
            </w: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Net Sales</w:t>
            </w: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4720" w:type="dxa"/>
            <w:vAlign w:val="bottom"/>
            <w:tcBorders>
              <w:top w:val="single" w:sz="8" w:color="CCEEFF"/>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Net sales:</w:t>
            </w: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4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U.S. Retail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407,067</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51.7 %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320,717</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49.0 %</w:t>
            </w:r>
          </w:p>
        </w:tc>
      </w:tr>
      <w:tr>
        <w:trPr>
          <w:trHeight w:val="253"/>
        </w:trPr>
        <w:tc>
          <w:tcPr>
            <w:tcW w:w="20" w:type="dxa"/>
            <w:vAlign w:val="bottom"/>
            <w:shd w:val="clear" w:color="auto" w:fill="CCEEFF"/>
          </w:tcPr>
          <w:p>
            <w:pPr>
              <w:spacing w:after="0"/>
              <w:rPr>
                <w:sz w:val="21"/>
                <w:szCs w:val="21"/>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Wholesale</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283,377</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252,130</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38.5 %</w:t>
            </w:r>
          </w:p>
        </w:tc>
      </w:tr>
      <w:tr>
        <w:trPr>
          <w:trHeight w:val="237"/>
        </w:trPr>
        <w:tc>
          <w:tcPr>
            <w:tcW w:w="20" w:type="dxa"/>
            <w:vAlign w:val="bottom"/>
            <w:tcBorders>
              <w:bottom w:val="single" w:sz="8" w:color="CCEEFF"/>
            </w:tcBorders>
          </w:tcPr>
          <w:p>
            <w:pPr>
              <w:spacing w:after="0"/>
              <w:rPr>
                <w:sz w:val="20"/>
                <w:szCs w:val="20"/>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96,917</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81,626</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12.5 %</w:t>
            </w: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787,361</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654,473</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659"/>
              <w:spacing w:after="0"/>
              <w:rPr>
                <w:sz w:val="20"/>
                <w:szCs w:val="20"/>
                <w:color w:val="auto"/>
              </w:rPr>
            </w:pPr>
            <w:r>
              <w:rPr>
                <w:rFonts w:ascii="Arial" w:cs="Arial" w:eastAsia="Arial" w:hAnsi="Arial"/>
                <w:sz w:val="16"/>
                <w:szCs w:val="16"/>
                <w:b w:val="1"/>
                <w:bCs w:val="1"/>
                <w:color w:val="auto"/>
              </w:rPr>
              <w:t>% of</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559"/>
              <w:spacing w:after="0"/>
              <w:rPr>
                <w:sz w:val="20"/>
                <w:szCs w:val="20"/>
                <w:color w:val="auto"/>
              </w:rPr>
            </w:pPr>
            <w:r>
              <w:rPr>
                <w:rFonts w:ascii="Arial" w:cs="Arial" w:eastAsia="Arial" w:hAnsi="Arial"/>
                <w:sz w:val="16"/>
                <w:szCs w:val="16"/>
                <w:b w:val="1"/>
                <w:bCs w:val="1"/>
                <w:color w:val="auto"/>
              </w:rPr>
              <w:t>% of</w:t>
            </w:r>
          </w:p>
        </w:tc>
      </w:tr>
      <w:tr>
        <w:trPr>
          <w:trHeight w:val="176"/>
        </w:trPr>
        <w:tc>
          <w:tcPr>
            <w:tcW w:w="20" w:type="dxa"/>
            <w:vAlign w:val="bottom"/>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Operating income (loss):</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ind w:right="199"/>
              <w:spacing w:after="0" w:line="176" w:lineRule="exact"/>
              <w:rPr>
                <w:sz w:val="20"/>
                <w:szCs w:val="20"/>
                <w:color w:val="auto"/>
              </w:rPr>
            </w:pPr>
            <w:r>
              <w:rPr>
                <w:rFonts w:ascii="Arial" w:cs="Arial" w:eastAsia="Arial" w:hAnsi="Arial"/>
                <w:sz w:val="16"/>
                <w:szCs w:val="16"/>
                <w:b w:val="1"/>
                <w:bCs w:val="1"/>
                <w:color w:val="auto"/>
                <w:w w:val="98"/>
              </w:rPr>
              <w:t>Segment Net Sales</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99"/>
              <w:spacing w:after="0" w:line="176" w:lineRule="exact"/>
              <w:rPr>
                <w:sz w:val="20"/>
                <w:szCs w:val="20"/>
                <w:color w:val="auto"/>
              </w:rPr>
            </w:pPr>
            <w:r>
              <w:rPr>
                <w:rFonts w:ascii="Arial" w:cs="Arial" w:eastAsia="Arial" w:hAnsi="Arial"/>
                <w:sz w:val="16"/>
                <w:szCs w:val="16"/>
                <w:b w:val="1"/>
                <w:bCs w:val="1"/>
                <w:color w:val="auto"/>
                <w:w w:val="98"/>
              </w:rPr>
              <w:t>Segment Net Sales</w:t>
            </w:r>
          </w:p>
        </w:tc>
      </w:tr>
      <w:tr>
        <w:trPr>
          <w:trHeight w:val="34"/>
        </w:trPr>
        <w:tc>
          <w:tcPr>
            <w:tcW w:w="20" w:type="dxa"/>
            <w:vAlign w:val="bottom"/>
            <w:tcBorders>
              <w:bottom w:val="single" w:sz="8" w:color="CCEEFF"/>
            </w:tcBorders>
          </w:tcPr>
          <w:p>
            <w:pPr>
              <w:spacing w:after="0"/>
              <w:rPr>
                <w:sz w:val="2"/>
                <w:szCs w:val="2"/>
                <w:color w:val="auto"/>
              </w:rPr>
            </w:pPr>
          </w:p>
        </w:tc>
        <w:tc>
          <w:tcPr>
            <w:tcW w:w="1660" w:type="dxa"/>
            <w:vAlign w:val="bottom"/>
            <w:tcBorders>
              <w:top w:val="single" w:sz="8" w:color="auto"/>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Retail</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76,521</w:t>
            </w:r>
          </w:p>
        </w:tc>
        <w:tc>
          <w:tcPr>
            <w:tcW w:w="1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18.8 %</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33"/>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U.S. Wholesale</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70,058</w:t>
            </w:r>
          </w:p>
        </w:tc>
        <w:tc>
          <w:tcPr>
            <w:tcW w:w="1840" w:type="dxa"/>
            <w:vAlign w:val="bottom"/>
            <w:gridSpan w:val="2"/>
          </w:tcPr>
          <w:p>
            <w:pPr>
              <w:jc w:val="right"/>
              <w:ind w:right="39"/>
              <w:spacing w:after="0"/>
              <w:rPr>
                <w:sz w:val="20"/>
                <w:szCs w:val="20"/>
                <w:color w:val="auto"/>
              </w:rPr>
            </w:pPr>
            <w:r>
              <w:rPr>
                <w:rFonts w:ascii="Arial" w:cs="Arial" w:eastAsia="Arial" w:hAnsi="Arial"/>
                <w:sz w:val="16"/>
                <w:szCs w:val="16"/>
                <w:color w:val="auto"/>
              </w:rPr>
              <w:t>24.7 %</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2,231</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0.9 %</w:t>
            </w:r>
          </w:p>
        </w:tc>
      </w:tr>
      <w:tr>
        <w:trPr>
          <w:trHeight w:val="253"/>
        </w:trPr>
        <w:tc>
          <w:tcPr>
            <w:tcW w:w="20" w:type="dxa"/>
            <w:vAlign w:val="bottom"/>
            <w:shd w:val="clear" w:color="auto" w:fill="CCEEFF"/>
          </w:tcPr>
          <w:p>
            <w:pPr>
              <w:spacing w:after="0"/>
              <w:rPr>
                <w:sz w:val="21"/>
                <w:szCs w:val="21"/>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International</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9,734</w:t>
            </w:r>
          </w:p>
        </w:tc>
        <w:tc>
          <w:tcPr>
            <w:tcW w:w="1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10.0 %</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43"/>
        </w:trPr>
        <w:tc>
          <w:tcPr>
            <w:tcW w:w="20" w:type="dxa"/>
            <w:vAlign w:val="bottom"/>
            <w:tcBorders>
              <w:bottom w:val="single" w:sz="8" w:color="CCEEFF"/>
            </w:tcBorders>
          </w:tcPr>
          <w:p>
            <w:pPr>
              <w:spacing w:after="0"/>
              <w:rPr>
                <w:sz w:val="21"/>
                <w:szCs w:val="21"/>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Corporate expenses</w:t>
            </w:r>
            <w:r>
              <w:rPr>
                <w:rFonts w:ascii="Arial" w:cs="Arial" w:eastAsia="Arial" w:hAnsi="Arial"/>
                <w:sz w:val="21"/>
                <w:szCs w:val="21"/>
                <w:color w:val="auto"/>
                <w:vertAlign w:val="superscript"/>
              </w:rPr>
              <w:t>(*)</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(28,817)</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n/a</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(20,628)</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n/a</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operating income (loss)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127,496</w:t>
            </w:r>
          </w:p>
        </w:tc>
        <w:tc>
          <w:tcPr>
            <w:tcW w:w="18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16.2 %</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(78,478)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ind w:left="500" w:right="580" w:hanging="492"/>
        <w:spacing w:after="0" w:line="273"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6"/>
          </w:tcPr>
          <w:p>
            <w:pPr>
              <w:jc w:val="center"/>
              <w:ind w:left="1239"/>
              <w:spacing w:after="0"/>
              <w:rPr>
                <w:sz w:val="20"/>
                <w:szCs w:val="20"/>
                <w:color w:val="auto"/>
              </w:rPr>
            </w:pPr>
            <w:r>
              <w:rPr>
                <w:rFonts w:ascii="Arial" w:cs="Arial" w:eastAsia="Arial" w:hAnsi="Arial"/>
                <w:sz w:val="16"/>
                <w:szCs w:val="16"/>
                <w:b w:val="1"/>
                <w:bCs w:val="1"/>
                <w:color w:val="auto"/>
                <w:w w:val="92"/>
              </w:rPr>
              <w:t>Fiscal quarter ended April 3, 2021</w:t>
            </w:r>
          </w:p>
        </w:tc>
        <w:tc>
          <w:tcPr>
            <w:tcW w:w="1660" w:type="dxa"/>
            <w:vAlign w:val="bottom"/>
            <w:tcBorders>
              <w:bottom w:val="single" w:sz="8" w:color="auto"/>
            </w:tcBorders>
          </w:tcPr>
          <w:p>
            <w:pPr>
              <w:spacing w:after="0"/>
              <w:rPr>
                <w:sz w:val="19"/>
                <w:szCs w:val="19"/>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Pr>
          <w:p>
            <w:pPr>
              <w:spacing w:after="0"/>
              <w:rPr>
                <w:sz w:val="20"/>
                <w:szCs w:val="20"/>
                <w:color w:val="auto"/>
              </w:rPr>
            </w:pP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U.S. Retail</w:t>
            </w:r>
          </w:p>
        </w:tc>
        <w:tc>
          <w:tcPr>
            <w:tcW w:w="30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U.S. Wholesale</w:t>
            </w:r>
          </w:p>
        </w:tc>
        <w:tc>
          <w:tcPr>
            <w:tcW w:w="320" w:type="dxa"/>
            <w:vAlign w:val="bottom"/>
          </w:tcPr>
          <w:p>
            <w:pPr>
              <w:spacing w:after="0"/>
              <w:rPr>
                <w:sz w:val="20"/>
                <w:szCs w:val="20"/>
                <w:color w:val="auto"/>
              </w:rPr>
            </w:pPr>
          </w:p>
        </w:tc>
        <w:tc>
          <w:tcPr>
            <w:tcW w:w="1660" w:type="dxa"/>
            <w:vAlign w:val="bottom"/>
          </w:tcPr>
          <w:p>
            <w:pPr>
              <w:jc w:val="right"/>
              <w:ind w:right="439"/>
              <w:spacing w:after="0"/>
              <w:rPr>
                <w:sz w:val="20"/>
                <w:szCs w:val="20"/>
                <w:color w:val="auto"/>
              </w:rPr>
            </w:pPr>
            <w:r>
              <w:rPr>
                <w:rFonts w:ascii="Arial" w:cs="Arial" w:eastAsia="Arial" w:hAnsi="Arial"/>
                <w:sz w:val="16"/>
                <w:szCs w:val="16"/>
                <w:b w:val="1"/>
                <w:bCs w:val="1"/>
                <w:color w:val="auto"/>
              </w:rPr>
              <w:t>International</w:t>
            </w:r>
          </w:p>
        </w:tc>
      </w:tr>
      <w:tr>
        <w:trPr>
          <w:trHeight w:val="24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Incremental costs associated with COVID-19 pandemic</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w w:val="89"/>
              </w:rPr>
              <w:t>1.1</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3"/>
        </w:trPr>
        <w:tc>
          <w:tcPr>
            <w:tcW w:w="5120" w:type="dxa"/>
            <w:vAlign w:val="bottom"/>
          </w:tcPr>
          <w:p>
            <w:pPr>
              <w:ind w:left="20"/>
              <w:spacing w:after="0"/>
              <w:rPr>
                <w:sz w:val="20"/>
                <w:szCs w:val="20"/>
                <w:color w:val="auto"/>
              </w:rPr>
            </w:pPr>
            <w:r>
              <w:rPr>
                <w:rFonts w:ascii="Arial" w:cs="Arial" w:eastAsia="Arial" w:hAnsi="Arial"/>
                <w:sz w:val="16"/>
                <w:szCs w:val="16"/>
                <w:color w:val="auto"/>
              </w:rPr>
              <w:t>Gain on modification of retail store leases</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620" w:type="dxa"/>
            <w:vAlign w:val="bottom"/>
          </w:tcPr>
          <w:p>
            <w:pPr>
              <w:jc w:val="center"/>
              <w:ind w:left="1179"/>
              <w:spacing w:after="0"/>
              <w:rPr>
                <w:sz w:val="20"/>
                <w:szCs w:val="20"/>
                <w:color w:val="auto"/>
              </w:rPr>
            </w:pPr>
            <w:r>
              <w:rPr>
                <w:rFonts w:ascii="Arial" w:cs="Arial" w:eastAsia="Arial" w:hAnsi="Arial"/>
                <w:sz w:val="16"/>
                <w:szCs w:val="16"/>
                <w:color w:val="auto"/>
                <w:w w:val="97"/>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5120" w:type="dxa"/>
            <w:vAlign w:val="bottom"/>
            <w:tcBorders>
              <w:top w:val="single" w:sz="8" w:color="CCEEFF"/>
              <w:bottom w:val="single" w:sz="8" w:color="CCEEFF"/>
            </w:tcBorders>
            <w:shd w:val="clear" w:color="auto" w:fill="CCEEFF"/>
          </w:tcPr>
          <w:p>
            <w:pPr>
              <w:ind w:left="60"/>
              <w:spacing w:after="0" w:line="237" w:lineRule="exact"/>
              <w:rPr>
                <w:sz w:val="20"/>
                <w:szCs w:val="20"/>
                <w:color w:val="auto"/>
              </w:rPr>
            </w:pPr>
            <w:r>
              <w:rPr>
                <w:rFonts w:ascii="Arial" w:cs="Arial" w:eastAsia="Arial" w:hAnsi="Arial"/>
                <w:sz w:val="16"/>
                <w:szCs w:val="16"/>
                <w:color w:val="auto"/>
              </w:rPr>
              <w:t>Total charges</w:t>
            </w:r>
            <w:r>
              <w:rPr>
                <w:rFonts w:ascii="Arial" w:cs="Arial" w:eastAsia="Arial" w:hAnsi="Arial"/>
                <w:sz w:val="21"/>
                <w:szCs w:val="21"/>
                <w:color w:val="auto"/>
                <w:vertAlign w:val="superscript"/>
              </w:rPr>
              <w:t>(2)(3)</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center"/>
              <w:ind w:left="1179"/>
              <w:spacing w:after="0"/>
              <w:rPr>
                <w:sz w:val="20"/>
                <w:szCs w:val="20"/>
                <w:color w:val="auto"/>
              </w:rPr>
            </w:pPr>
            <w:r>
              <w:rPr>
                <w:rFonts w:ascii="Arial" w:cs="Arial" w:eastAsia="Arial" w:hAnsi="Arial"/>
                <w:sz w:val="16"/>
                <w:szCs w:val="16"/>
                <w:color w:val="auto"/>
                <w:w w:val="97"/>
              </w:rPr>
              <w:t>(0.4)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Related to gains on the modification of previously impaired retail store leases.</w:t>
      </w:r>
    </w:p>
    <w:p>
      <w:pPr>
        <w:spacing w:after="0" w:line="55" w:lineRule="exact"/>
        <w:rPr>
          <w:rFonts w:ascii="Arial" w:cs="Arial" w:eastAsia="Arial" w:hAnsi="Arial"/>
          <w:sz w:val="14"/>
          <w:szCs w:val="14"/>
          <w:color w:val="auto"/>
        </w:rPr>
      </w:pPr>
    </w:p>
    <w:p>
      <w:pPr>
        <w:ind w:left="480" w:hanging="472"/>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first fiscal quarter ended April 3, 2021 also includes corporate charges related to organizational restructuring of $0.5 million.</w:t>
      </w:r>
    </w:p>
    <w:p>
      <w:pPr>
        <w:spacing w:after="0" w:line="55" w:lineRule="exact"/>
        <w:rPr>
          <w:rFonts w:ascii="Arial" w:cs="Arial" w:eastAsia="Arial" w:hAnsi="Arial"/>
          <w:sz w:val="14"/>
          <w:szCs w:val="14"/>
          <w:color w:val="auto"/>
        </w:rPr>
      </w:pPr>
    </w:p>
    <w:p>
      <w:pPr>
        <w:ind w:left="480" w:hanging="472"/>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charges exclude a customer bankruptcy recovery of $38,000.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6"/>
          </w:tcPr>
          <w:p>
            <w:pPr>
              <w:jc w:val="center"/>
              <w:ind w:left="1199"/>
              <w:spacing w:after="0"/>
              <w:rPr>
                <w:sz w:val="20"/>
                <w:szCs w:val="20"/>
                <w:color w:val="auto"/>
              </w:rPr>
            </w:pPr>
            <w:r>
              <w:rPr>
                <w:rFonts w:ascii="Arial" w:cs="Arial" w:eastAsia="Arial" w:hAnsi="Arial"/>
                <w:sz w:val="16"/>
                <w:szCs w:val="16"/>
                <w:b w:val="1"/>
                <w:bCs w:val="1"/>
                <w:color w:val="auto"/>
                <w:w w:val="92"/>
              </w:rPr>
              <w:t>Fiscal quarter ended March 28, 2020</w:t>
            </w:r>
          </w:p>
        </w:tc>
        <w:tc>
          <w:tcPr>
            <w:tcW w:w="1620" w:type="dxa"/>
            <w:vAlign w:val="bottom"/>
            <w:tcBorders>
              <w:bottom w:val="single" w:sz="8" w:color="auto"/>
            </w:tcBorders>
          </w:tcPr>
          <w:p>
            <w:pPr>
              <w:spacing w:after="0"/>
              <w:rPr>
                <w:sz w:val="19"/>
                <w:szCs w:val="19"/>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ind w:left="260"/>
              <w:spacing w:after="0"/>
              <w:rPr>
                <w:sz w:val="20"/>
                <w:szCs w:val="20"/>
                <w:color w:val="auto"/>
              </w:rPr>
            </w:pPr>
            <w:r>
              <w:rPr>
                <w:rFonts w:ascii="Arial" w:cs="Arial" w:eastAsia="Arial" w:hAnsi="Arial"/>
                <w:sz w:val="16"/>
                <w:szCs w:val="16"/>
                <w:b w:val="1"/>
                <w:bCs w:val="1"/>
                <w:color w:val="auto"/>
              </w:rPr>
              <w:t>U.S. Retail</w:t>
            </w:r>
          </w:p>
        </w:tc>
        <w:tc>
          <w:tcPr>
            <w:tcW w:w="30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U.S. Wholesale</w:t>
            </w:r>
          </w:p>
        </w:tc>
        <w:tc>
          <w:tcPr>
            <w:tcW w:w="360" w:type="dxa"/>
            <w:vAlign w:val="bottom"/>
          </w:tcPr>
          <w:p>
            <w:pPr>
              <w:spacing w:after="0"/>
              <w:rPr>
                <w:sz w:val="20"/>
                <w:szCs w:val="20"/>
                <w:color w:val="auto"/>
              </w:rPr>
            </w:pPr>
          </w:p>
        </w:tc>
        <w:tc>
          <w:tcPr>
            <w:tcW w:w="1620" w:type="dxa"/>
            <w:vAlign w:val="bottom"/>
          </w:tcPr>
          <w:p>
            <w:pPr>
              <w:jc w:val="right"/>
              <w:ind w:right="439"/>
              <w:spacing w:after="0"/>
              <w:rPr>
                <w:sz w:val="20"/>
                <w:szCs w:val="20"/>
                <w:color w:val="auto"/>
              </w:rPr>
            </w:pPr>
            <w:r>
              <w:rPr>
                <w:rFonts w:ascii="Arial" w:cs="Arial" w:eastAsia="Arial" w:hAnsi="Arial"/>
                <w:sz w:val="16"/>
                <w:szCs w:val="16"/>
                <w:b w:val="1"/>
                <w:bCs w:val="1"/>
                <w:color w:val="auto"/>
              </w:rPr>
              <w:t>International</w:t>
            </w:r>
          </w:p>
        </w:tc>
      </w:tr>
      <w:tr>
        <w:trPr>
          <w:trHeight w:val="24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Organizational restructuring</w:t>
            </w:r>
            <w:r>
              <w:rPr>
                <w:rFonts w:ascii="Arial" w:cs="Arial" w:eastAsia="Arial" w:hAnsi="Arial"/>
                <w:sz w:val="21"/>
                <w:szCs w:val="21"/>
                <w:color w:val="auto"/>
                <w:vertAlign w:val="superscript"/>
              </w:rPr>
              <w:t>(*)</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3"/>
        </w:trPr>
        <w:tc>
          <w:tcPr>
            <w:tcW w:w="512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36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5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 impairment charge</w:t>
            </w:r>
          </w:p>
        </w:tc>
        <w:tc>
          <w:tcPr>
            <w:tcW w:w="3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3"/>
        </w:trPr>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 impairment charge</w:t>
            </w:r>
          </w:p>
        </w:tc>
        <w:tc>
          <w:tcPr>
            <w:tcW w:w="3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Incremental costs associated with COVID-19 pandemic</w:t>
            </w:r>
          </w:p>
        </w:tc>
        <w:tc>
          <w:tcPr>
            <w:tcW w:w="3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Retail store operating leases and long-lived asset impairments</w:t>
            </w:r>
          </w:p>
        </w:tc>
        <w:tc>
          <w:tcPr>
            <w:tcW w:w="3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5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charges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first fiscal quarter ended March 28, 2020 also includes corporate charges related to organizational restructuring of $1.6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ORGANIZATIONAL RESTRUCTURING AND OFFICE CONSOLIDATION</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previously announced, the Company initiated several organizational restructuring initiatives which included a reorganization of staffing models across multiple functions to drive labor savings and increase efficiencies, the consolidation of certain functions into our corporate headquarters in Atlanta, Georgia, and over 100 planned store closures by the end of fiscal 2021. In conjunction with these initiatives, the Company recorded the following charges in selling, general and administrative expenses: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Fiscal quarter ended</w:t>
            </w:r>
          </w:p>
        </w:tc>
      </w:tr>
      <w:tr>
        <w:trPr>
          <w:trHeight w:val="236"/>
        </w:trPr>
        <w:tc>
          <w:tcPr>
            <w:tcW w:w="81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3, 2021</w:t>
            </w:r>
          </w:p>
        </w:tc>
        <w:tc>
          <w:tcPr>
            <w:tcW w:w="16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March 28, 2020</w:t>
            </w:r>
          </w:p>
        </w:tc>
      </w:tr>
      <w:tr>
        <w:trPr>
          <w:trHeight w:val="243"/>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Severance and other termination benefits</w:t>
            </w:r>
            <w:r>
              <w:rPr>
                <w:rFonts w:ascii="Arial" w:cs="Arial" w:eastAsia="Arial" w:hAnsi="Arial"/>
                <w:sz w:val="21"/>
                <w:szCs w:val="21"/>
                <w:color w:val="auto"/>
                <w:vertAlign w:val="superscript"/>
              </w:rPr>
              <w: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w:t>
            </w:r>
          </w:p>
        </w:tc>
      </w:tr>
      <w:tr>
        <w:trPr>
          <w:trHeight w:val="233"/>
        </w:trPr>
        <w:tc>
          <w:tcPr>
            <w:tcW w:w="8120" w:type="dxa"/>
            <w:vAlign w:val="bottom"/>
          </w:tcPr>
          <w:p>
            <w:pPr>
              <w:ind w:left="20"/>
              <w:spacing w:after="0"/>
              <w:rPr>
                <w:sz w:val="20"/>
                <w:szCs w:val="20"/>
                <w:color w:val="auto"/>
              </w:rPr>
            </w:pPr>
            <w:r>
              <w:rPr>
                <w:rFonts w:ascii="Arial" w:cs="Arial" w:eastAsia="Arial" w:hAnsi="Arial"/>
                <w:sz w:val="16"/>
                <w:szCs w:val="16"/>
                <w:color w:val="auto"/>
              </w:rPr>
              <w:t>Relocation and recruiting</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253"/>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exit costs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36"/>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closure costs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6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Severance and other termination benefits in the first quarter of fiscal 2021 reflect revised employee assumptions.</w:t>
      </w:r>
    </w:p>
    <w:p>
      <w:pPr>
        <w:spacing w:after="0" w:line="18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paid approximately $3.0 million in severance and other termination benefits during the first fiscal quarter ended April 3, 2021. As of April 3, 2021, there was approximately $4.6 million in reserves related to severance and other termination benefits expected to be paid out during fiscal 2021 included in Other current liabilities in the accompanying unaudited consolidated balance sheet. The Company expects to incur additional restructuring-related charges of approximately $1.0 million to $1.5 million through fiscal 2021. These charges primarily relate to accelerated depreciation and severance.</w:t>
      </w:r>
    </w:p>
    <w:p>
      <w:pPr>
        <w:spacing w:after="0" w:line="126" w:lineRule="exact"/>
        <w:rPr>
          <w:sz w:val="20"/>
          <w:szCs w:val="20"/>
          <w:color w:val="auto"/>
        </w:rPr>
      </w:pPr>
    </w:p>
    <w:p>
      <w:pPr>
        <w:ind w:right="1220"/>
        <w:spacing w:after="0" w:line="35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2021 or any other future period, assessment of our performance and financial position, drivers of our sales and earnings growth, and the effects of the COVID-19 pandemic.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Certain of the risks and uncertainties that could cause actual results and performance to differ materially are described in our most recently filed Annual Report on Form 10-K, in Part I. under the heading “Item 1A. Risk Factors”, and other reports filed with the Securities and Exchange Commission from time to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high-quality apparel and accessories for children in sizes newborn to 14, with a focus on playclothes for toddlers and young children.</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necessities to create higher value, superior quality, and top-performing products for parents, babies, and toddlers. We acquired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in February 2017.</w:t>
      </w:r>
    </w:p>
    <w:p>
      <w:pPr>
        <w:spacing w:after="0" w:line="13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We also have three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our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brand, which we sell at Walmart, our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brand, which we sell at Target, and our </w:t>
      </w:r>
      <w:r>
        <w:rPr>
          <w:rFonts w:ascii="Arial" w:cs="Arial" w:eastAsia="Arial" w:hAnsi="Arial"/>
          <w:sz w:val="18"/>
          <w:szCs w:val="18"/>
          <w:i w:val="1"/>
          <w:iCs w:val="1"/>
          <w:color w:val="auto"/>
        </w:rPr>
        <w:t xml:space="preserve">Simple Joys </w:t>
      </w:r>
      <w:r>
        <w:rPr>
          <w:rFonts w:ascii="Arial" w:cs="Arial" w:eastAsia="Arial" w:hAnsi="Arial"/>
          <w:sz w:val="18"/>
          <w:szCs w:val="18"/>
          <w:color w:val="auto"/>
        </w:rPr>
        <w:t>brand, which we sell on Amazon. In February 2021, we re-launched our</w:t>
      </w:r>
      <w:r>
        <w:rPr>
          <w:rFonts w:ascii="Arial" w:cs="Arial" w:eastAsia="Arial" w:hAnsi="Arial"/>
          <w:sz w:val="18"/>
          <w:szCs w:val="18"/>
          <w:i w:val="1"/>
          <w:iCs w:val="1"/>
          <w:color w:val="auto"/>
        </w:rPr>
        <w:t xml:space="preserve"> little planet </w:t>
      </w:r>
      <w:r>
        <w:rPr>
          <w:rFonts w:ascii="Arial" w:cs="Arial" w:eastAsia="Arial" w:hAnsi="Arial"/>
          <w:sz w:val="18"/>
          <w:szCs w:val="18"/>
          <w:color w:val="auto"/>
        </w:rPr>
        <w:t>brand, which focuses on clothing that is more sustainable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eco-friendly.</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mission is to serve the needs of all families with young children, with a vision to be the world’s favorite brands in young children’s apparel and products. We believe our brands provide a complementary product offering and aesthetic, are each uniquely positioned in the marketplace, and offer strong value to families with young children. Our multi-channel, global business model, which includes retail stores, eCommerce, and wholesale sales channels, as well as omni-channel capabilities in the United States, enables us to reach a broad range of consumers around the world. We have extensive experience in the young children’s apparel and accessories market and focus on delivering products that satisfy our consumers’ needs. As of April 3, 2021, the Company operated 1,036 retail stores in North America.</w:t>
      </w:r>
    </w:p>
    <w:p>
      <w:pPr>
        <w:spacing w:after="0" w:line="15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2020 fiscal year ended January 2,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fourth quarter of fiscal 2020, we announced plans to close over 100 retail stores by the end of fiscal 2021. We closed over 60 stores in the first quarter of fiscal 2021, most of which occurred towards the end of the quarter. These retail store closures are primarily concentrated in unprofitable stores and stores in less trafficked shopping centers. We continue to look for retail store locations that allow us to better serve customers, including our omni-channel customers, and remain profitable.</w:t>
      </w:r>
    </w:p>
    <w:p>
      <w:pPr>
        <w:spacing w:after="0" w:line="14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previously announced, on April 21, 2021, through our wholly owned subsidiary, The William Carter Company (“TWCC”), we further amended our secured revolving credit agreement to permit us, subject to certain restrictions, to pay cash dividends and repurchase common stock, in aggregate amounts up to $250 million through the date we deliver our financial statements and associated certificates relating to the third quarter of fiscal 2021. Thereafter, provisions of our secured revolving credit facility largely revert to their pre-pandemic terms.</w:t>
      </w:r>
    </w:p>
    <w:p>
      <w:pPr>
        <w:spacing w:after="0" w:line="14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April 27, 2021, our Board of Directors authorized a quarterly cash dividend payment of $0.40 per common share, payable on May 28, 2021, to shareholders of record at the close of business on May 12,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Fiscal Quarter 2021 Highlights</w:t>
      </w:r>
    </w:p>
    <w:p>
      <w:pPr>
        <w:spacing w:after="0" w:line="10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net sales increased $132.9 million, or 20.3%, to $787.4 million in the first quarter of fiscal 2021.</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of our business segments delivered double digit growth in net sales and in operating income.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eCommerce operations delivered strong growth, reflecting increased online demand and enhanced marketing efforts.</w:t>
      </w:r>
    </w:p>
    <w:p>
      <w:pPr>
        <w:spacing w:after="0" w:line="63" w:lineRule="exact"/>
        <w:rPr>
          <w:rFonts w:ascii="Arial" w:cs="Arial" w:eastAsia="Arial" w:hAnsi="Arial"/>
          <w:sz w:val="18"/>
          <w:szCs w:val="18"/>
          <w:color w:val="auto"/>
        </w:rPr>
      </w:pPr>
    </w:p>
    <w:p>
      <w:pPr>
        <w:ind w:left="1300" w:right="140" w:hanging="320"/>
        <w:spacing w:after="0" w:line="259"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Growth in our retail store sales was primarily driven by increased store traffic due to more stores being open throughout the first quarter of fiscal 2021 compared to the first quarter of fiscal 2020 and increased average selling prices per unit. The first quarter of fiscal 2020 was adversely impacted by the closure of our retail stores in March 2020 and reduced demand as a result of disruptions related to COVID-19.</w:t>
      </w:r>
    </w:p>
    <w:p>
      <w:pPr>
        <w:spacing w:after="0" w:line="24" w:lineRule="exact"/>
        <w:rPr>
          <w:rFonts w:ascii="Arial" w:cs="Arial" w:eastAsia="Arial" w:hAnsi="Arial"/>
          <w:sz w:val="18"/>
          <w:szCs w:val="18"/>
          <w:color w:val="auto"/>
        </w:rPr>
      </w:pPr>
    </w:p>
    <w:p>
      <w:pPr>
        <w:ind w:left="1300" w:right="500" w:hanging="320"/>
        <w:spacing w:after="0" w:line="298" w:lineRule="auto"/>
        <w:tabs>
          <w:tab w:leader="none" w:pos="1296" w:val="left"/>
        </w:tabs>
        <w:numPr>
          <w:ilvl w:val="1"/>
          <w:numId w:val="15"/>
        </w:numPr>
        <w:rPr>
          <w:rFonts w:ascii="Arial" w:cs="Arial" w:eastAsia="Arial" w:hAnsi="Arial"/>
          <w:sz w:val="17"/>
          <w:szCs w:val="17"/>
          <w:color w:val="auto"/>
        </w:rPr>
      </w:pPr>
      <w:r>
        <w:rPr>
          <w:rFonts w:ascii="Arial" w:cs="Arial" w:eastAsia="Arial" w:hAnsi="Arial"/>
          <w:sz w:val="17"/>
          <w:szCs w:val="17"/>
          <w:color w:val="auto"/>
        </w:rPr>
        <w:t>Our omni-channel programs continued to deliver growth as a result of our investments and enhancements in these programs, which included expanding our curbside pickup program and direct-from-store shipment program in fiscal 2020.</w:t>
      </w:r>
    </w:p>
    <w:p>
      <w:pPr>
        <w:ind w:left="1300" w:right="50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continued to see growth with our exclusive brands, as U.S. sales of exclusive brands to our top three wholesale customers grew 19.1%.</w:t>
      </w:r>
    </w:p>
    <w:p>
      <w:pPr>
        <w:spacing w:after="0" w:line="35"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Gross profit increased $163.7 million, or 71.7%, to $392.0 million in the first quarter of fiscal 2021. Gross margin increased 1,490 basis points (“bps”) to 49.8% in the first quarter of fiscal 2021 primarily driven by higher consolidated net sales across our businesses, increased average selling prices per unit, decreased product costs, decreased excess inventory provisions and a benefit in fabric purchase commitment charges related to better than expected sales of inventory and utilization of fabric that were reserved for in the first quarter of fiscal 2020. Gross margin in the first quarter of fiscal 2020 was adversely impacted by incremental inventory related charges of $48.7 million, inclusive of $22.8 million in adverse inventory and fabric purchase commitments, primarily from disruptions related to COVID-19.</w:t>
      </w:r>
    </w:p>
    <w:p>
      <w:pPr>
        <w:spacing w:after="0" w:line="56" w:lineRule="exact"/>
        <w:rPr>
          <w:rFonts w:ascii="Arial" w:cs="Arial" w:eastAsia="Arial" w:hAnsi="Arial"/>
          <w:sz w:val="17"/>
          <w:szCs w:val="17"/>
          <w:color w:val="auto"/>
        </w:rPr>
      </w:pPr>
    </w:p>
    <w:p>
      <w:pPr>
        <w:ind w:left="660" w:right="20" w:hanging="328"/>
        <w:spacing w:after="0" w:line="25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as a percentage of total net sales (“SG&amp;A rate”) decreased 670 bps to 34.5% for the first quarter of fiscal 2021. The decrease in the SG&amp;A rate was primarily driven by increased consolidated net sales, better leverage of retail store expenses due to more stores being open throughout the first quarter of fiscal 2021 compared to the first quarter of fiscal 2020, decreased organizational restructuring charges, decreased costs associated with the COVID-19 pandemic, decreased marketing costs, decreased bad debt expense, and decreased information technology related costs, partially offset by increased performance-based compensation expense and increased costs related to productivity initiatives.</w:t>
      </w:r>
    </w:p>
    <w:p>
      <w:pPr>
        <w:spacing w:after="0" w:line="70"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income was $127.5 million in the first quarter of fiscal 2021 compared to an operating loss of $78.5 million in the first quarter of fiscal 2020, primarily due to the factors discussed above and the recognition of $44.2 million in impairment charges in the first quarter of fiscal 2020 that did not reoccur in the first quarter of fiscal 2021.</w:t>
      </w:r>
    </w:p>
    <w:p>
      <w:pPr>
        <w:spacing w:after="0" w:line="48" w:lineRule="exact"/>
        <w:rPr>
          <w:rFonts w:ascii="Arial" w:cs="Arial" w:eastAsia="Arial" w:hAnsi="Arial"/>
          <w:sz w:val="18"/>
          <w:szCs w:val="18"/>
          <w:color w:val="auto"/>
        </w:rPr>
      </w:pPr>
    </w:p>
    <w:p>
      <w:pPr>
        <w:ind w:left="660" w:right="4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income was $86.2 million in the first quarter of fiscal 2021 compared to a net loss of $78.7 million in the first quarter of fiscal 2020, primarily due to the factors discussed above, increased interest expense in the first quarter of fiscal 2021, and the tax impacts of each quarter.</w:t>
      </w:r>
    </w:p>
    <w:p>
      <w:pPr>
        <w:spacing w:after="0" w:line="2"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Diluted net income per common share was $1.96 in the first quarter of fiscal 2021 compared to a diluted net loss per common share of $1.82 in the first quarter of fiscal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FISCAL QUARTER ENDED APRIL 3, 2021 COMPARED TO FIRST FISCAL QUARTER ENDED MARCH 28, 2020</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5"/>
          </w:tcPr>
          <w:p>
            <w:pPr>
              <w:ind w:left="900"/>
              <w:spacing w:after="0"/>
              <w:rPr>
                <w:sz w:val="20"/>
                <w:szCs w:val="20"/>
                <w:color w:val="auto"/>
              </w:rPr>
            </w:pPr>
            <w:r>
              <w:rPr>
                <w:rFonts w:ascii="Arial" w:cs="Arial" w:eastAsia="Arial" w:hAnsi="Arial"/>
                <w:sz w:val="16"/>
                <w:szCs w:val="16"/>
                <w:b w:val="1"/>
                <w:bCs w:val="1"/>
                <w:color w:val="auto"/>
              </w:rPr>
              <w:t>Fiscal quarter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5"/>
        </w:trPr>
        <w:tc>
          <w:tcPr>
            <w:tcW w:w="4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spacing w:after="0"/>
              <w:rPr>
                <w:sz w:val="16"/>
                <w:szCs w:val="16"/>
                <w:color w:val="auto"/>
              </w:rPr>
            </w:pPr>
          </w:p>
        </w:tc>
        <w:tc>
          <w:tcPr>
            <w:tcW w:w="1640" w:type="dxa"/>
            <w:vAlign w:val="bottom"/>
          </w:tcPr>
          <w:p>
            <w:pPr>
              <w:spacing w:after="0"/>
              <w:rPr>
                <w:sz w:val="16"/>
                <w:szCs w:val="16"/>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28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 2021</w:t>
            </w:r>
          </w:p>
        </w:tc>
        <w:tc>
          <w:tcPr>
            <w:tcW w:w="26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28, 2020</w:t>
            </w:r>
          </w:p>
        </w:tc>
        <w:tc>
          <w:tcPr>
            <w:tcW w:w="26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 Change</w:t>
            </w:r>
          </w:p>
        </w:tc>
        <w:tc>
          <w:tcPr>
            <w:tcW w:w="1640" w:type="dxa"/>
            <w:vAlign w:val="bottom"/>
          </w:tcPr>
          <w:p>
            <w:pPr>
              <w:jc w:val="right"/>
              <w:ind w:right="199"/>
              <w:spacing w:after="0"/>
              <w:rPr>
                <w:sz w:val="20"/>
                <w:szCs w:val="20"/>
                <w:color w:val="auto"/>
              </w:rPr>
            </w:pPr>
            <w:r>
              <w:rPr>
                <w:rFonts w:ascii="Arial" w:cs="Arial" w:eastAsia="Arial" w:hAnsi="Arial"/>
                <w:sz w:val="16"/>
                <w:szCs w:val="16"/>
                <w:b w:val="1"/>
                <w:bCs w:val="1"/>
                <w:color w:val="auto"/>
              </w:rPr>
              <w:t>% / bps Change</w:t>
            </w:r>
          </w:p>
        </w:tc>
      </w:tr>
      <w:tr>
        <w:trPr>
          <w:trHeight w:val="24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787,361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654,473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132,888</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20.3 %</w:t>
            </w: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401,731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403,373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Adverse purchase commitments (inventory and raw</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materials), net</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22,837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(29,167)</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27"/>
        </w:trPr>
        <w:tc>
          <w:tcPr>
            <w:tcW w:w="4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391,960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228,263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163,697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71.7 %</w:t>
            </w:r>
          </w:p>
        </w:tc>
      </w:tr>
      <w:tr>
        <w:trPr>
          <w:trHeight w:val="253"/>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Gross profit as % of consolidated net sales</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49.8 %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34.9 %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1,490 bps</w:t>
            </w: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Royalty income, net</w:t>
            </w:r>
          </w:p>
        </w:tc>
        <w:tc>
          <w:tcPr>
            <w:tcW w:w="28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7,463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7,338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53"/>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Royalty income as % of consolidated net sales</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0.9 %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bps</w:t>
            </w: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271,927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269,837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2,090</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53"/>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SG&amp;A expenses as % of consolidated net sales</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34.5 %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41.2 %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(670) bps</w:t>
            </w: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28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5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impairment</w:t>
            </w:r>
          </w:p>
        </w:tc>
        <w:tc>
          <w:tcPr>
            <w:tcW w:w="2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(26,500)</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27"/>
        </w:trPr>
        <w:tc>
          <w:tcPr>
            <w:tcW w:w="40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127,496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(78,478)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205,974</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262.5 %</w:t>
            </w:r>
          </w:p>
        </w:tc>
      </w:tr>
      <w:tr>
        <w:trPr>
          <w:trHeight w:val="253"/>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w w:val="97"/>
              </w:rPr>
              <w:t>Operating income (loss) as % of consolidated net sales</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16.2 %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2,820 bps</w:t>
            </w: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15,348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8,864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6,484</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73.1 %</w:t>
            </w:r>
          </w:p>
        </w:tc>
      </w:tr>
      <w:tr>
        <w:trPr>
          <w:trHeight w:val="25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51.5 %</w:t>
            </w:r>
          </w:p>
        </w:tc>
      </w:tr>
      <w:tr>
        <w:trPr>
          <w:trHeight w:val="23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4,818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(5,735)</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113,290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(91,696)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204,986</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223.5 %</w:t>
            </w:r>
          </w:p>
        </w:tc>
      </w:tr>
      <w:tr>
        <w:trPr>
          <w:trHeight w:val="236"/>
        </w:trPr>
        <w:tc>
          <w:tcPr>
            <w:tcW w:w="404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Income tax provision (benefit)</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27,094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(13,002)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40,096</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308.4 %</w:t>
            </w:r>
          </w:p>
        </w:tc>
      </w:tr>
      <w:tr>
        <w:trPr>
          <w:trHeight w:val="243"/>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23.9 %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14.2 %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970 bps</w:t>
            </w: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86,196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(78,694)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164,890</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209.5 %</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29"/>
        </w:trPr>
        <w:tc>
          <w:tcPr>
            <w:tcW w:w="40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Basic net income (loss)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207.7 %</w:t>
            </w:r>
          </w:p>
        </w:tc>
      </w:tr>
      <w:tr>
        <w:trPr>
          <w:trHeight w:val="25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207.7 %</w:t>
            </w: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149"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 tax rate is calculated by dividing the provision (benefit) for income taxes by income (loss) before income taxes.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i w:val="1"/>
          <w:iCs w:val="1"/>
          <w:color w:val="auto"/>
        </w:rPr>
        <w:t>Note: Results may not be additive due to rounding. Percentage changes that are not considered meaningful are denoted with “nm”.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Consolidated net sales increased $132.9 million, or 20.3%, to $787.4 million in the first quarter of fiscal 2021. This increase was primarily driven by increased net sales through our eCommerce channel, increased retail store traffic, increased demand with certain of our wholesale customers, and increased average selling prices per unit. We believe that this increase in demand was driven by the strong consumer reaction to our Spring product offerings, and demand improved meaningfully following the passage of the pandemic relief legislation in March 2021. The first quarter of fiscal 2020 was adversely impacted by the closure of our retail stores in March 2020 and reduced demand as a result of disruptions related to COVID-19. Changes in foreign currency exchange rates used for translation in the first quarter of fiscal 2021, as compared to the first quarter of fiscal 2020, had a favorable effect on our consolidated net sales of approximately $3.1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consolidated gross profit increased $163.7 million, or 71.7%, to $392.0 million in the first quarter of fiscal 2021. Consolidated gross margin increased 1,490 bps to 49.8% in the first quarter of fiscal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Gross profit is calculated as consolidated net sales less cost of goods sold less adverse purchase commitments, net, and gross margin is calculated as gross profit divided by consolidated net sales. Cost of goods sold include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SG&amp;A.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Accordingly, our gross profit and gross margin may not be comparable to other entities that define their metrics differently.</w:t>
      </w:r>
    </w:p>
    <w:p>
      <w:pPr>
        <w:spacing w:after="0" w:line="12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increase in consolidated gross profit and gross margin was primarily driven by higher consolidated net sales across our businesses segments, increased average selling prices per unit, decreased product costs, decreased excess inventory provisions and a benefit in fabric purchase commitment charges related to better than expected sales of inventory and utilization of fabric that were reserved for in the first quarter of fiscal 2020. Gross margin in the first quarter of fiscal 2020 was adversely impacted by incremental inventory related charges of $48.7 million, inclusive of $22.8 million in adverse inventory and fabric purchase commitments, primarily from disruptions related to COVID-19.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Consolidated SG&amp;A expenses increased $2.1 million, or 0.8%, to $271.9 million in the first quarter of fiscal 2021 and decreased as a percentage of consolidated net sales by approximately 670 bps to 34.5%. This decrease in SG&amp;A rate was primarily driven by increased consolidated net sales, better leverage of retail store expenses due to more stores being open throughout the first quarter of fiscal 2021 compared to the first quarter of fiscal 2020, decreased organizational restructuring charges, decreased costs associated with the COVID-19 pandemic, decreased marketing costs, decreased bad debt expense, and decreased information technology related costs, partially offset by increased performance-based compensation expense and increased costs related to productivity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9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During the first quarter of fiscal 2020, the Company’s market capitalization declined, and actual and projected sales and profitability decreased as a result of disruptions related to COVID-19. Based on these events, we concluded that a triggering event occurred, and we performed an interim quantitative impairment test as of March 28, 2020. Based upon the results of the impairment test, we recognized a non-cash goodwill impairment charge of $17.7 million during the first quarter of fiscal 2020 which was recorded to the Other International reporting unit in the International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the first quarter of fiscal 2020, the Company recorded non-cash impairment charges of $15.5 million and $11.0 million related to its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Hop </w:t>
      </w:r>
      <w:r>
        <w:rPr>
          <w:rFonts w:ascii="Arial" w:cs="Arial" w:eastAsia="Arial" w:hAnsi="Arial"/>
          <w:sz w:val="18"/>
          <w:szCs w:val="18"/>
          <w:color w:val="auto"/>
        </w:rPr>
        <w:t>tradename assets, respectively, that were recorded in connection with the acquisition of OshKosh B’Gosh, Inc. in July 2005 and Skip Hop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Inc. in February 2017. The impairment reflected lower-than-expected actual sales, and lower projected sales and profitability due to decreased demand as a result of disruptions related to COVID-19.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9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Consolidated operating income was $127.5 million in the first quarter of fiscal 2021 compared to an operating loss of $78.5 million in the first quarter of fiscal 2020. Consolidated operating margin increased 2,820 bps to 16.2% in the first quarter of fiscal 2021 primarily due to the factors discussed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Interest expense increased $6.5 million, or 73.1%, to $15.3 million in the first quarter of fiscal 2021. Weighted-average borrowings for the first quarter of fiscal 2021 were $1.00 billion at an effective interest rate of 6.05%, compared to weighted-average borrowings for the first quarter of fiscal 2020 of $632.3 million at an effective interest rate of 5.46%.</w:t>
      </w:r>
    </w:p>
    <w:p>
      <w:pPr>
        <w:spacing w:after="0" w:line="1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increase in weighted-average borrowings during the first quarter of fiscal 2021 was attributable to the issuance of $500 million in principal amount of senior notes in May 2020, partially offset by the absence of borrowings under our secured revolving credit facility during the first quarter of 2021. The increase in the effective interest rate for the first quarter of fiscal 2021 was primarily due to the absence of borrowings under our secured revolving credit facility, which bore a lower interest rate than our senior notes, during the first quarter of fiscal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(income) expense, net was $(0.9) million in the first quarter of fiscal 2021 compared to $4.8 million in the first quarter of fiscal 2020. This difference was primarily due to a foreign exchange loss on intercompany loans in the first quarter of fiscal 2020 related to the strengthening of the U.S. dollar that did not reoccur in the first quarter of fiscal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consolidated income tax provision was $27.1 million in the first quarter of fiscal 2021 compared to a $13.0 million income tax benefit in the first quarter of fiscal 2020. Our effective tax rate was 23.9% in the first quarter of fiscal 2021 compared to 14.2% in the first quarter of fiscal 2020. The effective tax rate for the first quarter of fiscal 2021 reflects our full year expectations regarding the components of our taxable income by jurisdiction, with the majority of the income earned in the U.S. under existing U.S. tax legislation. The effective tax rate for the first quarter of fiscal 2020 reflected the impact of goodwill impairments with no corresponding tax benefit, our full year expectations regarding components of our taxable income by jurisdictions due to significant disruption in the worldwide economy from COVID-19 which reduced our pre-tax income in the U.S. and by the increase in tax benefits related to the vesting of stock awards in the first quarter of fiscal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Consolidated net income was $86.2 million in the first quarter of fiscal 2021 compared to a net loss of $78.7 million in the first quarter of fiscal 2020, primarily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First Quarter of Fiscal 2021 compared to First Quarter of Fiscal 2020</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net sales and operating income (loss), by segment, for the first quarter of fiscal 2021 and the first quarter of fiscal 2020:</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Fiscal quarter ended</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2"/>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 of consolidated</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of consolidated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9"/>
                <w:szCs w:val="19"/>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3, 2021</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sales</w:t>
            </w:r>
          </w:p>
        </w:tc>
        <w:tc>
          <w:tcPr>
            <w:tcW w:w="14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28, 2020</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 Change</w:t>
            </w:r>
          </w:p>
        </w:tc>
        <w:tc>
          <w:tcPr>
            <w:tcW w:w="12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3"/>
        </w:trPr>
        <w:tc>
          <w:tcPr>
            <w:tcW w:w="3080" w:type="dxa"/>
            <w:vAlign w:val="bottom"/>
          </w:tcPr>
          <w:p>
            <w:pPr>
              <w:ind w:left="120"/>
              <w:spacing w:after="0"/>
              <w:rPr>
                <w:sz w:val="20"/>
                <w:szCs w:val="20"/>
                <w:color w:val="auto"/>
              </w:rPr>
            </w:pPr>
            <w:r>
              <w:rPr>
                <w:rFonts w:ascii="Arial" w:cs="Arial" w:eastAsia="Arial" w:hAnsi="Arial"/>
                <w:sz w:val="16"/>
                <w:szCs w:val="16"/>
                <w:color w:val="auto"/>
              </w:rPr>
              <w:t>U.S. Retail</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407,067</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51.7 %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320,717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49.0 %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86,350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26.9 %</w:t>
            </w:r>
          </w:p>
        </w:tc>
      </w:tr>
      <w:tr>
        <w:trPr>
          <w:trHeight w:val="253"/>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Wholesale</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283,377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252,130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12.4 %</w:t>
            </w:r>
          </w:p>
        </w:tc>
      </w:tr>
      <w:tr>
        <w:trPr>
          <w:trHeight w:val="236"/>
        </w:trPr>
        <w:tc>
          <w:tcPr>
            <w:tcW w:w="3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96,917</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81,626</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15,291</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18.7 %</w:t>
            </w:r>
          </w:p>
        </w:tc>
      </w:tr>
      <w:tr>
        <w:trPr>
          <w:trHeight w:val="268"/>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Consolidated net sales</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787,361</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654,473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132,888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20.3 %</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 of segment net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 of segment net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3"/>
        </w:trPr>
        <w:tc>
          <w:tcPr>
            <w:tcW w:w="3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3"/>
        </w:trPr>
        <w:tc>
          <w:tcPr>
            <w:tcW w:w="3080" w:type="dxa"/>
            <w:vAlign w:val="bottom"/>
          </w:tcPr>
          <w:p>
            <w:pPr>
              <w:ind w:left="120"/>
              <w:spacing w:after="0"/>
              <w:rPr>
                <w:sz w:val="20"/>
                <w:szCs w:val="20"/>
                <w:color w:val="auto"/>
              </w:rPr>
            </w:pPr>
            <w:r>
              <w:rPr>
                <w:rFonts w:ascii="Arial" w:cs="Arial" w:eastAsia="Arial" w:hAnsi="Arial"/>
                <w:sz w:val="16"/>
                <w:szCs w:val="16"/>
                <w:color w:val="auto"/>
              </w:rPr>
              <w:t>U.S. Retail</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76,521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18.8 %</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(32,376)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108,897</w:t>
            </w:r>
          </w:p>
        </w:tc>
        <w:tc>
          <w:tcPr>
            <w:tcW w:w="1240" w:type="dxa"/>
            <w:vAlign w:val="bottom"/>
          </w:tcPr>
          <w:p>
            <w:pPr>
              <w:jc w:val="right"/>
              <w:spacing w:after="0"/>
              <w:rPr>
                <w:sz w:val="20"/>
                <w:szCs w:val="20"/>
                <w:color w:val="auto"/>
              </w:rPr>
            </w:pPr>
            <w:r>
              <w:rPr>
                <w:rFonts w:ascii="Arial" w:cs="Arial" w:eastAsia="Arial" w:hAnsi="Arial"/>
                <w:sz w:val="16"/>
                <w:szCs w:val="16"/>
                <w:color w:val="auto"/>
              </w:rPr>
              <w:t>336.4 %</w:t>
            </w:r>
          </w:p>
        </w:tc>
      </w:tr>
      <w:tr>
        <w:trPr>
          <w:trHeight w:val="253"/>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Wholesale</w:t>
            </w: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70,058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24.7 %</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67,827</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3,040.2 %</w:t>
            </w:r>
          </w:p>
        </w:tc>
      </w:tr>
      <w:tr>
        <w:trPr>
          <w:trHeight w:val="233"/>
        </w:trPr>
        <w:tc>
          <w:tcPr>
            <w:tcW w:w="3080" w:type="dxa"/>
            <w:vAlign w:val="bottom"/>
          </w:tcPr>
          <w:p>
            <w:pPr>
              <w:ind w:left="120"/>
              <w:spacing w:after="0"/>
              <w:rPr>
                <w:sz w:val="20"/>
                <w:szCs w:val="20"/>
                <w:color w:val="auto"/>
              </w:rPr>
            </w:pPr>
            <w:r>
              <w:rPr>
                <w:rFonts w:ascii="Arial" w:cs="Arial" w:eastAsia="Arial" w:hAnsi="Arial"/>
                <w:sz w:val="16"/>
                <w:szCs w:val="16"/>
                <w:color w:val="auto"/>
              </w:rPr>
              <w:t>International</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9,734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(27,705)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37,439</w:t>
            </w:r>
          </w:p>
        </w:tc>
        <w:tc>
          <w:tcPr>
            <w:tcW w:w="1240" w:type="dxa"/>
            <w:vAlign w:val="bottom"/>
          </w:tcPr>
          <w:p>
            <w:pPr>
              <w:jc w:val="right"/>
              <w:spacing w:after="0"/>
              <w:rPr>
                <w:sz w:val="20"/>
                <w:szCs w:val="20"/>
                <w:color w:val="auto"/>
              </w:rPr>
            </w:pPr>
            <w:r>
              <w:rPr>
                <w:rFonts w:ascii="Arial" w:cs="Arial" w:eastAsia="Arial" w:hAnsi="Arial"/>
                <w:sz w:val="16"/>
                <w:szCs w:val="16"/>
                <w:color w:val="auto"/>
              </w:rPr>
              <w:t>135.1 %</w:t>
            </w:r>
          </w:p>
        </w:tc>
      </w:tr>
      <w:tr>
        <w:trPr>
          <w:trHeight w:val="246"/>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Unallocated corporate expenses</w:t>
            </w:r>
          </w:p>
        </w:tc>
        <w:tc>
          <w:tcPr>
            <w:tcW w:w="4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(28,817)</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(20,628)</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43"/>
        </w:trPr>
        <w:tc>
          <w:tcPr>
            <w:tcW w:w="3080" w:type="dxa"/>
            <w:vAlign w:val="bottom"/>
          </w:tcPr>
          <w:p>
            <w:pPr>
              <w:ind w:left="200"/>
              <w:spacing w:after="0"/>
              <w:rPr>
                <w:sz w:val="20"/>
                <w:szCs w:val="20"/>
                <w:color w:val="auto"/>
              </w:rPr>
            </w:pPr>
            <w:r>
              <w:rPr>
                <w:rFonts w:ascii="Arial" w:cs="Arial" w:eastAsia="Arial" w:hAnsi="Arial"/>
                <w:sz w:val="16"/>
                <w:szCs w:val="16"/>
                <w:color w:val="auto"/>
              </w:rPr>
              <w:t>Consolidated operating income (loss)</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127,496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16.2 %</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(78,478)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205,974</w:t>
            </w:r>
          </w:p>
        </w:tc>
        <w:tc>
          <w:tcPr>
            <w:tcW w:w="1240" w:type="dxa"/>
            <w:vAlign w:val="bottom"/>
          </w:tcPr>
          <w:p>
            <w:pPr>
              <w:jc w:val="right"/>
              <w:spacing w:after="0"/>
              <w:rPr>
                <w:sz w:val="20"/>
                <w:szCs w:val="20"/>
                <w:color w:val="auto"/>
              </w:rPr>
            </w:pPr>
            <w:r>
              <w:rPr>
                <w:rFonts w:ascii="Arial" w:cs="Arial" w:eastAsia="Arial" w:hAnsi="Arial"/>
                <w:sz w:val="16"/>
                <w:szCs w:val="16"/>
                <w:color w:val="auto"/>
              </w:rPr>
              <w:t>262.5 %</w:t>
            </w:r>
          </w:p>
        </w:tc>
      </w:tr>
      <w:tr>
        <w:trPr>
          <w:trHeight w:val="21"/>
        </w:trPr>
        <w:tc>
          <w:tcPr>
            <w:tcW w:w="3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temporary store closures in the first quarter of fiscal 2020 in response to COVID-19, we have not included a discussion of the first quarter of fiscal 2021 retail comparable sales as we do not believe it is a meaningful metric during the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10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U.S. Retail segment net sales increased $86.4 million, or 26.9%, to $407.1 million in the first quarter of fiscal 2021. The increase in net sales was primarily driven by increased eCommerce sales, increased retail store traffic due to more stores being open throughout the first quarter of fiscal 2021 compared to the first quarter of fiscal 2020 as the Company recovered from business disruptions related to COVID-19, and increased average selling prices per unit as a result of decreased promotions. U.S. eCommerce net sales increased 38.0% during the first quarter of fiscal 2021 compared to the first quarter of fiscal 2020. As of April 3, 2021, we operated 804 retail stores in the U.S. compared to 864 as of January 2, 2021. The decrease in store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count in the first quarter of fiscal 2021 relates to our announced plans to close over 100 retail stores that are primarily unprofitable and in less trafficked shopping centers, by the end of fiscal 2021.</w:t>
      </w:r>
    </w:p>
    <w:p>
      <w:pPr>
        <w:spacing w:after="0" w:line="13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U.S. Retail segment operating income was $76.5 million in the first quarter of fiscal 2021 compared to an operating loss of $32.4 million in the first quarter of fiscal 2020. Operating margin increased 2,890 bps to 18.8% in the first quarter of fiscal 2021. Operating loss in the first quarter of fiscal 2020 included intangible asset impairment charges of $13.6 million and $0.5 million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tradenames, respectively. The primary drivers of the increase in operating margin were a 1,150 bps increase in gross margin, a 1,290 bps decrease in SG&amp;A rate, and the intangible asset impairment charges in the first quarter of fiscal 2020 that did not reoccur in the first quarter of fiscal 2021. The increase in gross margin was primarily due to increased average selling prices per unit, decreased product costs, decreased excess inventory provisions, and a benefit in fabric purchases commitment charges related to better than expected sales of inventory and utilization of fabric that were reserved for in the first quarter of fiscal 2020, partially offset by unfavorable shipping costs. The decrease in SG&amp;A rate was primarily due to increased net sales, better leverage of retail store expenses due to increased store traffic, decreased marketing costs, and decreased organizational restructuring expenses, partially offset by increased performance-based compensation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U.S. Wholesale segment net sales increased $31.2 million, or 12.4%, to $283.4 million in the first quarter of fiscal 2021 primarily due to increased demand in our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increased shipments to other wholesale customers as these customers recovered from business disruptions in the first quarter of fiscal 2020 as a result of COVID-19, and increased average selling prices per unit.</w:t>
      </w:r>
    </w:p>
    <w:p>
      <w:pPr>
        <w:spacing w:after="0" w:line="157"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U.S. Wholesale segment operating income increased $67.8 million to $70.1 million in the first quarter of fiscal 2021. Operating margin increased 2,380 bps to 24.7% in the first quarter of fiscal 2021. Operating income in the first quarter of fiscal 2020 included intangible asset impairment charges of</w:t>
      </w:r>
    </w:p>
    <w:p>
      <w:pPr>
        <w:ind w:right="80"/>
        <w:spacing w:after="0" w:line="290" w:lineRule="auto"/>
        <w:rPr>
          <w:sz w:val="20"/>
          <w:szCs w:val="20"/>
          <w:color w:val="auto"/>
        </w:rPr>
      </w:pPr>
      <w:r>
        <w:rPr>
          <w:rFonts w:ascii="Arial" w:cs="Arial" w:eastAsia="Arial" w:hAnsi="Arial"/>
          <w:sz w:val="16"/>
          <w:szCs w:val="16"/>
          <w:color w:val="auto"/>
        </w:rPr>
        <w:t xml:space="preserve">$6.8 million and $1.6 million related to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tradenames, respectively. The primary drivers of the increase in operating margin were a 1,930 bps increase in gross margin, a 150 bps decrease in SG&amp;A rate, and the intangible asset impairment charges in the first quarter of fiscal 2020 that did not reoccur in the first quarter of fiscal 2021. The increase in gross margin was primarily due to decreased excess inventory provisions, a benefit in fabric purchase commitment charges related to better than expected sales of inventory and utilization of fabric that were reserved for in the first quarter of fiscal 2020, and increased average selling prices per unit. The decrease in the SG&amp;A rate was primarily due to increased sales, decreased bad debt expense, and decreased selling expenses, partially offset by increased performance-based compensation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0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International segment net sales increased $15.3 million, or 18.7%, to $96.9 million in the first quarter of fiscal 2021. Changes in foreign currency exchange rates, primarily between the U.S. dollar and the Canadian dollar, had a $3.1 million favorable effect on International segment net sales in the first quarter of fiscal 2021. The increase in net sales was primarily driven by growth in our Canadian and Mexican eCommerce business, increased retail store traffic in Canada and Mexico due to more stores being open throughout the first quarter of fiscal 2021 compared to the first quarter of fiscal 2020 as the Company recovered from business disruptions related to COVID-19 and increased sales to our international wholesale accounts.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Canadian eCommerce net sales increased 143.7% during the first quarter of fiscal 2021 compared to the first quarter of fiscal 2020. As of April 3, 2021, we operated 189 and 43 retail stores in Canada and Mexico respectively, compared to 193 and 44 as of January 2, 2021. In April 2021, and subsequent to the first quarter of fiscal 2021, we temporarily closed approximately 100 retail stores in Canada in accordance with regulations put in place by the local governments as a result of rising COVID-19 cases. We plan to reopen the majority of these stores by the middle of May 2021, subject to safety considerations resulting from the progression of COVID-19 related laws and regulations put in place by the local governments.</w:t>
      </w:r>
    </w:p>
    <w:p>
      <w:pPr>
        <w:spacing w:after="0" w:line="13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International segment operating income was $9.7 million in the first quarter of fiscal 2021 compared to an operating loss of $27.7 million in the first quarter of fiscal 2020. Operating margin increased 4,390 bps to 10.0% in the first quarter of fiscal 2021. Operating loss in the first quarter of fiscal 2020 included a $17.7 million goodwill impairment charge recorded to the Other International reporting unit, a $3.7 million intangible asset impairment charge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and a $0.3 million intangible asset impairment charge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The increase in the operating margin was primarily attributable to a 840 bps increase in gross margin, a 920 bps decrease in the SG&amp;A rate, and the goodwill and intangible asset impairment charges in the first quarter of fiscal 2020 that did not reoccur in the first quarter of fiscal 2021. The increase in gross margin was primarily due to decreased excess inventory provisions, a benefit in fabric purchase commitment charges related to better than expected sales of inventory and utilization of fabric that were reserved for in the first quarter of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fiscal 2020, and increased average selling prices per unit. The decrease in the SG&amp;A rate was primarily due to better leverage of retail store expenses due to increased store traffic, decreased bad debt expense, decreased marketing costs, and other reductions in costs, partially offset by increased performance-based compensation expense and increased eCommerce distribution and fulfillment costs due to an increase in eCommerce demand.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10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Unallocated corporate expenses increased $8.2 million, or 39.7%, to $28.8 million in the first quarter of fiscal 2021. Unallocated corporate expenses, as a percentage of consolidated net sales, increased 50 bps to 3.7% in the first quarter of fiscal 2021. The increase as a percentage of consolidated net sales was primarily due to increased performance-based compensation expense and increased costs related to productivity initiatives, partially offset by decreased information technology related costs and decreased corporate occupancy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ongoing cash needs are primarily for working capital and capital expenditures. We expect that our primary sources of liquidity will be cash and cash equivalents on hand, cash flow from operations, and available borrowing capacity under our secured revolving credit facility. These sources of liquidity may be affected by events described in our risk factors, as further discussed under the heading “Risk Factors” in our most recently filed Annual Report on Form 10-K and in other reports filed with the Securities and Exchange Commission from time to time.</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April 3, 2021, we had $1.05 billion of cash and cash equivalents held at major financial institutions, including approximately $82.5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Net accounts receivable at April 3, 2021 were $240.2 million compared to $221.9 million at March 28, 2020 and $186.5 million at January 2, 2021. The overall increase of $18.4 million, or 8.3%, at April 3, 2021 compared to March 28, 2020 primarily reflects increased customer demand. Due to the seasonal nature of our operations, the net accounts receivable balance at April 3, 2021 is not comparable to the net accounts receivable balance at January 2, 2021.</w:t>
      </w:r>
    </w:p>
    <w:p>
      <w:pPr>
        <w:spacing w:after="0" w:line="12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Inventories at April 3, 2021 were $560.7 million compared to $565.9 million at March 28, 2020 and $599.3 million at January 2, 2021. The decrease of $5.3 million, or 0.9%, at April 3, 2021 compared to March 28, 2020 is primarily the result of our lean inventory strategy, partially offset by increased customer demand. Due to the seasonal nature of our operations, the inventories balance at April 3, 2021 is not comparable to the inventories balance at January 2, 2021.</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payable at April 3, 2021 were $334.8 million compared to $187.2 million at March 28, 2020 and $472.1 million at January 2, 2021. The increase of $147.7 million, or 78.9%, at April 3, 2021 compared to March 28, 2020 is primarily due to the timing of cash payments and change in terms to certain of our vendors. Due to the seasonal nature of our operations, the accounts payable balance at April 3, 2021 is not comparable to the accounts payable balance at January 2,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used in operating activities for the first quarter of fiscal 2021 was $39.5 million compared to $14.3 million in the first quarter of fiscal 2020. Our cash flow provided by operating activities is dependent on net income and changes in our working capital. The increase in net cash used in operating activities for the first quarter of fiscal 2021 was primarily due to a decrease in payment terms to certain of our vendors and due to the payment of deferred retail store rents from fiscal 2020, partially offset by increased net sales.</w:t>
      </w:r>
    </w:p>
    <w:p>
      <w:pPr>
        <w:spacing w:after="0" w:line="1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Operating cash flow is expected to be unfavorably impacted in fiscal 2021 due to a decrease in payment terms to certain of our vendors and due to the payment of deferred retail store rents from fiscal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investing activities for the first quarter of fiscal 2021 was $6.7 million compared to $8.1 million in the first quarter of fiscal 2020. The decrease in net cash used in investing activities for the first quarter of fiscal 2021 is primarily due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proceeds from the sale of investments in marketable securities, partially offset by an increase in capital expenditures. Capital expenditures in the first quarter of fiscal 2021 primarily included $6.1 million for information technology initiatives, $3.7 million for our U.S. and international retail store openings and remodelings, and $1.5 million for our distribution facilities.</w:t>
      </w:r>
    </w:p>
    <w:p>
      <w:pPr>
        <w:spacing w:after="0" w:line="14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plan to invest approximately $50.0 million in capital expenditures in fiscal 2021, which primarily relates to strategic information technology initiatives, U.S. and international retail store openings and remodels, investments to strengthen our omni-channel capabilities, and distribution facility initiatives.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used in financing activities was $2.8 million in the first quarter of fiscal 2021 compared to net cash provided by financing activities of $569.6 million in the first quarter of fiscal 2020. This change in cash flow from financing activities was primarily due to drawing on substantially all of our secured revolving credit facility to improve near-term liquidity in light of the uncertainty and disruption related to COVID-19 in the first quarter of fiscal 2020, which did not reoccur in the first quarter of fiscal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April 3, 2021, we had no outstanding borrowings under our secured revolving credit facility, exclusive of $5.0 million of outstanding letters of credit. As of April 3, 2021, there was approximately $745.0 million available for future borrowing. All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6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April 3, 2021, the interest rate margins applicable to the secured revolving credit facility were 1.625% for LIBOR rate and 0.625% for base rate loans.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first quarter of fiscal 2021, there were no changes in our financial and other covenants under the secured revolving credit facility as described in our Form 10-K for the 2020 fiscal year ended January 2, 2021.</w:t>
      </w:r>
    </w:p>
    <w:p>
      <w:pPr>
        <w:spacing w:after="0" w:line="13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April 21, 2021, through our wholly owned subsidiary, The William Carter Company (“TWCC”), we entered into Amendment No. 3 to our fourth amended and restated credit agreement (“Amendment No. 3”). Among other things, Amendment No. 3 provides that through the remainder of the Restricted Period, which ends on the date the Company delivers its financial statements and associated certificates relating to the third fiscal quarter of 2021:</w:t>
      </w:r>
    </w:p>
    <w:p>
      <w:pPr>
        <w:spacing w:after="0" w:line="160" w:lineRule="exact"/>
        <w:rPr>
          <w:sz w:val="20"/>
          <w:szCs w:val="20"/>
          <w:color w:val="auto"/>
        </w:rPr>
      </w:pPr>
    </w:p>
    <w:p>
      <w:pPr>
        <w:ind w:left="660" w:right="240" w:hanging="328"/>
        <w:spacing w:after="0" w:line="334"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must maintain a minimum liquidity (defined as cash-on-hand plus availability under the secured revolving credit facility) on the last day of each fiscal month of at least $950 million (the “Revised Liquidity Requirement”), which was increased by $250 million from $700 million; and</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make additional restricted payments, including to pay cash dividends and repurchase common stock, in an amount not to exceed</w:t>
      </w:r>
    </w:p>
    <w:p>
      <w:pPr>
        <w:spacing w:after="0" w:line="34" w:lineRule="exact"/>
        <w:rPr>
          <w:rFonts w:ascii="Arial" w:cs="Arial" w:eastAsia="Arial" w:hAnsi="Arial"/>
          <w:sz w:val="17"/>
          <w:szCs w:val="17"/>
          <w:color w:val="auto"/>
        </w:rPr>
      </w:pPr>
    </w:p>
    <w:p>
      <w:pPr>
        <w:jc w:val="both"/>
        <w:ind w:left="660" w:right="100"/>
        <w:spacing w:after="0" w:line="323" w:lineRule="auto"/>
        <w:rPr>
          <w:rFonts w:ascii="Arial" w:cs="Arial" w:eastAsia="Arial" w:hAnsi="Arial"/>
          <w:sz w:val="17"/>
          <w:szCs w:val="17"/>
          <w:color w:val="auto"/>
        </w:rPr>
      </w:pPr>
      <w:r>
        <w:rPr>
          <w:rFonts w:ascii="Arial" w:cs="Arial" w:eastAsia="Arial" w:hAnsi="Arial"/>
          <w:sz w:val="16"/>
          <w:szCs w:val="16"/>
          <w:color w:val="auto"/>
        </w:rPr>
        <w:t>$250 million, provided that (a) no default or event of default will have occurred and be continuing or would result from the payment and (b) after giving effect to the payment, we would have been in compliance with Revised Liquidity Requirement as of the last day of the most recent month.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April 3, 2021, the Company had outstanding $500 million principal amount of senior notes at par, bearing interest at a rate of 5.625% per annum, and maturing on March 15, 2027, and $500 million principal amount of senior notes at par, bearing interest at a rate of 5.500% per annum, and maturing on May 15,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the first quarter of fiscal 2021, we did not repurchase or retire any shares in open market transactions. In the first quarter of fiscal 2020, we repurchased and retired 474,684 shares in open market transactions for approximately $45.3 million, at an average price of $95.34 per share.</w:t>
      </w:r>
    </w:p>
    <w:p>
      <w:pPr>
        <w:spacing w:after="0" w:line="11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total remaining capacity under all remaining repurchase authorizations as of April 3, 2021 was approximately $650.4 million, based on settled repurchase transactions. The share repurchase authorizations have no expiration dates.</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first quarter of fiscal 2020, we announced that, in connection with the COVID-19 pandemic, we suspended our common stock share repurchase program. While we may elect to resume purchases at any time, the timing and amount of any future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300"/>
        <w:spacing w:after="0" w:line="406" w:lineRule="auto"/>
        <w:rPr>
          <w:sz w:val="20"/>
          <w:szCs w:val="20"/>
          <w:color w:val="auto"/>
        </w:rPr>
      </w:pPr>
      <w:r>
        <w:rPr>
          <w:rFonts w:ascii="Arial" w:cs="Arial" w:eastAsia="Arial" w:hAnsi="Arial"/>
          <w:sz w:val="18"/>
          <w:szCs w:val="18"/>
          <w:color w:val="auto"/>
        </w:rPr>
        <w:t xml:space="preserve">repurchases will be determined by the Company based on its evaluation of market conditions, share price, and other investment priorities. </w:t>
      </w:r>
      <w:r>
        <w:rPr>
          <w:rFonts w:ascii="Arial" w:cs="Arial" w:eastAsia="Arial" w:hAnsi="Arial"/>
          <w:sz w:val="18"/>
          <w:szCs w:val="18"/>
          <w:b w:val="1"/>
          <w:bCs w:val="1"/>
          <w:color w:val="auto"/>
        </w:rPr>
        <w:t>Dividends</w:t>
      </w:r>
    </w:p>
    <w:p>
      <w:pPr>
        <w:spacing w:after="0" w:line="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the first quarter of fiscal 2020, we paid quarterly cash dividends of $0.60 per share. On May 1, 2020, in connection with the COVID-19 pandemic, we suspended our quarterly cash dividend. As a result, the Company did not declare or pay cash dividends for the first quarter of fiscal 2021.</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April 27, 2021, in connection with the announcement of the amendment on our revolving credit facility, our Board of Directors authorized a quarterly cash dividend payment of $0.40 per common share, payable on May 28, 2021, to shareholders of record at the close of business on May 12, 2021. Our Board of Directors will evaluate future dividend declarations based on a number of factors, including restrictions under our revolving credit facility, business conditions, our financial performance, and other considerations.</w:t>
      </w:r>
    </w:p>
    <w:p>
      <w:pPr>
        <w:spacing w:after="0" w:line="16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Provisions in our secured revolving credit facility could have the effect of restricting our ability to pay cash dividends, or make future repurchases of, our common stock, as further described in Note 8,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critical accounting policies and estimates are described under the heading “Critical Accounting Policies and Estimates” in Item 7 of our most recent Annual Report on Form 10-K for the 2020 fiscal year ended January 2, 2021.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ind w:right="4000"/>
        <w:spacing w:after="0" w:line="362" w:lineRule="auto"/>
        <w:rPr>
          <w:sz w:val="20"/>
          <w:szCs w:val="20"/>
          <w:color w:val="auto"/>
        </w:rPr>
      </w:pPr>
      <w:r>
        <w:rPr>
          <w:rFonts w:ascii="Arial" w:cs="Arial" w:eastAsia="Arial" w:hAnsi="Arial"/>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46"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The changes in foreign currency exchange rates in the first quarter of fiscal 2021, compared to the first quarter of fiscal 2020, had a $3.1 million favorable effect on our International segment’s net sales.</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expense (income),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operating results are subject to risk from interest rate fluctuations on our amended revolving credit facility, which carries variable interest rates. As of April 3, 2021, there were no variable rate borrowings outstanding under the amended revolving credit facility. The impact of a hypothetical 100 bps increase in the effective interest rate on that amount would not result in a material amount of additional interest expense over a 12-month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April 3,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April 3, 2021 that have materially affected, or which are reasonably likely to materially affect, Internal Control.</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April 3,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9" w:right="41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2020 fiscal year ended January 2,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first quarter of fiscal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40"/>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0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jc w:val="right"/>
              <w:ind w:right="160"/>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6"/>
                <w:szCs w:val="16"/>
                <w:color w:val="auto"/>
              </w:rPr>
            </w:pPr>
          </w:p>
        </w:tc>
        <w:tc>
          <w:tcPr>
            <w:tcW w:w="17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Average price paid per</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40"/>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jc w:val="right"/>
              <w:ind w:right="60"/>
              <w:spacing w:after="0" w:line="176" w:lineRule="exact"/>
              <w:rPr>
                <w:sz w:val="20"/>
                <w:szCs w:val="20"/>
                <w:color w:val="auto"/>
              </w:rPr>
            </w:pPr>
            <w:r>
              <w:rPr>
                <w:rFonts w:ascii="Arial" w:cs="Arial" w:eastAsia="Arial" w:hAnsi="Arial"/>
                <w:sz w:val="15"/>
                <w:szCs w:val="15"/>
                <w:b w:val="1"/>
                <w:bCs w:val="1"/>
                <w:color w:val="auto"/>
              </w:rPr>
              <w:t>shares purchased</w:t>
            </w:r>
            <w:r>
              <w:rPr>
                <w:rFonts w:ascii="Arial" w:cs="Arial" w:eastAsia="Arial" w:hAnsi="Arial"/>
                <w:sz w:val="20"/>
                <w:szCs w:val="20"/>
                <w:b w:val="1"/>
                <w:bCs w:val="1"/>
                <w:color w:val="auto"/>
                <w:vertAlign w:val="superscript"/>
              </w:rPr>
              <w:t>(1)</w:t>
            </w:r>
          </w:p>
        </w:tc>
        <w:tc>
          <w:tcPr>
            <w:tcW w:w="12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5"/>
                <w:szCs w:val="15"/>
                <w:b w:val="1"/>
                <w:bCs w:val="1"/>
                <w:color w:val="auto"/>
                <w:w w:val="94"/>
              </w:rPr>
              <w:t>plans or programs</w:t>
            </w:r>
            <w:r>
              <w:rPr>
                <w:rFonts w:ascii="Arial" w:cs="Arial" w:eastAsia="Arial" w:hAnsi="Arial"/>
                <w:sz w:val="20"/>
                <w:szCs w:val="20"/>
                <w:b w:val="1"/>
                <w:bCs w:val="1"/>
                <w:color w:val="auto"/>
                <w:w w:val="94"/>
                <w:vertAlign w:val="superscript"/>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40"/>
              <w:spacing w:after="0" w:line="176" w:lineRule="exact"/>
              <w:rPr>
                <w:sz w:val="20"/>
                <w:szCs w:val="20"/>
                <w:color w:val="auto"/>
              </w:rPr>
            </w:pPr>
            <w:r>
              <w:rPr>
                <w:rFonts w:ascii="Arial" w:cs="Arial" w:eastAsia="Arial" w:hAnsi="Arial"/>
                <w:sz w:val="15"/>
                <w:szCs w:val="15"/>
                <w:b w:val="1"/>
                <w:bCs w:val="1"/>
                <w:color w:val="auto"/>
                <w:w w:val="93"/>
              </w:rPr>
              <w:t>programs</w:t>
            </w:r>
            <w:r>
              <w:rPr>
                <w:rFonts w:ascii="Arial" w:cs="Arial" w:eastAsia="Arial" w:hAnsi="Arial"/>
                <w:sz w:val="20"/>
                <w:szCs w:val="20"/>
                <w:b w:val="1"/>
                <w:bCs w:val="1"/>
                <w:color w:val="auto"/>
                <w:w w:val="93"/>
                <w:vertAlign w:val="superscript"/>
              </w:rPr>
              <w:t>(3)</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 2021 through January 30, 2021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650,447,970</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31, 2021 through February 27, 2021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37,444</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650,447,970</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28, 2021 through April 3, 2021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650,447,970</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37,444</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95.82</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right="120" w:hanging="332"/>
        <w:spacing w:after="0" w:line="273"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All of the shares purchased during the current quarter represent shares of our common stock surrendered by our employees to satisfy required tax withholding upon the vesting of restricted stock awards.</w:t>
      </w:r>
    </w:p>
    <w:p>
      <w:pPr>
        <w:spacing w:after="0" w:line="38" w:lineRule="exact"/>
        <w:rPr>
          <w:rFonts w:ascii="Arial" w:cs="Arial" w:eastAsia="Arial" w:hAnsi="Arial"/>
          <w:sz w:val="14"/>
          <w:szCs w:val="14"/>
          <w:color w:val="auto"/>
        </w:rPr>
      </w:pPr>
    </w:p>
    <w:p>
      <w:pPr>
        <w:ind w:left="340" w:right="60" w:hanging="332"/>
        <w:spacing w:after="0" w:line="273"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As previously announced, the Company, in connection with the COVID-19 pandemic, suspended its common stock share repurchase program in 2020. Refer to the open market repurchases as disclosed in Note 7, </w:t>
      </w:r>
      <w:r>
        <w:rPr>
          <w:rFonts w:ascii="Arial" w:cs="Arial" w:eastAsia="Arial" w:hAnsi="Arial"/>
          <w:sz w:val="14"/>
          <w:szCs w:val="14"/>
          <w:i w:val="1"/>
          <w:iCs w:val="1"/>
          <w:color w:val="auto"/>
        </w:rPr>
        <w:t>Common Stock</w:t>
      </w:r>
      <w:r>
        <w:rPr>
          <w:rFonts w:ascii="Arial" w:cs="Arial" w:eastAsia="Arial" w:hAnsi="Arial"/>
          <w:sz w:val="14"/>
          <w:szCs w:val="14"/>
          <w:color w:val="auto"/>
        </w:rPr>
        <w:t>, to the unaudited condensed consolidated financial statements.</w:t>
      </w:r>
    </w:p>
    <w:p>
      <w:pPr>
        <w:spacing w:after="0" w:line="52"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 share repurchase authorizations approved by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b w:val="1"/>
                <w:bCs w:val="1"/>
                <w:color w:val="auto"/>
                <w:w w:val="94"/>
              </w:rPr>
              <w:t>Exhibit Number</w:t>
            </w:r>
          </w:p>
        </w:tc>
        <w:tc>
          <w:tcPr>
            <w:tcW w:w="560" w:type="dxa"/>
            <w:vAlign w:val="bottom"/>
          </w:tcPr>
          <w:p>
            <w:pPr>
              <w:spacing w:after="0"/>
              <w:rPr>
                <w:sz w:val="16"/>
                <w:szCs w:val="16"/>
                <w:color w:val="auto"/>
              </w:rPr>
            </w:pPr>
          </w:p>
        </w:tc>
        <w:tc>
          <w:tcPr>
            <w:tcW w:w="9300" w:type="dxa"/>
            <w:vAlign w:val="bottom"/>
            <w:gridSpan w:val="8"/>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0"/>
        </w:trPr>
        <w:tc>
          <w:tcPr>
            <w:tcW w:w="1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6"/>
                <w:szCs w:val="16"/>
                <w:color w:val="auto"/>
              </w:rPr>
              <w:t>3.1</w:t>
            </w:r>
          </w:p>
        </w:tc>
        <w:tc>
          <w:tcPr>
            <w:tcW w:w="560" w:type="dxa"/>
            <w:vAlign w:val="bottom"/>
          </w:tcPr>
          <w:p>
            <w:pPr>
              <w:spacing w:after="0"/>
              <w:rPr>
                <w:sz w:val="24"/>
                <w:szCs w:val="24"/>
                <w:color w:val="auto"/>
              </w:rPr>
            </w:pPr>
          </w:p>
        </w:tc>
        <w:tc>
          <w:tcPr>
            <w:tcW w:w="9240" w:type="dxa"/>
            <w:vAlign w:val="bottom"/>
            <w:tcBorders>
              <w:bottom w:val="single" w:sz="8" w:color="0000FF"/>
            </w:tcBorders>
            <w:gridSpan w:val="7"/>
          </w:tcPr>
          <w:p>
            <w:pPr>
              <w:spacing w:after="0"/>
              <w:rPr>
                <w:rFonts w:ascii="Arial" w:cs="Arial" w:eastAsia="Arial" w:hAnsi="Arial"/>
                <w:sz w:val="16"/>
                <w:szCs w:val="16"/>
                <w:color w:val="0000FF"/>
                <w:w w:val="92"/>
              </w:rPr>
            </w:pPr>
            <w:hyperlink r:id="rId56">
              <w:r>
                <w:rPr>
                  <w:rFonts w:ascii="Arial" w:cs="Arial" w:eastAsia="Arial" w:hAnsi="Arial"/>
                  <w:sz w:val="16"/>
                  <w:szCs w:val="16"/>
                  <w:color w:val="0000FF"/>
                  <w:w w:val="92"/>
                </w:rPr>
                <w:t>Certificate of Incorporation of Carter’s, Inc., as amended on May 22, 2017 (incorporated by reference to Exhibit 3.1 of Carter’s, Inc.’s Current</w:t>
              </w:r>
            </w:hyperlink>
          </w:p>
        </w:tc>
        <w:tc>
          <w:tcPr>
            <w:tcW w:w="6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300" w:type="dxa"/>
            <w:vAlign w:val="bottom"/>
            <w:gridSpan w:val="8"/>
          </w:tcPr>
          <w:p>
            <w:pPr>
              <w:spacing w:after="0" w:line="169" w:lineRule="exact"/>
              <w:rPr>
                <w:rFonts w:ascii="Arial" w:cs="Arial" w:eastAsia="Arial" w:hAnsi="Arial"/>
                <w:sz w:val="16"/>
                <w:szCs w:val="16"/>
                <w:color w:val="0000FF"/>
              </w:rPr>
            </w:pPr>
            <w:hyperlink r:id="rId56">
              <w:r>
                <w:rPr>
                  <w:rFonts w:ascii="Arial" w:cs="Arial" w:eastAsia="Arial" w:hAnsi="Arial"/>
                  <w:sz w:val="16"/>
                  <w:szCs w:val="16"/>
                  <w:color w:val="0000FF"/>
                </w:rPr>
                <w:t>Report on Form 8-K filed on May 23, 2017).</w:t>
              </w:r>
            </w:hyperlink>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398"/>
        </w:trPr>
        <w:tc>
          <w:tcPr>
            <w:tcW w:w="1140" w:type="dxa"/>
            <w:vAlign w:val="bottom"/>
          </w:tcPr>
          <w:p>
            <w:pPr>
              <w:spacing w:after="0"/>
              <w:rPr>
                <w:sz w:val="20"/>
                <w:szCs w:val="20"/>
                <w:color w:val="auto"/>
              </w:rPr>
            </w:pPr>
            <w:r>
              <w:rPr>
                <w:rFonts w:ascii="Arial" w:cs="Arial" w:eastAsia="Arial" w:hAnsi="Arial"/>
                <w:sz w:val="16"/>
                <w:szCs w:val="16"/>
                <w:color w:val="auto"/>
              </w:rPr>
              <w:t>3.2</w:t>
            </w:r>
          </w:p>
        </w:tc>
        <w:tc>
          <w:tcPr>
            <w:tcW w:w="560" w:type="dxa"/>
            <w:vAlign w:val="bottom"/>
          </w:tcPr>
          <w:p>
            <w:pPr>
              <w:spacing w:after="0"/>
              <w:rPr>
                <w:sz w:val="24"/>
                <w:szCs w:val="24"/>
                <w:color w:val="auto"/>
              </w:rPr>
            </w:pPr>
          </w:p>
        </w:tc>
        <w:tc>
          <w:tcPr>
            <w:tcW w:w="9300" w:type="dxa"/>
            <w:vAlign w:val="bottom"/>
            <w:tcBorders>
              <w:bottom w:val="single" w:sz="8" w:color="0000FF"/>
            </w:tcBorders>
            <w:gridSpan w:val="8"/>
          </w:tcPr>
          <w:p>
            <w:pPr>
              <w:spacing w:after="0"/>
              <w:rPr>
                <w:rFonts w:ascii="Arial" w:cs="Arial" w:eastAsia="Arial" w:hAnsi="Arial"/>
                <w:sz w:val="16"/>
                <w:szCs w:val="16"/>
                <w:color w:val="0000FF"/>
                <w:w w:val="93"/>
              </w:rPr>
            </w:pPr>
            <w:hyperlink r:id="rId57">
              <w:r>
                <w:rPr>
                  <w:rFonts w:ascii="Arial" w:cs="Arial" w:eastAsia="Arial" w:hAnsi="Arial"/>
                  <w:sz w:val="16"/>
                  <w:szCs w:val="16"/>
                  <w:color w:val="0000FF"/>
                  <w:w w:val="93"/>
                </w:rPr>
                <w:t>Amended and Restated By-Laws of Carter’s, Inc. (incorporated by reference to Exhibit 3.2 of Carter’s, Inc.’s Current Report on Form 8-K filed</w:t>
              </w:r>
            </w:hyperlink>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Borders>
              <w:bottom w:val="single" w:sz="8" w:color="0000FF"/>
            </w:tcBorders>
          </w:tcPr>
          <w:p>
            <w:pPr>
              <w:spacing w:after="0" w:line="169" w:lineRule="exact"/>
              <w:rPr>
                <w:rFonts w:ascii="Arial" w:cs="Arial" w:eastAsia="Arial" w:hAnsi="Arial"/>
                <w:sz w:val="16"/>
                <w:szCs w:val="16"/>
                <w:color w:val="0000FF"/>
                <w:w w:val="91"/>
              </w:rPr>
            </w:pPr>
            <w:hyperlink r:id="rId57">
              <w:r>
                <w:rPr>
                  <w:rFonts w:ascii="Arial" w:cs="Arial" w:eastAsia="Arial" w:hAnsi="Arial"/>
                  <w:sz w:val="16"/>
                  <w:szCs w:val="16"/>
                  <w:color w:val="0000FF"/>
                  <w:w w:val="91"/>
                </w:rPr>
                <w:t>on May 23, 2017).</w:t>
              </w:r>
            </w:hyperlink>
          </w:p>
        </w:tc>
        <w:tc>
          <w:tcPr>
            <w:tcW w:w="8100" w:type="dxa"/>
            <w:vAlign w:val="bottom"/>
            <w:gridSpan w:val="7"/>
          </w:tcPr>
          <w:p>
            <w:pPr>
              <w:spacing w:after="0"/>
              <w:rPr>
                <w:sz w:val="14"/>
                <w:szCs w:val="14"/>
                <w:color w:val="auto"/>
              </w:rPr>
            </w:pPr>
          </w:p>
        </w:tc>
      </w:tr>
      <w:tr>
        <w:trPr>
          <w:trHeight w:val="398"/>
        </w:trPr>
        <w:tc>
          <w:tcPr>
            <w:tcW w:w="1140" w:type="dxa"/>
            <w:vAlign w:val="bottom"/>
          </w:tcPr>
          <w:p>
            <w:pPr>
              <w:spacing w:after="0"/>
              <w:rPr>
                <w:sz w:val="20"/>
                <w:szCs w:val="20"/>
                <w:color w:val="auto"/>
              </w:rPr>
            </w:pPr>
            <w:r>
              <w:rPr>
                <w:rFonts w:ascii="Arial" w:cs="Arial" w:eastAsia="Arial" w:hAnsi="Arial"/>
                <w:sz w:val="16"/>
                <w:szCs w:val="16"/>
                <w:color w:val="auto"/>
              </w:rPr>
              <w:t>31.1</w:t>
            </w:r>
          </w:p>
        </w:tc>
        <w:tc>
          <w:tcPr>
            <w:tcW w:w="560" w:type="dxa"/>
            <w:vAlign w:val="bottom"/>
          </w:tcPr>
          <w:p>
            <w:pPr>
              <w:spacing w:after="0"/>
              <w:rPr>
                <w:sz w:val="24"/>
                <w:szCs w:val="24"/>
                <w:color w:val="auto"/>
              </w:rPr>
            </w:pPr>
          </w:p>
        </w:tc>
        <w:tc>
          <w:tcPr>
            <w:tcW w:w="4160" w:type="dxa"/>
            <w:vAlign w:val="bottom"/>
            <w:tcBorders>
              <w:bottom w:val="single" w:sz="8" w:color="0000FF"/>
            </w:tcBorders>
            <w:gridSpan w:val="6"/>
          </w:tcPr>
          <w:p>
            <w:pPr>
              <w:spacing w:after="0"/>
              <w:rPr>
                <w:rFonts w:ascii="Arial" w:cs="Arial" w:eastAsia="Arial" w:hAnsi="Arial"/>
                <w:sz w:val="16"/>
                <w:szCs w:val="16"/>
                <w:color w:val="0000FF"/>
                <w:w w:val="93"/>
              </w:rPr>
            </w:pPr>
            <w:hyperlink w:anchor="page32">
              <w:r>
                <w:rPr>
                  <w:rFonts w:ascii="Arial" w:cs="Arial" w:eastAsia="Arial" w:hAnsi="Arial"/>
                  <w:sz w:val="16"/>
                  <w:szCs w:val="16"/>
                  <w:color w:val="0000FF"/>
                  <w:w w:val="93"/>
                </w:rPr>
                <w:t>Rule 13a-15(e)/15d-15(e) and 13a-15(f)/15d-15(f) Certification.</w:t>
              </w:r>
            </w:hyperlink>
          </w:p>
        </w:tc>
        <w:tc>
          <w:tcPr>
            <w:tcW w:w="5140" w:type="dxa"/>
            <w:vAlign w:val="bottom"/>
            <w:gridSpan w:val="2"/>
          </w:tcPr>
          <w:p>
            <w:pPr>
              <w:spacing w:after="0"/>
              <w:rPr>
                <w:sz w:val="24"/>
                <w:szCs w:val="24"/>
                <w:color w:val="auto"/>
              </w:rPr>
            </w:pPr>
          </w:p>
        </w:tc>
      </w:tr>
      <w:tr>
        <w:trPr>
          <w:trHeight w:val="399"/>
        </w:trPr>
        <w:tc>
          <w:tcPr>
            <w:tcW w:w="1140" w:type="dxa"/>
            <w:vAlign w:val="bottom"/>
          </w:tcPr>
          <w:p>
            <w:pPr>
              <w:spacing w:after="0"/>
              <w:rPr>
                <w:sz w:val="20"/>
                <w:szCs w:val="20"/>
                <w:color w:val="auto"/>
              </w:rPr>
            </w:pPr>
            <w:r>
              <w:rPr>
                <w:rFonts w:ascii="Arial" w:cs="Arial" w:eastAsia="Arial" w:hAnsi="Arial"/>
                <w:sz w:val="16"/>
                <w:szCs w:val="16"/>
                <w:color w:val="auto"/>
              </w:rPr>
              <w:t>31.2</w:t>
            </w:r>
          </w:p>
        </w:tc>
        <w:tc>
          <w:tcPr>
            <w:tcW w:w="560" w:type="dxa"/>
            <w:vAlign w:val="bottom"/>
          </w:tcPr>
          <w:p>
            <w:pPr>
              <w:spacing w:after="0"/>
              <w:rPr>
                <w:sz w:val="24"/>
                <w:szCs w:val="24"/>
                <w:color w:val="auto"/>
              </w:rPr>
            </w:pPr>
          </w:p>
        </w:tc>
        <w:tc>
          <w:tcPr>
            <w:tcW w:w="9300" w:type="dxa"/>
            <w:vAlign w:val="bottom"/>
            <w:gridSpan w:val="8"/>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Rule 13a-15(e)/15d-15(e) and 13a-15(f)/15d-15(f) Certification.</w:t>
              </w:r>
            </w:hyperlink>
          </w:p>
        </w:tc>
      </w:tr>
      <w:tr>
        <w:trPr>
          <w:trHeight w:val="398"/>
        </w:trPr>
        <w:tc>
          <w:tcPr>
            <w:tcW w:w="1140" w:type="dxa"/>
            <w:vAlign w:val="bottom"/>
          </w:tcPr>
          <w:p>
            <w:pPr>
              <w:spacing w:after="0"/>
              <w:rPr>
                <w:sz w:val="20"/>
                <w:szCs w:val="20"/>
                <w:color w:val="auto"/>
              </w:rPr>
            </w:pPr>
            <w:r>
              <w:rPr>
                <w:rFonts w:ascii="Arial" w:cs="Arial" w:eastAsia="Arial" w:hAnsi="Arial"/>
                <w:sz w:val="16"/>
                <w:szCs w:val="16"/>
                <w:color w:val="auto"/>
              </w:rPr>
              <w:t>32</w:t>
            </w:r>
          </w:p>
        </w:tc>
        <w:tc>
          <w:tcPr>
            <w:tcW w:w="560" w:type="dxa"/>
            <w:vAlign w:val="bottom"/>
          </w:tcPr>
          <w:p>
            <w:pPr>
              <w:spacing w:after="0"/>
              <w:rPr>
                <w:sz w:val="24"/>
                <w:szCs w:val="24"/>
                <w:color w:val="auto"/>
              </w:rPr>
            </w:pPr>
          </w:p>
        </w:tc>
        <w:tc>
          <w:tcPr>
            <w:tcW w:w="4140" w:type="dxa"/>
            <w:vAlign w:val="bottom"/>
            <w:tcBorders>
              <w:top w:val="single" w:sz="8" w:color="0000FF"/>
            </w:tcBorders>
            <w:gridSpan w:val="5"/>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Section 1350 Certification.</w:t>
              </w:r>
            </w:hyperlink>
          </w:p>
        </w:tc>
        <w:tc>
          <w:tcPr>
            <w:tcW w:w="5160" w:type="dxa"/>
            <w:vAlign w:val="bottom"/>
            <w:gridSpan w:val="3"/>
          </w:tcPr>
          <w:p>
            <w:pPr>
              <w:spacing w:after="0"/>
              <w:rPr>
                <w:sz w:val="24"/>
                <w:szCs w:val="24"/>
                <w:color w:val="auto"/>
              </w:rPr>
            </w:pPr>
          </w:p>
        </w:tc>
      </w:tr>
      <w:tr>
        <w:trPr>
          <w:trHeight w:val="20"/>
        </w:trPr>
        <w:tc>
          <w:tcPr>
            <w:tcW w:w="1700" w:type="dxa"/>
            <w:vAlign w:val="bottom"/>
            <w:gridSpan w:val="2"/>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7560" w:type="dxa"/>
            <w:vAlign w:val="bottom"/>
            <w:gridSpan w:val="5"/>
          </w:tcPr>
          <w:p>
            <w:pPr>
              <w:spacing w:after="0" w:line="20" w:lineRule="exact"/>
              <w:rPr>
                <w:sz w:val="1"/>
                <w:szCs w:val="1"/>
                <w:color w:val="auto"/>
              </w:rPr>
            </w:pPr>
          </w:p>
        </w:tc>
      </w:tr>
      <w:tr>
        <w:trPr>
          <w:trHeight w:val="416"/>
        </w:trPr>
        <w:tc>
          <w:tcPr>
            <w:tcW w:w="1700" w:type="dxa"/>
            <w:vAlign w:val="bottom"/>
            <w:gridSpan w:val="2"/>
          </w:tcPr>
          <w:p>
            <w:pPr>
              <w:spacing w:after="0"/>
              <w:rPr>
                <w:sz w:val="20"/>
                <w:szCs w:val="20"/>
                <w:color w:val="auto"/>
              </w:rPr>
            </w:pPr>
            <w:r>
              <w:rPr>
                <w:rFonts w:ascii="Arial" w:cs="Arial" w:eastAsia="Arial" w:hAnsi="Arial"/>
                <w:sz w:val="16"/>
                <w:szCs w:val="16"/>
                <w:color w:val="auto"/>
              </w:rPr>
              <w:t>Exhibit No. (101).INS</w:t>
            </w:r>
          </w:p>
        </w:tc>
        <w:tc>
          <w:tcPr>
            <w:tcW w:w="9300" w:type="dxa"/>
            <w:vAlign w:val="bottom"/>
            <w:gridSpan w:val="8"/>
          </w:tcPr>
          <w:p>
            <w:pPr>
              <w:spacing w:after="0"/>
              <w:rPr>
                <w:sz w:val="20"/>
                <w:szCs w:val="20"/>
                <w:color w:val="auto"/>
              </w:rPr>
            </w:pPr>
            <w:r>
              <w:rPr>
                <w:rFonts w:ascii="Arial" w:cs="Arial" w:eastAsia="Arial" w:hAnsi="Arial"/>
                <w:sz w:val="16"/>
                <w:szCs w:val="16"/>
                <w:color w:val="auto"/>
                <w:w w:val="92"/>
              </w:rPr>
              <w:t>XBRL Instance Document - the instant document does not appear in the Interactive Data File because its XBRL tags are embedded within the</w:t>
            </w:r>
          </w:p>
        </w:tc>
      </w:tr>
      <w:tr>
        <w:trPr>
          <w:trHeight w:val="206"/>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00" w:type="dxa"/>
            <w:vAlign w:val="bottom"/>
            <w:gridSpan w:val="8"/>
          </w:tcPr>
          <w:p>
            <w:pPr>
              <w:spacing w:after="0"/>
              <w:rPr>
                <w:sz w:val="20"/>
                <w:szCs w:val="20"/>
                <w:color w:val="auto"/>
              </w:rPr>
            </w:pPr>
            <w:r>
              <w:rPr>
                <w:rFonts w:ascii="Arial" w:cs="Arial" w:eastAsia="Arial" w:hAnsi="Arial"/>
                <w:sz w:val="16"/>
                <w:szCs w:val="16"/>
                <w:color w:val="auto"/>
              </w:rPr>
              <w:t>Inline XBRL document</w:t>
            </w:r>
          </w:p>
        </w:tc>
      </w:tr>
      <w:tr>
        <w:trPr>
          <w:trHeight w:val="243"/>
        </w:trPr>
        <w:tc>
          <w:tcPr>
            <w:tcW w:w="1700" w:type="dxa"/>
            <w:vAlign w:val="bottom"/>
            <w:gridSpan w:val="2"/>
          </w:tcPr>
          <w:p>
            <w:pPr>
              <w:spacing w:after="0"/>
              <w:rPr>
                <w:sz w:val="20"/>
                <w:szCs w:val="20"/>
                <w:color w:val="auto"/>
              </w:rPr>
            </w:pPr>
            <w:r>
              <w:rPr>
                <w:rFonts w:ascii="Arial" w:cs="Arial" w:eastAsia="Arial" w:hAnsi="Arial"/>
                <w:sz w:val="16"/>
                <w:szCs w:val="16"/>
                <w:color w:val="auto"/>
              </w:rPr>
              <w:t>Exhibit No. (101).SCH</w:t>
            </w:r>
          </w:p>
        </w:tc>
        <w:tc>
          <w:tcPr>
            <w:tcW w:w="9300" w:type="dxa"/>
            <w:vAlign w:val="bottom"/>
            <w:gridSpan w:val="8"/>
          </w:tcPr>
          <w:p>
            <w:pPr>
              <w:spacing w:after="0"/>
              <w:rPr>
                <w:sz w:val="20"/>
                <w:szCs w:val="20"/>
                <w:color w:val="auto"/>
              </w:rPr>
            </w:pPr>
            <w:r>
              <w:rPr>
                <w:rFonts w:ascii="Arial" w:cs="Arial" w:eastAsia="Arial" w:hAnsi="Arial"/>
                <w:sz w:val="16"/>
                <w:szCs w:val="16"/>
                <w:color w:val="auto"/>
              </w:rPr>
              <w:t>XBRL Taxonomy Extension Schema Document</w:t>
            </w:r>
          </w:p>
        </w:tc>
      </w:tr>
      <w:tr>
        <w:trPr>
          <w:trHeight w:val="243"/>
        </w:trPr>
        <w:tc>
          <w:tcPr>
            <w:tcW w:w="1700" w:type="dxa"/>
            <w:vAlign w:val="bottom"/>
            <w:gridSpan w:val="2"/>
          </w:tcPr>
          <w:p>
            <w:pPr>
              <w:spacing w:after="0"/>
              <w:rPr>
                <w:sz w:val="20"/>
                <w:szCs w:val="20"/>
                <w:color w:val="auto"/>
              </w:rPr>
            </w:pPr>
            <w:r>
              <w:rPr>
                <w:rFonts w:ascii="Arial" w:cs="Arial" w:eastAsia="Arial" w:hAnsi="Arial"/>
                <w:sz w:val="16"/>
                <w:szCs w:val="16"/>
                <w:color w:val="auto"/>
              </w:rPr>
              <w:t>Exhibit No. (101).CAL</w:t>
            </w:r>
          </w:p>
        </w:tc>
        <w:tc>
          <w:tcPr>
            <w:tcW w:w="930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43"/>
        </w:trPr>
        <w:tc>
          <w:tcPr>
            <w:tcW w:w="1700" w:type="dxa"/>
            <w:vAlign w:val="bottom"/>
            <w:gridSpan w:val="2"/>
          </w:tcPr>
          <w:p>
            <w:pPr>
              <w:spacing w:after="0"/>
              <w:rPr>
                <w:sz w:val="20"/>
                <w:szCs w:val="20"/>
                <w:color w:val="auto"/>
              </w:rPr>
            </w:pPr>
            <w:r>
              <w:rPr>
                <w:rFonts w:ascii="Arial" w:cs="Arial" w:eastAsia="Arial" w:hAnsi="Arial"/>
                <w:sz w:val="16"/>
                <w:szCs w:val="16"/>
                <w:color w:val="auto"/>
              </w:rPr>
              <w:t>Exhibit No. (101).DEF</w:t>
            </w:r>
          </w:p>
        </w:tc>
        <w:tc>
          <w:tcPr>
            <w:tcW w:w="9300" w:type="dxa"/>
            <w:vAlign w:val="bottom"/>
            <w:gridSpan w:val="8"/>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43"/>
        </w:trPr>
        <w:tc>
          <w:tcPr>
            <w:tcW w:w="1700" w:type="dxa"/>
            <w:vAlign w:val="bottom"/>
            <w:gridSpan w:val="2"/>
          </w:tcPr>
          <w:p>
            <w:pPr>
              <w:spacing w:after="0"/>
              <w:rPr>
                <w:sz w:val="20"/>
                <w:szCs w:val="20"/>
                <w:color w:val="auto"/>
              </w:rPr>
            </w:pPr>
            <w:r>
              <w:rPr>
                <w:rFonts w:ascii="Arial" w:cs="Arial" w:eastAsia="Arial" w:hAnsi="Arial"/>
                <w:sz w:val="16"/>
                <w:szCs w:val="16"/>
                <w:color w:val="auto"/>
              </w:rPr>
              <w:t>Exhibit No. (101).LAB</w:t>
            </w:r>
          </w:p>
        </w:tc>
        <w:tc>
          <w:tcPr>
            <w:tcW w:w="930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43"/>
        </w:trPr>
        <w:tc>
          <w:tcPr>
            <w:tcW w:w="1700" w:type="dxa"/>
            <w:vAlign w:val="bottom"/>
            <w:gridSpan w:val="2"/>
          </w:tcPr>
          <w:p>
            <w:pPr>
              <w:spacing w:after="0"/>
              <w:rPr>
                <w:sz w:val="20"/>
                <w:szCs w:val="20"/>
                <w:color w:val="auto"/>
              </w:rPr>
            </w:pPr>
            <w:r>
              <w:rPr>
                <w:rFonts w:ascii="Arial" w:cs="Arial" w:eastAsia="Arial" w:hAnsi="Arial"/>
                <w:sz w:val="16"/>
                <w:szCs w:val="16"/>
                <w:color w:val="auto"/>
              </w:rPr>
              <w:t>Exhibit No. (101).PRE</w:t>
            </w:r>
          </w:p>
        </w:tc>
        <w:tc>
          <w:tcPr>
            <w:tcW w:w="9300" w:type="dxa"/>
            <w:vAlign w:val="bottom"/>
            <w:gridSpan w:val="8"/>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43"/>
        </w:trPr>
        <w:tc>
          <w:tcPr>
            <w:tcW w:w="1700" w:type="dxa"/>
            <w:vAlign w:val="bottom"/>
            <w:gridSpan w:val="2"/>
          </w:tcPr>
          <w:p>
            <w:pPr>
              <w:spacing w:after="0"/>
              <w:rPr>
                <w:sz w:val="20"/>
                <w:szCs w:val="20"/>
                <w:color w:val="auto"/>
              </w:rPr>
            </w:pPr>
            <w:r>
              <w:rPr>
                <w:rFonts w:ascii="Arial" w:cs="Arial" w:eastAsia="Arial" w:hAnsi="Arial"/>
                <w:sz w:val="16"/>
                <w:szCs w:val="16"/>
                <w:color w:val="auto"/>
              </w:rPr>
              <w:t>Exhibit No. 104</w:t>
            </w:r>
          </w:p>
        </w:tc>
        <w:tc>
          <w:tcPr>
            <w:tcW w:w="9300" w:type="dxa"/>
            <w:vAlign w:val="bottom"/>
            <w:gridSpan w:val="8"/>
          </w:tcPr>
          <w:p>
            <w:pPr>
              <w:spacing w:after="0"/>
              <w:rPr>
                <w:sz w:val="20"/>
                <w:szCs w:val="20"/>
                <w:color w:val="auto"/>
              </w:rPr>
            </w:pPr>
            <w:r>
              <w:rPr>
                <w:rFonts w:ascii="Arial" w:cs="Arial" w:eastAsia="Arial" w:hAnsi="Arial"/>
                <w:sz w:val="16"/>
                <w:szCs w:val="16"/>
                <w:color w:val="auto"/>
              </w:rPr>
              <w:t>The cover page from this Current Report on Form 10-Q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69" w:right="559" w:bottom="1440" w:gutter="0" w:footer="0" w:header="0"/>
        </w:sectPr>
      </w:pPr>
    </w:p>
    <w:bookmarkStart w:id="30" w:name="page31"/>
    <w:bookmarkEnd w:id="30"/>
    <w:p>
      <w:pPr>
        <w:spacing w:after="0" w:line="25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20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5000" w:type="dxa"/>
            <w:vAlign w:val="bottom"/>
            <w:gridSpan w:val="2"/>
          </w:tcPr>
          <w:p>
            <w:pPr>
              <w:ind w:left="920"/>
              <w:spacing w:after="0"/>
              <w:rPr>
                <w:sz w:val="20"/>
                <w:szCs w:val="20"/>
                <w:color w:val="auto"/>
              </w:rPr>
            </w:pPr>
            <w:r>
              <w:rPr>
                <w:rFonts w:ascii="Arial" w:cs="Arial" w:eastAsia="Arial" w:hAnsi="Arial"/>
                <w:sz w:val="18"/>
                <w:szCs w:val="18"/>
                <w:color w:val="auto"/>
              </w:rPr>
              <w:t>CARTER’S, INC.</w:t>
            </w:r>
          </w:p>
        </w:tc>
      </w:tr>
      <w:tr>
        <w:trPr>
          <w:trHeight w:val="858"/>
        </w:trPr>
        <w:tc>
          <w:tcPr>
            <w:tcW w:w="1860" w:type="dxa"/>
            <w:vAlign w:val="bottom"/>
          </w:tcPr>
          <w:p>
            <w:pPr>
              <w:spacing w:after="0"/>
              <w:rPr>
                <w:sz w:val="20"/>
                <w:szCs w:val="20"/>
                <w:color w:val="auto"/>
              </w:rPr>
            </w:pPr>
            <w:r>
              <w:rPr>
                <w:rFonts w:ascii="Arial" w:cs="Arial" w:eastAsia="Arial" w:hAnsi="Arial"/>
                <w:sz w:val="16"/>
                <w:szCs w:val="16"/>
                <w:color w:val="auto"/>
              </w:rPr>
              <w:t>April 30, 2021</w:t>
            </w:r>
          </w:p>
        </w:tc>
        <w:tc>
          <w:tcPr>
            <w:tcW w:w="9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9"/>
              </w:rPr>
              <w:t>/s/ MICHAEL D. CASEY</w:t>
            </w:r>
          </w:p>
        </w:tc>
      </w:tr>
      <w:tr>
        <w:trPr>
          <w:trHeight w:val="40"/>
        </w:trPr>
        <w:tc>
          <w:tcPr>
            <w:tcW w:w="1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223"/>
        </w:trPr>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2"/>
              </w:rPr>
              <w:t>Michael D. Casey</w:t>
            </w:r>
          </w:p>
        </w:tc>
      </w:tr>
      <w:tr>
        <w:trPr>
          <w:trHeight w:val="243"/>
        </w:trPr>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Arial" w:cs="Arial" w:eastAsia="Arial" w:hAnsi="Arial"/>
                <w:sz w:val="16"/>
                <w:szCs w:val="16"/>
                <w:i w:val="1"/>
                <w:iCs w:val="1"/>
                <w:color w:val="auto"/>
                <w:w w:val="93"/>
              </w:rPr>
              <w:t>Chief Executive Officer</w:t>
            </w:r>
          </w:p>
        </w:tc>
      </w:tr>
      <w:tr>
        <w:trPr>
          <w:trHeight w:val="257"/>
        </w:trPr>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80" w:type="dxa"/>
            <w:vAlign w:val="bottom"/>
          </w:tcPr>
          <w:p>
            <w:pPr>
              <w:jc w:val="center"/>
              <w:spacing w:after="0"/>
              <w:rPr>
                <w:sz w:val="20"/>
                <w:szCs w:val="20"/>
                <w:color w:val="auto"/>
              </w:rPr>
            </w:pPr>
            <w:r>
              <w:rPr>
                <w:rFonts w:ascii="Arial" w:cs="Arial" w:eastAsia="Arial" w:hAnsi="Arial"/>
                <w:sz w:val="16"/>
                <w:szCs w:val="16"/>
                <w:i w:val="1"/>
                <w:iCs w:val="1"/>
                <w:color w:val="auto"/>
                <w:w w:val="95"/>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200" w:type="dxa"/>
        <w:tblCellMar>
          <w:top w:w="0" w:type="dxa"/>
          <w:left w:w="0" w:type="dxa"/>
          <w:bottom w:w="0" w:type="dxa"/>
          <w:right w:w="0" w:type="dxa"/>
        </w:tblCellMar>
      </w:tblPr>
      <w:tr>
        <w:trPr>
          <w:trHeight w:val="206"/>
        </w:trPr>
        <w:tc>
          <w:tcPr>
            <w:tcW w:w="2780" w:type="dxa"/>
            <w:vAlign w:val="bottom"/>
          </w:tcPr>
          <w:p>
            <w:pPr>
              <w:spacing w:after="0"/>
              <w:rPr>
                <w:sz w:val="20"/>
                <w:szCs w:val="20"/>
                <w:color w:val="auto"/>
              </w:rPr>
            </w:pPr>
            <w:r>
              <w:rPr>
                <w:rFonts w:ascii="Arial" w:cs="Arial" w:eastAsia="Arial" w:hAnsi="Arial"/>
                <w:sz w:val="16"/>
                <w:szCs w:val="16"/>
                <w:color w:val="auto"/>
              </w:rPr>
              <w:t>April 30, 2021</w:t>
            </w:r>
          </w:p>
        </w:tc>
        <w:tc>
          <w:tcPr>
            <w:tcW w:w="4080" w:type="dxa"/>
            <w:vAlign w:val="bottom"/>
          </w:tcPr>
          <w:p>
            <w:pPr>
              <w:jc w:val="center"/>
              <w:spacing w:after="0"/>
              <w:rPr>
                <w:sz w:val="20"/>
                <w:szCs w:val="20"/>
                <w:color w:val="auto"/>
              </w:rPr>
            </w:pPr>
            <w:r>
              <w:rPr>
                <w:rFonts w:ascii="Arial" w:cs="Arial" w:eastAsia="Arial" w:hAnsi="Arial"/>
                <w:sz w:val="16"/>
                <w:szCs w:val="16"/>
                <w:color w:val="auto"/>
                <w:w w:val="94"/>
              </w:rPr>
              <w:t>/s/ RICHARD F. WESTENBERGER</w:t>
            </w:r>
          </w:p>
        </w:tc>
      </w:tr>
      <w:tr>
        <w:trPr>
          <w:trHeight w:val="40"/>
        </w:trPr>
        <w:tc>
          <w:tcPr>
            <w:tcW w:w="278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223"/>
        </w:trPr>
        <w:tc>
          <w:tcPr>
            <w:tcW w:w="278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89"/>
              </w:rPr>
              <w:t>Richard F. Westenberger</w:t>
            </w:r>
          </w:p>
        </w:tc>
      </w:tr>
      <w:tr>
        <w:trPr>
          <w:trHeight w:val="243"/>
        </w:trPr>
        <w:tc>
          <w:tcPr>
            <w:tcW w:w="278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Arial" w:cs="Arial" w:eastAsia="Arial" w:hAnsi="Arial"/>
                <w:sz w:val="16"/>
                <w:szCs w:val="16"/>
                <w:i w:val="1"/>
                <w:iCs w:val="1"/>
                <w:color w:val="auto"/>
                <w:w w:val="90"/>
              </w:rPr>
              <w:t>Executive Vice President and</w:t>
            </w:r>
          </w:p>
        </w:tc>
      </w:tr>
      <w:tr>
        <w:trPr>
          <w:trHeight w:val="256"/>
        </w:trPr>
        <w:tc>
          <w:tcPr>
            <w:tcW w:w="2780" w:type="dxa"/>
            <w:vAlign w:val="bottom"/>
          </w:tcPr>
          <w:p>
            <w:pPr>
              <w:spacing w:after="0"/>
              <w:rPr>
                <w:sz w:val="22"/>
                <w:szCs w:val="22"/>
                <w:color w:val="auto"/>
              </w:rPr>
            </w:pPr>
          </w:p>
        </w:tc>
        <w:tc>
          <w:tcPr>
            <w:tcW w:w="4080" w:type="dxa"/>
            <w:vAlign w:val="bottom"/>
          </w:tcPr>
          <w:p>
            <w:pPr>
              <w:jc w:val="center"/>
              <w:spacing w:after="0"/>
              <w:rPr>
                <w:sz w:val="20"/>
                <w:szCs w:val="20"/>
                <w:color w:val="auto"/>
              </w:rPr>
            </w:pPr>
            <w:r>
              <w:rPr>
                <w:rFonts w:ascii="Arial" w:cs="Arial" w:eastAsia="Arial" w:hAnsi="Arial"/>
                <w:sz w:val="16"/>
                <w:szCs w:val="16"/>
                <w:i w:val="1"/>
                <w:iCs w:val="1"/>
                <w:color w:val="auto"/>
                <w:w w:val="96"/>
              </w:rPr>
              <w:t>Chief Financial Officer</w:t>
            </w:r>
          </w:p>
        </w:tc>
      </w:tr>
      <w:tr>
        <w:trPr>
          <w:trHeight w:val="257"/>
        </w:trPr>
        <w:tc>
          <w:tcPr>
            <w:tcW w:w="2780" w:type="dxa"/>
            <w:vAlign w:val="bottom"/>
          </w:tcPr>
          <w:p>
            <w:pPr>
              <w:spacing w:after="0"/>
              <w:rPr>
                <w:sz w:val="22"/>
                <w:szCs w:val="22"/>
                <w:color w:val="auto"/>
              </w:rPr>
            </w:pPr>
          </w:p>
        </w:tc>
        <w:tc>
          <w:tcPr>
            <w:tcW w:w="4080" w:type="dxa"/>
            <w:vAlign w:val="bottom"/>
          </w:tcPr>
          <w:p>
            <w:pPr>
              <w:jc w:val="center"/>
              <w:spacing w:after="0"/>
              <w:rPr>
                <w:sz w:val="20"/>
                <w:szCs w:val="20"/>
                <w:color w:val="auto"/>
              </w:rPr>
            </w:pPr>
            <w:r>
              <w:rPr>
                <w:rFonts w:ascii="Arial" w:cs="Arial" w:eastAsia="Arial" w:hAnsi="Arial"/>
                <w:sz w:val="16"/>
                <w:szCs w:val="16"/>
                <w:i w:val="1"/>
                <w:iCs w:val="1"/>
                <w:color w:val="auto"/>
                <w:w w:val="96"/>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00"/>
          </w:cols>
          <w:pgMar w:left="320" w:top="1440" w:right="10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130"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1980"/>
        <w:spacing w:after="0"/>
        <w:tabs>
          <w:tab w:leader="none" w:pos="6880" w:val="left"/>
        </w:tabs>
        <w:rPr>
          <w:sz w:val="20"/>
          <w:szCs w:val="20"/>
          <w:color w:val="auto"/>
        </w:rPr>
      </w:pPr>
      <w:r>
        <w:rPr>
          <w:rFonts w:ascii="Arial" w:cs="Arial" w:eastAsia="Arial" w:hAnsi="Arial"/>
          <w:sz w:val="18"/>
          <w:szCs w:val="18"/>
          <w:color w:val="auto"/>
        </w:rPr>
        <w:t>April 30, 2021</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23495</wp:posOffset>
            </wp:positionV>
            <wp:extent cx="18434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138"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144"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1860"/>
        <w:spacing w:after="0"/>
        <w:tabs>
          <w:tab w:leader="none" w:pos="6320" w:val="left"/>
        </w:tabs>
        <w:rPr>
          <w:sz w:val="20"/>
          <w:szCs w:val="20"/>
          <w:color w:val="auto"/>
        </w:rPr>
      </w:pPr>
      <w:r>
        <w:rPr>
          <w:rFonts w:ascii="Arial" w:cs="Arial" w:eastAsia="Arial" w:hAnsi="Arial"/>
          <w:sz w:val="18"/>
          <w:szCs w:val="18"/>
          <w:color w:val="auto"/>
        </w:rPr>
        <w:t>April 30, 2021</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1774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016"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ind w:right="160" w:firstLine="180"/>
        <w:spacing w:after="0" w:line="263"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April 3, 2021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375" w:lineRule="exact"/>
        <w:rPr>
          <w:sz w:val="20"/>
          <w:szCs w:val="20"/>
          <w:color w:val="auto"/>
        </w:rPr>
      </w:pPr>
    </w:p>
    <w:p>
      <w:pPr>
        <w:ind w:left="1640"/>
        <w:spacing w:after="0"/>
        <w:tabs>
          <w:tab w:leader="none" w:pos="6460" w:val="left"/>
        </w:tabs>
        <w:rPr>
          <w:sz w:val="20"/>
          <w:szCs w:val="20"/>
          <w:color w:val="auto"/>
        </w:rPr>
      </w:pPr>
      <w:r>
        <w:rPr>
          <w:rFonts w:ascii="Arial" w:cs="Arial" w:eastAsia="Arial" w:hAnsi="Arial"/>
          <w:sz w:val="18"/>
          <w:szCs w:val="18"/>
          <w:color w:val="auto"/>
        </w:rPr>
        <w:t>April 30, 2021</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151765</wp:posOffset>
            </wp:positionV>
            <wp:extent cx="27946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3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spacing w:after="0"/>
        <w:tabs>
          <w:tab w:leader="none" w:pos="6060" w:val="left"/>
        </w:tabs>
        <w:rPr>
          <w:sz w:val="20"/>
          <w:szCs w:val="20"/>
          <w:color w:val="auto"/>
        </w:rPr>
      </w:pPr>
      <w:r>
        <w:rPr>
          <w:rFonts w:ascii="Arial" w:cs="Arial" w:eastAsia="Arial" w:hAnsi="Arial"/>
          <w:sz w:val="18"/>
          <w:szCs w:val="18"/>
          <w:color w:val="auto"/>
        </w:rPr>
        <w:t>April 30, 2021</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151765</wp:posOffset>
            </wp:positionV>
            <wp:extent cx="27946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firstLine="177"/>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lvl w:ilvl="1">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6" Type="http://schemas.openxmlformats.org/officeDocument/2006/relationships/hyperlink" Target="http://www.sec.gov/Archives/edgar/data/1060822/000119312517179483/d400342dex31.htm" TargetMode="External"/><Relationship Id="rId57" Type="http://schemas.openxmlformats.org/officeDocument/2006/relationships/hyperlink" Target="http://www.sec.gov/Archives/edgar/data/1060822/000119312517179483/d40034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2021-04-30T11:01:20Z</dcterms:created>
  <dcterms:modified xsi:type="dcterms:W3CDTF">2021-04-30T11:01:20Z</dcterms:modified>
</cp:coreProperties>
</file>