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3" w:lineRule="exact"/>
        <w:rPr>
          <w:sz w:val="24"/>
          <w:szCs w:val="24"/>
          <w:color w:val="auto"/>
        </w:rPr>
      </w:pPr>
    </w:p>
    <w:p>
      <w:pPr>
        <w:ind w:left="66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5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28, 2019</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3"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08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15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tcPr>
          <w:p>
            <w:pPr>
              <w:spacing w:after="0"/>
              <w:rPr>
                <w:sz w:val="16"/>
                <w:szCs w:val="16"/>
                <w:color w:val="auto"/>
              </w:rPr>
            </w:pPr>
          </w:p>
        </w:tc>
      </w:tr>
      <w:tr>
        <w:trPr>
          <w:trHeight w:val="465"/>
        </w:trPr>
        <w:tc>
          <w:tcPr>
            <w:tcW w:w="2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20" w:type="dxa"/>
            <w:vAlign w:val="bottom"/>
            <w:gridSpan w:val="4"/>
          </w:tcPr>
          <w:p>
            <w:pPr>
              <w:jc w:val="center"/>
              <w:ind w:left="465"/>
              <w:spacing w:after="0"/>
              <w:rPr>
                <w:sz w:val="20"/>
                <w:szCs w:val="20"/>
                <w:color w:val="auto"/>
              </w:rPr>
            </w:pPr>
            <w:r>
              <w:rPr>
                <w:rFonts w:ascii="Times New Roman" w:cs="Times New Roman" w:eastAsia="Times New Roman" w:hAnsi="Times New Roman"/>
                <w:sz w:val="22"/>
                <w:szCs w:val="22"/>
                <w:b w:val="1"/>
                <w:bCs w:val="1"/>
                <w:color w:val="auto"/>
                <w:w w:val="98"/>
              </w:rPr>
              <w:t>Commission file number:</w:t>
            </w:r>
          </w:p>
        </w:tc>
        <w:tc>
          <w:tcPr>
            <w:tcW w:w="4200" w:type="dxa"/>
            <w:vAlign w:val="bottom"/>
          </w:tcPr>
          <w:p>
            <w:pPr>
              <w:spacing w:after="0"/>
              <w:rPr>
                <w:sz w:val="24"/>
                <w:szCs w:val="24"/>
                <w:color w:val="auto"/>
              </w:rPr>
            </w:pPr>
          </w:p>
        </w:tc>
      </w:tr>
      <w:tr>
        <w:trPr>
          <w:trHeight w:val="534"/>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gridSpan w:val="2"/>
          </w:tcPr>
          <w:p>
            <w:pPr>
              <w:jc w:val="right"/>
              <w:ind w:right="875"/>
              <w:spacing w:after="0"/>
              <w:rPr>
                <w:sz w:val="20"/>
                <w:szCs w:val="20"/>
                <w:color w:val="auto"/>
              </w:rPr>
            </w:pPr>
            <w:r>
              <w:rPr>
                <w:rFonts w:ascii="Times New Roman" w:cs="Times New Roman" w:eastAsia="Times New Roman" w:hAnsi="Times New Roman"/>
                <w:sz w:val="20"/>
                <w:szCs w:val="20"/>
                <w:b w:val="1"/>
                <w:bCs w:val="1"/>
                <w:color w:val="auto"/>
              </w:rPr>
              <w:t>001-31829</w:t>
            </w: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474"/>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40" w:type="dxa"/>
            <w:vAlign w:val="bottom"/>
            <w:gridSpan w:val="3"/>
          </w:tcPr>
          <w:p>
            <w:pPr>
              <w:jc w:val="center"/>
              <w:ind w:right="400"/>
              <w:spacing w:after="0"/>
              <w:rPr>
                <w:sz w:val="20"/>
                <w:szCs w:val="20"/>
                <w:color w:val="auto"/>
              </w:rPr>
            </w:pPr>
            <w:r>
              <w:rPr>
                <w:rFonts w:ascii="Times New Roman" w:cs="Times New Roman" w:eastAsia="Times New Roman" w:hAnsi="Times New Roman"/>
                <w:sz w:val="29"/>
                <w:szCs w:val="29"/>
                <w:b w:val="1"/>
                <w:bCs w:val="1"/>
                <w:color w:val="auto"/>
                <w:w w:val="98"/>
              </w:rPr>
              <w:t>CARTER’S, INC.</w:t>
            </w:r>
          </w:p>
        </w:tc>
        <w:tc>
          <w:tcPr>
            <w:tcW w:w="4200" w:type="dxa"/>
            <w:vAlign w:val="bottom"/>
          </w:tcPr>
          <w:p>
            <w:pPr>
              <w:spacing w:after="0"/>
              <w:rPr>
                <w:sz w:val="24"/>
                <w:szCs w:val="24"/>
                <w:color w:val="auto"/>
              </w:rPr>
            </w:pPr>
          </w:p>
        </w:tc>
      </w:tr>
      <w:tr>
        <w:trPr>
          <w:trHeight w:val="425"/>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94"/>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56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tcPr>
          <w:p>
            <w:pPr>
              <w:jc w:val="right"/>
              <w:ind w:right="3199"/>
              <w:spacing w:after="0"/>
              <w:rPr>
                <w:sz w:val="20"/>
                <w:szCs w:val="20"/>
                <w:color w:val="auto"/>
              </w:rPr>
            </w:pPr>
            <w:r>
              <w:rPr>
                <w:rFonts w:ascii="Times New Roman" w:cs="Times New Roman" w:eastAsia="Times New Roman" w:hAnsi="Times New Roman"/>
                <w:sz w:val="16"/>
                <w:szCs w:val="16"/>
                <w:b w:val="1"/>
                <w:bCs w:val="1"/>
                <w:color w:val="auto"/>
              </w:rPr>
              <w:t>13-3912933</w:t>
            </w:r>
          </w:p>
        </w:tc>
      </w:tr>
      <w:tr>
        <w:trPr>
          <w:trHeight w:val="270"/>
        </w:trPr>
        <w:tc>
          <w:tcPr>
            <w:tcW w:w="4600" w:type="dxa"/>
            <w:vAlign w:val="bottom"/>
            <w:gridSpan w:val="6"/>
          </w:tcPr>
          <w:p>
            <w:pPr>
              <w:jc w:val="center"/>
              <w:ind w:left="2557"/>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20" w:type="dxa"/>
            <w:vAlign w:val="bottom"/>
          </w:tcPr>
          <w:p>
            <w:pPr>
              <w:spacing w:after="0"/>
              <w:rPr>
                <w:sz w:val="23"/>
                <w:szCs w:val="23"/>
                <w:color w:val="auto"/>
              </w:rPr>
            </w:pPr>
          </w:p>
        </w:tc>
        <w:tc>
          <w:tcPr>
            <w:tcW w:w="6620" w:type="dxa"/>
            <w:vAlign w:val="bottom"/>
            <w:gridSpan w:val="3"/>
          </w:tcPr>
          <w:p>
            <w:pPr>
              <w:jc w:val="center"/>
              <w:ind w:right="6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70"/>
        </w:trPr>
        <w:tc>
          <w:tcPr>
            <w:tcW w:w="4600" w:type="dxa"/>
            <w:vAlign w:val="bottom"/>
            <w:gridSpan w:val="6"/>
          </w:tcPr>
          <w:p>
            <w:pPr>
              <w:jc w:val="center"/>
              <w:ind w:left="2557"/>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0" w:type="dxa"/>
            <w:vAlign w:val="bottom"/>
          </w:tcPr>
          <w:p>
            <w:pPr>
              <w:spacing w:after="0"/>
              <w:rPr>
                <w:sz w:val="23"/>
                <w:szCs w:val="23"/>
                <w:color w:val="auto"/>
              </w:rPr>
            </w:pPr>
          </w:p>
        </w:tc>
      </w:tr>
      <w:tr>
        <w:trPr>
          <w:trHeight w:val="749"/>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Phipps Tower</w:t>
            </w:r>
          </w:p>
        </w:tc>
        <w:tc>
          <w:tcPr>
            <w:tcW w:w="4200" w:type="dxa"/>
            <w:vAlign w:val="bottom"/>
          </w:tcPr>
          <w:p>
            <w:pPr>
              <w:spacing w:after="0"/>
              <w:rPr>
                <w:sz w:val="24"/>
                <w:szCs w:val="24"/>
                <w:color w:val="auto"/>
              </w:rPr>
            </w:pP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20" w:type="dxa"/>
            <w:vAlign w:val="bottom"/>
            <w:gridSpan w:val="4"/>
          </w:tcPr>
          <w:p>
            <w:pPr>
              <w:jc w:val="center"/>
              <w:ind w:left="485"/>
              <w:spacing w:after="0"/>
              <w:rPr>
                <w:sz w:val="20"/>
                <w:szCs w:val="20"/>
                <w:color w:val="auto"/>
              </w:rPr>
            </w:pPr>
            <w:r>
              <w:rPr>
                <w:rFonts w:ascii="Times New Roman" w:cs="Times New Roman" w:eastAsia="Times New Roman" w:hAnsi="Times New Roman"/>
                <w:sz w:val="18"/>
                <w:szCs w:val="18"/>
                <w:b w:val="1"/>
                <w:bCs w:val="1"/>
                <w:color w:val="auto"/>
                <w:w w:val="99"/>
              </w:rPr>
              <w:t>3438 Peachtree Road NE, Suite 1800</w:t>
            </w:r>
          </w:p>
        </w:tc>
        <w:tc>
          <w:tcPr>
            <w:tcW w:w="4200" w:type="dxa"/>
            <w:vAlign w:val="bottom"/>
          </w:tcPr>
          <w:p>
            <w:pPr>
              <w:spacing w:after="0"/>
              <w:rPr>
                <w:sz w:val="24"/>
                <w:szCs w:val="24"/>
                <w:color w:val="auto"/>
              </w:rPr>
            </w:pP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Atlanta, Georgia 30326</w:t>
            </w:r>
          </w:p>
        </w:tc>
        <w:tc>
          <w:tcPr>
            <w:tcW w:w="4200" w:type="dxa"/>
            <w:vAlign w:val="bottom"/>
          </w:tcPr>
          <w:p>
            <w:pPr>
              <w:spacing w:after="0"/>
              <w:rPr>
                <w:sz w:val="24"/>
                <w:szCs w:val="24"/>
                <w:color w:val="auto"/>
              </w:rPr>
            </w:pP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40" w:type="dxa"/>
            <w:vAlign w:val="bottom"/>
            <w:gridSpan w:val="6"/>
          </w:tcPr>
          <w:p>
            <w:pPr>
              <w:jc w:val="center"/>
              <w:ind w:right="32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gridSpan w:val="2"/>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rPr>
              <w:t>(678) 791-1000</w:t>
            </w: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500"/>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5"/>
          </w:tcPr>
          <w:p>
            <w:pPr>
              <w:jc w:val="center"/>
              <w:ind w:right="3539"/>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500"/>
        </w:trPr>
        <w:tc>
          <w:tcPr>
            <w:tcW w:w="4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419"/>
        </w:trPr>
        <w:tc>
          <w:tcPr>
            <w:tcW w:w="2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r>
        <w:trPr>
          <w:trHeight w:val="217"/>
        </w:trPr>
        <w:tc>
          <w:tcPr>
            <w:tcW w:w="3080" w:type="dxa"/>
            <w:vAlign w:val="bottom"/>
            <w:tcBorders>
              <w:left w:val="single" w:sz="8" w:color="auto"/>
            </w:tcBorders>
            <w:gridSpan w:val="2"/>
          </w:tcPr>
          <w:p>
            <w:pPr>
              <w:jc w:val="center"/>
              <w:ind w:left="1657"/>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40" w:type="dxa"/>
            <w:vAlign w:val="bottom"/>
          </w:tcPr>
          <w:p>
            <w:pPr>
              <w:spacing w:after="0"/>
              <w:rPr>
                <w:sz w:val="18"/>
                <w:szCs w:val="18"/>
                <w:color w:val="auto"/>
              </w:rPr>
            </w:pPr>
          </w:p>
        </w:tc>
        <w:tc>
          <w:tcPr>
            <w:tcW w:w="420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28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17"/>
        </w:trPr>
        <w:tc>
          <w:tcPr>
            <w:tcW w:w="4600" w:type="dxa"/>
            <w:vAlign w:val="bottom"/>
            <w:tcBorders>
              <w:left w:val="single" w:sz="8" w:color="auto"/>
            </w:tcBorders>
            <w:gridSpan w:val="6"/>
          </w:tcPr>
          <w:p>
            <w:pPr>
              <w:jc w:val="center"/>
              <w:ind w:left="137"/>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CRI</w:t>
            </w:r>
          </w:p>
        </w:tc>
        <w:tc>
          <w:tcPr>
            <w:tcW w:w="140" w:type="dxa"/>
            <w:vAlign w:val="bottom"/>
          </w:tcPr>
          <w:p>
            <w:pPr>
              <w:spacing w:after="0"/>
              <w:rPr>
                <w:sz w:val="18"/>
                <w:szCs w:val="18"/>
                <w:color w:val="auto"/>
              </w:rPr>
            </w:pPr>
          </w:p>
        </w:tc>
        <w:tc>
          <w:tcPr>
            <w:tcW w:w="420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33"/>
        </w:trPr>
        <w:tc>
          <w:tcPr>
            <w:tcW w:w="28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bl>
    <w:p>
      <w:pPr>
        <w:spacing w:after="0" w:line="265"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46"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ectPr>
          <w:pgSz w:w="11900" w:h="16838" w:orient="portrait"/>
          <w:cols w:equalWidth="0" w:num="1">
            <w:col w:w="11440"/>
          </w:cols>
          <w:pgMar w:left="240" w:top="230" w:right="21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x Accelerated Filer </w:t>
      </w:r>
      <w:r>
        <w:rPr>
          <w:rFonts w:ascii="MS PGothic" w:cs="MS PGothic" w:eastAsia="MS PGothic" w:hAnsi="MS PGothic"/>
          <w:sz w:val="18"/>
          <w:szCs w:val="18"/>
          <w:color w:val="auto"/>
        </w:rPr>
        <w:t>☐</w:t>
      </w:r>
    </w:p>
    <w:p>
      <w:pPr>
        <w:spacing w:after="0" w:line="239"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239"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4" w:lineRule="exact"/>
        <w:rPr>
          <w:sz w:val="20"/>
          <w:szCs w:val="20"/>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right="2300"/>
        <w:spacing w:after="0" w:line="33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x As of October 18, 2019, there were 44,147,367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417195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 w:name="page3"/>
    <w:bookmarkEnd w:id="2"/>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CARTER’S,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gridSpan w:val="5"/>
          </w:tcPr>
          <w:p>
            <w:pPr>
              <w:ind w:left="56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
        </w:trPr>
        <w:tc>
          <w:tcPr>
            <w:tcW w:w="9820" w:type="dxa"/>
            <w:vAlign w:val="bottom"/>
            <w:gridSpan w:val="30"/>
            <w:vMerge w:val="restart"/>
          </w:tcPr>
          <w:p>
            <w:pPr>
              <w:ind w:left="40"/>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 Financial Information</w:t>
              </w:r>
            </w:hyperlink>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820" w:type="dxa"/>
            <w:vAlign w:val="bottom"/>
            <w:gridSpan w:val="30"/>
            <w:vMerge w:val="continue"/>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1720" w:type="dxa"/>
            <w:vAlign w:val="bottom"/>
            <w:gridSpan w:val="6"/>
            <w:shd w:val="clear" w:color="auto" w:fill="CCEEFF"/>
          </w:tcPr>
          <w:p>
            <w:pPr>
              <w:ind w:left="680"/>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Item 1</w:t>
              </w:r>
            </w:hyperlink>
          </w:p>
        </w:tc>
        <w:tc>
          <w:tcPr>
            <w:tcW w:w="8060" w:type="dxa"/>
            <w:vAlign w:val="bottom"/>
            <w:gridSpan w:val="23"/>
            <w:shd w:val="clear" w:color="auto" w:fill="CCEEFF"/>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Financial Statements</w:t>
              </w:r>
            </w:hyperlink>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6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Unaudited Condensed Consolidated Balance Sheets as of September 28, 2019, December 29, 2018 and September 29, 2018</w:t>
            </w:r>
          </w:p>
        </w:tc>
        <w:tc>
          <w:tcPr>
            <w:tcW w:w="840" w:type="dxa"/>
            <w:vAlign w:val="bottom"/>
            <w:gridSpan w:val="3"/>
          </w:tcPr>
          <w:p>
            <w:pPr>
              <w:jc w:val="center"/>
              <w:ind w:left="678"/>
              <w:spacing w:after="0"/>
              <w:rPr>
                <w:rFonts w:ascii="Times New Roman" w:cs="Times New Roman" w:eastAsia="Times New Roman" w:hAnsi="Times New Roman"/>
                <w:sz w:val="16"/>
                <w:szCs w:val="16"/>
                <w:color w:val="0000EE"/>
                <w:w w:val="99"/>
              </w:rPr>
            </w:pPr>
            <w:hyperlink w:anchor="page4">
              <w:r>
                <w:rPr>
                  <w:rFonts w:ascii="Times New Roman" w:cs="Times New Roman" w:eastAsia="Times New Roman" w:hAnsi="Times New Roman"/>
                  <w:sz w:val="16"/>
                  <w:szCs w:val="16"/>
                  <w:color w:val="0000EE"/>
                  <w:w w:val="99"/>
                </w:rPr>
                <w:t>1</w:t>
              </w:r>
            </w:hyperlink>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400" w:type="dxa"/>
            <w:vAlign w:val="bottom"/>
            <w:tcBorders>
              <w:bottom w:val="single" w:sz="8" w:color="0000FF"/>
            </w:tcBorders>
            <w:gridSpan w:val="18"/>
            <w:shd w:val="clear" w:color="auto" w:fill="CCEEFF"/>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Operations for the fiscal quarter and three fiscal quarters ended</w:t>
            </w:r>
          </w:p>
        </w:tc>
        <w:tc>
          <w:tcPr>
            <w:tcW w:w="660" w:type="dxa"/>
            <w:vAlign w:val="bottom"/>
            <w:tcBorders>
              <w:bottom w:val="single" w:sz="8" w:color="CCEEFF"/>
            </w:tcBorders>
            <w:gridSpan w:val="5"/>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60" w:type="dxa"/>
            <w:vAlign w:val="bottom"/>
            <w:gridSpan w:val="23"/>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FF"/>
              </w:rPr>
              <w:t>September 28, 2019 and September 29, 2018</w:t>
            </w:r>
          </w:p>
        </w:tc>
        <w:tc>
          <w:tcPr>
            <w:tcW w:w="840" w:type="dxa"/>
            <w:vAlign w:val="bottom"/>
            <w:gridSpan w:val="3"/>
            <w:shd w:val="clear" w:color="auto" w:fill="CCEEFF"/>
          </w:tcPr>
          <w:p>
            <w:pPr>
              <w:jc w:val="center"/>
              <w:ind w:left="678"/>
              <w:spacing w:after="0" w:line="183" w:lineRule="exact"/>
              <w:rPr>
                <w:rFonts w:ascii="Times New Roman" w:cs="Times New Roman" w:eastAsia="Times New Roman" w:hAnsi="Times New Roman"/>
                <w:sz w:val="16"/>
                <w:szCs w:val="16"/>
                <w:color w:val="0000EE"/>
                <w:w w:val="99"/>
              </w:rPr>
            </w:pPr>
            <w:hyperlink w:anchor="page5">
              <w:r>
                <w:rPr>
                  <w:rFonts w:ascii="Times New Roman" w:cs="Times New Roman" w:eastAsia="Times New Roman" w:hAnsi="Times New Roman"/>
                  <w:sz w:val="16"/>
                  <w:szCs w:val="16"/>
                  <w:color w:val="0000EE"/>
                  <w:w w:val="99"/>
                </w:rPr>
                <w:t>2</w:t>
              </w:r>
            </w:hyperlink>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Comprehensive Income for the fiscal quarter and three fiscal quarters</w:t>
            </w:r>
          </w:p>
        </w:tc>
        <w:tc>
          <w:tcPr>
            <w:tcW w:w="260" w:type="dxa"/>
            <w:vAlign w:val="bottom"/>
            <w:gridSpan w:val="4"/>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60" w:type="dxa"/>
            <w:vAlign w:val="bottom"/>
            <w:gridSpan w:val="23"/>
          </w:tcPr>
          <w:p>
            <w:pPr>
              <w:spacing w:after="0" w:line="183" w:lineRule="exact"/>
              <w:rPr>
                <w:sz w:val="20"/>
                <w:szCs w:val="20"/>
                <w:color w:val="auto"/>
              </w:rPr>
            </w:pPr>
            <w:r>
              <w:rPr>
                <w:rFonts w:ascii="Times New Roman" w:cs="Times New Roman" w:eastAsia="Times New Roman" w:hAnsi="Times New Roman"/>
                <w:sz w:val="16"/>
                <w:szCs w:val="16"/>
                <w:color w:val="0000FF"/>
              </w:rPr>
              <w:t>ended September 28, 2019 and September 29, 2018</w:t>
            </w:r>
          </w:p>
        </w:tc>
        <w:tc>
          <w:tcPr>
            <w:tcW w:w="840" w:type="dxa"/>
            <w:vAlign w:val="bottom"/>
            <w:gridSpan w:val="3"/>
          </w:tcPr>
          <w:p>
            <w:pPr>
              <w:jc w:val="center"/>
              <w:ind w:left="678"/>
              <w:spacing w:after="0" w:line="183" w:lineRule="exact"/>
              <w:rPr>
                <w:rFonts w:ascii="Times New Roman" w:cs="Times New Roman" w:eastAsia="Times New Roman" w:hAnsi="Times New Roman"/>
                <w:sz w:val="16"/>
                <w:szCs w:val="16"/>
                <w:color w:val="0000EE"/>
                <w:w w:val="99"/>
              </w:rPr>
            </w:pPr>
            <w:hyperlink w:anchor="page6">
              <w:r>
                <w:rPr>
                  <w:rFonts w:ascii="Times New Roman" w:cs="Times New Roman" w:eastAsia="Times New Roman" w:hAnsi="Times New Roman"/>
                  <w:sz w:val="16"/>
                  <w:szCs w:val="16"/>
                  <w:color w:val="0000EE"/>
                  <w:w w:val="99"/>
                </w:rPr>
                <w:t>3</w:t>
              </w:r>
            </w:hyperlink>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940" w:type="dxa"/>
            <w:vAlign w:val="bottom"/>
            <w:tcBorders>
              <w:bottom w:val="single" w:sz="8" w:color="0000FF"/>
            </w:tcBorders>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 of Changes in Stockholders' Equity for the fiscal quarters ended September</w:t>
            </w: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60" w:type="dxa"/>
            <w:vAlign w:val="bottom"/>
            <w:gridSpan w:val="23"/>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FF"/>
              </w:rPr>
              <w:t>28, 2019, June 29, 2019, March 30, 2019, September 29, 2018, June 30, 2018 and March 31, 2018</w:t>
            </w:r>
          </w:p>
        </w:tc>
        <w:tc>
          <w:tcPr>
            <w:tcW w:w="840" w:type="dxa"/>
            <w:vAlign w:val="bottom"/>
            <w:gridSpan w:val="3"/>
            <w:shd w:val="clear" w:color="auto" w:fill="CCEEFF"/>
          </w:tcPr>
          <w:p>
            <w:pPr>
              <w:jc w:val="center"/>
              <w:ind w:left="678"/>
              <w:spacing w:after="0" w:line="183" w:lineRule="exact"/>
              <w:rPr>
                <w:rFonts w:ascii="Times New Roman" w:cs="Times New Roman" w:eastAsia="Times New Roman" w:hAnsi="Times New Roman"/>
                <w:sz w:val="16"/>
                <w:szCs w:val="16"/>
                <w:color w:val="0000EE"/>
                <w:w w:val="99"/>
              </w:rPr>
            </w:pPr>
            <w:hyperlink w:anchor="page7">
              <w:r>
                <w:rPr>
                  <w:rFonts w:ascii="Times New Roman" w:cs="Times New Roman" w:eastAsia="Times New Roman" w:hAnsi="Times New Roman"/>
                  <w:sz w:val="16"/>
                  <w:szCs w:val="16"/>
                  <w:color w:val="0000EE"/>
                  <w:w w:val="99"/>
                </w:rPr>
                <w:t>4</w:t>
              </w:r>
            </w:hyperlink>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Cash Flows for the three fiscal quarters ended September 28, 2019 and</w:t>
            </w:r>
          </w:p>
        </w:tc>
        <w:tc>
          <w:tcPr>
            <w:tcW w:w="160" w:type="dxa"/>
            <w:vAlign w:val="bottom"/>
            <w:gridSpan w:val="3"/>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60" w:type="dxa"/>
            <w:vAlign w:val="bottom"/>
            <w:gridSpan w:val="23"/>
          </w:tcPr>
          <w:p>
            <w:pPr>
              <w:spacing w:after="0" w:line="183" w:lineRule="exact"/>
              <w:rPr>
                <w:sz w:val="20"/>
                <w:szCs w:val="20"/>
                <w:color w:val="auto"/>
              </w:rPr>
            </w:pPr>
            <w:r>
              <w:rPr>
                <w:rFonts w:ascii="Times New Roman" w:cs="Times New Roman" w:eastAsia="Times New Roman" w:hAnsi="Times New Roman"/>
                <w:sz w:val="16"/>
                <w:szCs w:val="16"/>
                <w:color w:val="0000FF"/>
              </w:rPr>
              <w:t>September 29, 2018</w:t>
            </w:r>
          </w:p>
        </w:tc>
        <w:tc>
          <w:tcPr>
            <w:tcW w:w="840" w:type="dxa"/>
            <w:vAlign w:val="bottom"/>
            <w:gridSpan w:val="3"/>
          </w:tcPr>
          <w:p>
            <w:pPr>
              <w:jc w:val="center"/>
              <w:ind w:left="678"/>
              <w:spacing w:after="0" w:line="183" w:lineRule="exact"/>
              <w:rPr>
                <w:rFonts w:ascii="Times New Roman" w:cs="Times New Roman" w:eastAsia="Times New Roman" w:hAnsi="Times New Roman"/>
                <w:sz w:val="16"/>
                <w:szCs w:val="16"/>
                <w:color w:val="0000EE"/>
                <w:w w:val="99"/>
              </w:rPr>
            </w:pPr>
            <w:hyperlink w:anchor="page9">
              <w:r>
                <w:rPr>
                  <w:rFonts w:ascii="Times New Roman" w:cs="Times New Roman" w:eastAsia="Times New Roman" w:hAnsi="Times New Roman"/>
                  <w:sz w:val="16"/>
                  <w:szCs w:val="16"/>
                  <w:color w:val="0000EE"/>
                  <w:w w:val="99"/>
                </w:rPr>
                <w:t>6</w:t>
              </w:r>
            </w:hyperlink>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0000EE"/>
            </w:tcBorders>
            <w:gridSpan w:val="15"/>
            <w:shd w:val="clear" w:color="auto" w:fill="CCEEFF"/>
          </w:tcPr>
          <w:p>
            <w:pPr>
              <w:spacing w:after="0" w:line="169" w:lineRule="exact"/>
              <w:rPr>
                <w:rFonts w:ascii="Times New Roman" w:cs="Times New Roman" w:eastAsia="Times New Roman" w:hAnsi="Times New Roman"/>
                <w:sz w:val="16"/>
                <w:szCs w:val="16"/>
                <w:color w:val="0000EE"/>
              </w:rPr>
            </w:pPr>
            <w:hyperlink w:anchor="page10">
              <w:r>
                <w:rPr>
                  <w:rFonts w:ascii="Times New Roman" w:cs="Times New Roman" w:eastAsia="Times New Roman" w:hAnsi="Times New Roman"/>
                  <w:sz w:val="16"/>
                  <w:szCs w:val="16"/>
                  <w:color w:val="0000EE"/>
                </w:rPr>
                <w:t>Notes to the Unaudited Condensed Consolidated Financial Statements</w:t>
              </w:r>
            </w:hyperlink>
          </w:p>
        </w:tc>
        <w:tc>
          <w:tcPr>
            <w:tcW w:w="3500" w:type="dxa"/>
            <w:vAlign w:val="bottom"/>
            <w:tcBorders>
              <w:bottom w:val="single" w:sz="8" w:color="CCEEFF"/>
            </w:tcBorders>
            <w:gridSpan w:val="8"/>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0000EE"/>
            </w:tcBorders>
            <w:shd w:val="clear" w:color="auto" w:fill="CCEEFF"/>
          </w:tcPr>
          <w:p>
            <w:pPr>
              <w:jc w:val="center"/>
              <w:spacing w:after="0" w:line="169" w:lineRule="exact"/>
              <w:rPr>
                <w:rFonts w:ascii="Times New Roman" w:cs="Times New Roman" w:eastAsia="Times New Roman" w:hAnsi="Times New Roman"/>
                <w:sz w:val="16"/>
                <w:szCs w:val="16"/>
                <w:color w:val="0000EE"/>
                <w:w w:val="99"/>
              </w:rPr>
            </w:pPr>
            <w:hyperlink w:anchor="page10">
              <w:r>
                <w:rPr>
                  <w:rFonts w:ascii="Times New Roman" w:cs="Times New Roman" w:eastAsia="Times New Roman" w:hAnsi="Times New Roman"/>
                  <w:sz w:val="16"/>
                  <w:szCs w:val="16"/>
                  <w:color w:val="0000EE"/>
                  <w:w w:val="99"/>
                </w:rPr>
                <w:t>7</w:t>
              </w:r>
            </w:hyperlink>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720" w:type="dxa"/>
            <w:vAlign w:val="bottom"/>
            <w:gridSpan w:val="6"/>
          </w:tcPr>
          <w:p>
            <w:pPr>
              <w:ind w:left="680"/>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Item 2</w:t>
              </w:r>
            </w:hyperlink>
          </w:p>
        </w:tc>
        <w:tc>
          <w:tcPr>
            <w:tcW w:w="8060" w:type="dxa"/>
            <w:vAlign w:val="bottom"/>
            <w:gridSpan w:val="23"/>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Management's Discussion and Analysis of Financial Condition and Results of Operations</w:t>
              </w:r>
            </w:hyperlink>
          </w:p>
        </w:tc>
        <w:tc>
          <w:tcPr>
            <w:tcW w:w="1600" w:type="dxa"/>
            <w:vAlign w:val="bottom"/>
            <w:gridSpan w:val="5"/>
          </w:tcPr>
          <w:p>
            <w:pPr>
              <w:jc w:val="center"/>
              <w:spacing w:after="0"/>
              <w:rPr>
                <w:rFonts w:ascii="Times New Roman" w:cs="Times New Roman" w:eastAsia="Times New Roman" w:hAnsi="Times New Roman"/>
                <w:sz w:val="16"/>
                <w:szCs w:val="16"/>
                <w:color w:val="0000EE"/>
                <w:w w:val="99"/>
              </w:rPr>
            </w:pPr>
            <w:hyperlink w:anchor="page22">
              <w:r>
                <w:rPr>
                  <w:rFonts w:ascii="Times New Roman" w:cs="Times New Roman" w:eastAsia="Times New Roman" w:hAnsi="Times New Roman"/>
                  <w:sz w:val="16"/>
                  <w:szCs w:val="16"/>
                  <w:color w:val="0000EE"/>
                  <w:w w:val="99"/>
                </w:rPr>
                <w:t>19</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spacing w:after="0" w:line="169" w:lineRule="exact"/>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Item 3</w:t>
              </w:r>
            </w:hyperlink>
          </w:p>
        </w:tc>
        <w:tc>
          <w:tcPr>
            <w:tcW w:w="8060" w:type="dxa"/>
            <w:vAlign w:val="bottom"/>
            <w:gridSpan w:val="23"/>
            <w:shd w:val="clear" w:color="auto" w:fill="CCEEFF"/>
          </w:tcPr>
          <w:p>
            <w:pPr>
              <w:spacing w:after="0" w:line="169" w:lineRule="exact"/>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Quantitative and Qualitative Disclosures about Market Risk</w:t>
              </w:r>
            </w:hyperlink>
          </w:p>
        </w:tc>
        <w:tc>
          <w:tcPr>
            <w:tcW w:w="1600" w:type="dxa"/>
            <w:vAlign w:val="bottom"/>
            <w:gridSpan w:val="5"/>
            <w:shd w:val="clear" w:color="auto" w:fill="CCEEFF"/>
          </w:tcPr>
          <w:p>
            <w:pPr>
              <w:jc w:val="center"/>
              <w:spacing w:after="0" w:line="169" w:lineRule="exact"/>
              <w:rPr>
                <w:rFonts w:ascii="Times New Roman" w:cs="Times New Roman" w:eastAsia="Times New Roman" w:hAnsi="Times New Roman"/>
                <w:sz w:val="16"/>
                <w:szCs w:val="16"/>
                <w:color w:val="0000EE"/>
                <w:w w:val="99"/>
              </w:rPr>
            </w:pPr>
            <w:hyperlink w:anchor="page34">
              <w:r>
                <w:rPr>
                  <w:rFonts w:ascii="Times New Roman" w:cs="Times New Roman" w:eastAsia="Times New Roman" w:hAnsi="Times New Roman"/>
                  <w:sz w:val="16"/>
                  <w:szCs w:val="16"/>
                  <w:color w:val="0000EE"/>
                  <w:w w:val="99"/>
                </w:rPr>
                <w:t>31</w:t>
              </w:r>
            </w:hyperlink>
          </w:p>
        </w:tc>
        <w:tc>
          <w:tcPr>
            <w:tcW w:w="0" w:type="dxa"/>
            <w:vAlign w:val="bottom"/>
          </w:tcPr>
          <w:p>
            <w:pPr>
              <w:spacing w:after="0"/>
              <w:rPr>
                <w:sz w:val="1"/>
                <w:szCs w:val="1"/>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86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5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5"/>
          </w:tcPr>
          <w:p>
            <w:pPr>
              <w:spacing w:after="0" w:line="169" w:lineRule="exact"/>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Item 4</w:t>
              </w:r>
            </w:hyperlink>
          </w:p>
        </w:tc>
        <w:tc>
          <w:tcPr>
            <w:tcW w:w="8060" w:type="dxa"/>
            <w:vAlign w:val="bottom"/>
            <w:gridSpan w:val="23"/>
          </w:tcPr>
          <w:p>
            <w:pPr>
              <w:spacing w:after="0" w:line="169" w:lineRule="exact"/>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Controls and Procedures</w:t>
              </w:r>
            </w:hyperlink>
          </w:p>
        </w:tc>
        <w:tc>
          <w:tcPr>
            <w:tcW w:w="1600" w:type="dxa"/>
            <w:vAlign w:val="bottom"/>
            <w:gridSpan w:val="5"/>
          </w:tcPr>
          <w:p>
            <w:pPr>
              <w:jc w:val="center"/>
              <w:spacing w:after="0" w:line="169" w:lineRule="exact"/>
              <w:rPr>
                <w:rFonts w:ascii="Times New Roman" w:cs="Times New Roman" w:eastAsia="Times New Roman" w:hAnsi="Times New Roman"/>
                <w:sz w:val="16"/>
                <w:szCs w:val="16"/>
                <w:color w:val="0000EE"/>
                <w:w w:val="99"/>
              </w:rPr>
            </w:pPr>
            <w:hyperlink w:anchor="page34">
              <w:r>
                <w:rPr>
                  <w:rFonts w:ascii="Times New Roman" w:cs="Times New Roman" w:eastAsia="Times New Roman" w:hAnsi="Times New Roman"/>
                  <w:sz w:val="16"/>
                  <w:szCs w:val="16"/>
                  <w:color w:val="0000EE"/>
                  <w:w w:val="99"/>
                </w:rPr>
                <w:t>31</w:t>
              </w:r>
            </w:hyperlink>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820" w:type="dxa"/>
            <w:vAlign w:val="bottom"/>
            <w:gridSpan w:val="30"/>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EE"/>
              </w:rPr>
              <w:t>Part II.Other Information</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1</w:t>
            </w:r>
          </w:p>
        </w:tc>
        <w:tc>
          <w:tcPr>
            <w:tcW w:w="8060" w:type="dxa"/>
            <w:vAlign w:val="bottom"/>
            <w:gridSpan w:val="23"/>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EE"/>
              </w:rPr>
              <w:t>Legal Proceedings</w:t>
            </w:r>
          </w:p>
        </w:tc>
        <w:tc>
          <w:tcPr>
            <w:tcW w:w="1600" w:type="dxa"/>
            <w:vAlign w:val="bottom"/>
            <w:gridSpan w:val="5"/>
            <w:shd w:val="clear" w:color="auto" w:fill="CCEEFF"/>
          </w:tcPr>
          <w:p>
            <w:pPr>
              <w:jc w:val="center"/>
              <w:spacing w:after="0" w:line="169" w:lineRule="exact"/>
              <w:rPr>
                <w:rFonts w:ascii="Times New Roman" w:cs="Times New Roman" w:eastAsia="Times New Roman" w:hAnsi="Times New Roman"/>
                <w:sz w:val="16"/>
                <w:szCs w:val="16"/>
                <w:color w:val="0000EE"/>
                <w:w w:val="99"/>
              </w:rPr>
            </w:pPr>
            <w:hyperlink w:anchor="page35">
              <w:r>
                <w:rPr>
                  <w:rFonts w:ascii="Times New Roman" w:cs="Times New Roman" w:eastAsia="Times New Roman" w:hAnsi="Times New Roman"/>
                  <w:sz w:val="16"/>
                  <w:szCs w:val="16"/>
                  <w:color w:val="0000EE"/>
                  <w:w w:val="99"/>
                </w:rPr>
                <w:t>32</w:t>
              </w:r>
            </w:hyperlink>
          </w:p>
        </w:tc>
        <w:tc>
          <w:tcPr>
            <w:tcW w:w="0" w:type="dxa"/>
            <w:vAlign w:val="bottom"/>
          </w:tcPr>
          <w:p>
            <w:pPr>
              <w:spacing w:after="0"/>
              <w:rPr>
                <w:sz w:val="1"/>
                <w:szCs w:val="1"/>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5"/>
          </w:tcPr>
          <w:p>
            <w:pPr>
              <w:spacing w:after="0" w:line="169" w:lineRule="exact"/>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Item 1A</w:t>
              </w:r>
            </w:hyperlink>
          </w:p>
        </w:tc>
        <w:tc>
          <w:tcPr>
            <w:tcW w:w="8060" w:type="dxa"/>
            <w:vAlign w:val="bottom"/>
            <w:gridSpan w:val="23"/>
          </w:tcPr>
          <w:p>
            <w:pPr>
              <w:spacing w:after="0" w:line="169" w:lineRule="exact"/>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Risk Factors</w:t>
              </w:r>
            </w:hyperlink>
          </w:p>
        </w:tc>
        <w:tc>
          <w:tcPr>
            <w:tcW w:w="1600" w:type="dxa"/>
            <w:vAlign w:val="bottom"/>
            <w:gridSpan w:val="5"/>
          </w:tcPr>
          <w:p>
            <w:pPr>
              <w:jc w:val="center"/>
              <w:spacing w:after="0" w:line="169" w:lineRule="exact"/>
              <w:rPr>
                <w:rFonts w:ascii="Times New Roman" w:cs="Times New Roman" w:eastAsia="Times New Roman" w:hAnsi="Times New Roman"/>
                <w:sz w:val="16"/>
                <w:szCs w:val="16"/>
                <w:color w:val="0000EE"/>
                <w:w w:val="99"/>
              </w:rPr>
            </w:pPr>
            <w:hyperlink w:anchor="page35">
              <w:r>
                <w:rPr>
                  <w:rFonts w:ascii="Times New Roman" w:cs="Times New Roman" w:eastAsia="Times New Roman" w:hAnsi="Times New Roman"/>
                  <w:sz w:val="16"/>
                  <w:szCs w:val="16"/>
                  <w:color w:val="0000EE"/>
                  <w:w w:val="99"/>
                </w:rPr>
                <w:t>32</w:t>
              </w:r>
            </w:hyperlink>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spacing w:after="0" w:line="169" w:lineRule="exact"/>
              <w:rPr>
                <w:rFonts w:ascii="Times New Roman" w:cs="Times New Roman" w:eastAsia="Times New Roman" w:hAnsi="Times New Roman"/>
                <w:sz w:val="16"/>
                <w:szCs w:val="16"/>
                <w:color w:val="0000EE"/>
              </w:rPr>
            </w:pPr>
            <w:hyperlink w:anchor="page36">
              <w:r>
                <w:rPr>
                  <w:rFonts w:ascii="Times New Roman" w:cs="Times New Roman" w:eastAsia="Times New Roman" w:hAnsi="Times New Roman"/>
                  <w:sz w:val="16"/>
                  <w:szCs w:val="16"/>
                  <w:color w:val="0000EE"/>
                </w:rPr>
                <w:t>Item 2</w:t>
              </w:r>
            </w:hyperlink>
          </w:p>
        </w:tc>
        <w:tc>
          <w:tcPr>
            <w:tcW w:w="8060" w:type="dxa"/>
            <w:vAlign w:val="bottom"/>
            <w:gridSpan w:val="23"/>
            <w:shd w:val="clear" w:color="auto" w:fill="CCEEFF"/>
          </w:tcPr>
          <w:p>
            <w:pPr>
              <w:spacing w:after="0" w:line="169" w:lineRule="exact"/>
              <w:rPr>
                <w:rFonts w:ascii="Times New Roman" w:cs="Times New Roman" w:eastAsia="Times New Roman" w:hAnsi="Times New Roman"/>
                <w:sz w:val="16"/>
                <w:szCs w:val="16"/>
                <w:color w:val="0000EE"/>
              </w:rPr>
            </w:pPr>
            <w:hyperlink w:anchor="page36">
              <w:r>
                <w:rPr>
                  <w:rFonts w:ascii="Times New Roman" w:cs="Times New Roman" w:eastAsia="Times New Roman" w:hAnsi="Times New Roman"/>
                  <w:sz w:val="16"/>
                  <w:szCs w:val="16"/>
                  <w:color w:val="0000EE"/>
                </w:rPr>
                <w:t>Unregistered Sales of Equity Securities and Use of Proceeds</w:t>
              </w:r>
            </w:hyperlink>
          </w:p>
        </w:tc>
        <w:tc>
          <w:tcPr>
            <w:tcW w:w="1600" w:type="dxa"/>
            <w:vAlign w:val="bottom"/>
            <w:gridSpan w:val="5"/>
            <w:shd w:val="clear" w:color="auto" w:fill="CCEEFF"/>
          </w:tcPr>
          <w:p>
            <w:pPr>
              <w:jc w:val="center"/>
              <w:spacing w:after="0" w:line="169" w:lineRule="exact"/>
              <w:rPr>
                <w:rFonts w:ascii="Times New Roman" w:cs="Times New Roman" w:eastAsia="Times New Roman" w:hAnsi="Times New Roman"/>
                <w:sz w:val="16"/>
                <w:szCs w:val="16"/>
                <w:color w:val="0000EE"/>
                <w:w w:val="99"/>
              </w:rPr>
            </w:pPr>
            <w:hyperlink w:anchor="page36">
              <w:r>
                <w:rPr>
                  <w:rFonts w:ascii="Times New Roman" w:cs="Times New Roman" w:eastAsia="Times New Roman" w:hAnsi="Times New Roman"/>
                  <w:sz w:val="16"/>
                  <w:szCs w:val="16"/>
                  <w:color w:val="0000EE"/>
                  <w:w w:val="99"/>
                </w:rPr>
                <w:t>33</w:t>
              </w:r>
            </w:hyperlink>
          </w:p>
        </w:tc>
        <w:tc>
          <w:tcPr>
            <w:tcW w:w="0" w:type="dxa"/>
            <w:vAlign w:val="bottom"/>
          </w:tcPr>
          <w:p>
            <w:pPr>
              <w:spacing w:after="0"/>
              <w:rPr>
                <w:sz w:val="1"/>
                <w:szCs w:val="1"/>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86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5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5"/>
          </w:tcPr>
          <w:p>
            <w:pPr>
              <w:spacing w:after="0" w:line="169" w:lineRule="exact"/>
              <w:rPr>
                <w:sz w:val="20"/>
                <w:szCs w:val="20"/>
                <w:color w:val="auto"/>
              </w:rPr>
            </w:pPr>
            <w:r>
              <w:rPr>
                <w:rFonts w:ascii="Times New Roman" w:cs="Times New Roman" w:eastAsia="Times New Roman" w:hAnsi="Times New Roman"/>
                <w:sz w:val="16"/>
                <w:szCs w:val="16"/>
                <w:color w:val="0000FF"/>
              </w:rPr>
              <w:t>Item 3</w:t>
            </w:r>
          </w:p>
        </w:tc>
        <w:tc>
          <w:tcPr>
            <w:tcW w:w="8060" w:type="dxa"/>
            <w:vAlign w:val="bottom"/>
            <w:gridSpan w:val="23"/>
          </w:tcPr>
          <w:p>
            <w:pPr>
              <w:spacing w:after="0" w:line="169"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1600" w:type="dxa"/>
            <w:vAlign w:val="bottom"/>
            <w:gridSpan w:val="5"/>
          </w:tcPr>
          <w:p>
            <w:pPr>
              <w:jc w:val="center"/>
              <w:spacing w:after="0" w:line="169" w:lineRule="exact"/>
              <w:rPr>
                <w:rFonts w:ascii="Times New Roman" w:cs="Times New Roman" w:eastAsia="Times New Roman" w:hAnsi="Times New Roman"/>
                <w:sz w:val="16"/>
                <w:szCs w:val="16"/>
                <w:color w:val="0000EE"/>
                <w:w w:val="99"/>
              </w:rPr>
            </w:pPr>
            <w:hyperlink w:anchor="page37">
              <w:r>
                <w:rPr>
                  <w:rFonts w:ascii="Times New Roman" w:cs="Times New Roman" w:eastAsia="Times New Roman" w:hAnsi="Times New Roman"/>
                  <w:sz w:val="16"/>
                  <w:szCs w:val="16"/>
                  <w:color w:val="0000EE"/>
                  <w:w w:val="99"/>
                </w:rPr>
                <w:t>34</w:t>
              </w:r>
            </w:hyperlink>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spacing w:after="0" w:line="169" w:lineRule="exact"/>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Item 4</w:t>
              </w:r>
            </w:hyperlink>
          </w:p>
        </w:tc>
        <w:tc>
          <w:tcPr>
            <w:tcW w:w="8060" w:type="dxa"/>
            <w:vAlign w:val="bottom"/>
            <w:gridSpan w:val="23"/>
            <w:shd w:val="clear" w:color="auto" w:fill="CCEEFF"/>
          </w:tcPr>
          <w:p>
            <w:pPr>
              <w:spacing w:after="0" w:line="169" w:lineRule="exact"/>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Mine Safety Disclosures</w:t>
              </w:r>
            </w:hyperlink>
          </w:p>
        </w:tc>
        <w:tc>
          <w:tcPr>
            <w:tcW w:w="1600" w:type="dxa"/>
            <w:vAlign w:val="bottom"/>
            <w:gridSpan w:val="5"/>
            <w:shd w:val="clear" w:color="auto" w:fill="CCEEFF"/>
          </w:tcPr>
          <w:p>
            <w:pPr>
              <w:jc w:val="center"/>
              <w:spacing w:after="0" w:line="169" w:lineRule="exact"/>
              <w:rPr>
                <w:rFonts w:ascii="Times New Roman" w:cs="Times New Roman" w:eastAsia="Times New Roman" w:hAnsi="Times New Roman"/>
                <w:sz w:val="16"/>
                <w:szCs w:val="16"/>
                <w:color w:val="0000EE"/>
                <w:w w:val="99"/>
              </w:rPr>
            </w:pPr>
            <w:hyperlink w:anchor="page37">
              <w:r>
                <w:rPr>
                  <w:rFonts w:ascii="Times New Roman" w:cs="Times New Roman" w:eastAsia="Times New Roman" w:hAnsi="Times New Roman"/>
                  <w:sz w:val="16"/>
                  <w:szCs w:val="16"/>
                  <w:color w:val="0000EE"/>
                  <w:w w:val="99"/>
                </w:rPr>
                <w:t>34</w:t>
              </w:r>
            </w:hyperlink>
          </w:p>
        </w:tc>
        <w:tc>
          <w:tcPr>
            <w:tcW w:w="0" w:type="dxa"/>
            <w:vAlign w:val="bottom"/>
          </w:tcPr>
          <w:p>
            <w:pPr>
              <w:spacing w:after="0"/>
              <w:rPr>
                <w:sz w:val="1"/>
                <w:szCs w:val="1"/>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5"/>
          </w:tcPr>
          <w:p>
            <w:pPr>
              <w:spacing w:after="0" w:line="169" w:lineRule="exact"/>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Item 5</w:t>
              </w:r>
            </w:hyperlink>
          </w:p>
        </w:tc>
        <w:tc>
          <w:tcPr>
            <w:tcW w:w="8060" w:type="dxa"/>
            <w:vAlign w:val="bottom"/>
            <w:gridSpan w:val="23"/>
          </w:tcPr>
          <w:p>
            <w:pPr>
              <w:spacing w:after="0" w:line="169" w:lineRule="exact"/>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Other Information</w:t>
              </w:r>
            </w:hyperlink>
          </w:p>
        </w:tc>
        <w:tc>
          <w:tcPr>
            <w:tcW w:w="1600" w:type="dxa"/>
            <w:vAlign w:val="bottom"/>
            <w:gridSpan w:val="5"/>
          </w:tcPr>
          <w:p>
            <w:pPr>
              <w:jc w:val="center"/>
              <w:spacing w:after="0" w:line="169" w:lineRule="exact"/>
              <w:rPr>
                <w:rFonts w:ascii="Times New Roman" w:cs="Times New Roman" w:eastAsia="Times New Roman" w:hAnsi="Times New Roman"/>
                <w:sz w:val="16"/>
                <w:szCs w:val="16"/>
                <w:color w:val="0000EE"/>
                <w:w w:val="99"/>
              </w:rPr>
            </w:pPr>
            <w:hyperlink w:anchor="page37">
              <w:r>
                <w:rPr>
                  <w:rFonts w:ascii="Times New Roman" w:cs="Times New Roman" w:eastAsia="Times New Roman" w:hAnsi="Times New Roman"/>
                  <w:sz w:val="16"/>
                  <w:szCs w:val="16"/>
                  <w:color w:val="0000EE"/>
                  <w:w w:val="99"/>
                </w:rPr>
                <w:t>34</w:t>
              </w:r>
            </w:hyperlink>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720" w:type="dxa"/>
            <w:vAlign w:val="bottom"/>
            <w:gridSpan w:val="6"/>
            <w:shd w:val="clear" w:color="auto" w:fill="CCEEFF"/>
          </w:tcPr>
          <w:p>
            <w:pPr>
              <w:ind w:left="680"/>
              <w:spacing w:after="0"/>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Item 6</w:t>
              </w:r>
            </w:hyperlink>
          </w:p>
        </w:tc>
        <w:tc>
          <w:tcPr>
            <w:tcW w:w="8060" w:type="dxa"/>
            <w:vAlign w:val="bottom"/>
            <w:gridSpan w:val="23"/>
            <w:shd w:val="clear" w:color="auto" w:fill="CCEEFF"/>
          </w:tcPr>
          <w:p>
            <w:pPr>
              <w:spacing w:after="0"/>
              <w:rPr>
                <w:rFonts w:ascii="Times New Roman" w:cs="Times New Roman" w:eastAsia="Times New Roman" w:hAnsi="Times New Roman"/>
                <w:sz w:val="16"/>
                <w:szCs w:val="16"/>
                <w:color w:val="0000EE"/>
              </w:rPr>
            </w:pPr>
            <w:hyperlink w:anchor="page37">
              <w:r>
                <w:rPr>
                  <w:rFonts w:ascii="Times New Roman" w:cs="Times New Roman" w:eastAsia="Times New Roman" w:hAnsi="Times New Roman"/>
                  <w:sz w:val="16"/>
                  <w:szCs w:val="16"/>
                  <w:color w:val="0000EE"/>
                </w:rPr>
                <w:t>Exhibits</w:t>
              </w:r>
            </w:hyperlink>
          </w:p>
        </w:tc>
        <w:tc>
          <w:tcPr>
            <w:tcW w:w="1600" w:type="dxa"/>
            <w:vAlign w:val="bottom"/>
            <w:gridSpan w:val="5"/>
            <w:shd w:val="clear" w:color="auto" w:fill="CCEEFF"/>
          </w:tcPr>
          <w:p>
            <w:pPr>
              <w:jc w:val="center"/>
              <w:spacing w:after="0"/>
              <w:rPr>
                <w:rFonts w:ascii="Times New Roman" w:cs="Times New Roman" w:eastAsia="Times New Roman" w:hAnsi="Times New Roman"/>
                <w:sz w:val="16"/>
                <w:szCs w:val="16"/>
                <w:color w:val="0000EE"/>
                <w:w w:val="99"/>
              </w:rPr>
            </w:pPr>
            <w:hyperlink w:anchor="page37">
              <w:r>
                <w:rPr>
                  <w:rFonts w:ascii="Times New Roman" w:cs="Times New Roman" w:eastAsia="Times New Roman" w:hAnsi="Times New Roman"/>
                  <w:sz w:val="16"/>
                  <w:szCs w:val="16"/>
                  <w:color w:val="0000EE"/>
                  <w:w w:val="99"/>
                </w:rPr>
                <w:t>34</w:t>
              </w:r>
            </w:hyperlink>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02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60" w:type="dxa"/>
            <w:vAlign w:val="bottom"/>
            <w:gridSpan w:val="7"/>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Signatures</w:t>
              </w:r>
            </w:hyperlink>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0" w:type="dxa"/>
            <w:vAlign w:val="bottom"/>
            <w:gridSpan w:val="5"/>
            <w:shd w:val="clear" w:color="auto" w:fill="CCEEFF"/>
          </w:tcPr>
          <w:p>
            <w:pPr>
              <w:jc w:val="center"/>
              <w:spacing w:after="0"/>
              <w:rPr>
                <w:rFonts w:ascii="Times New Roman" w:cs="Times New Roman" w:eastAsia="Times New Roman" w:hAnsi="Times New Roman"/>
                <w:sz w:val="16"/>
                <w:szCs w:val="16"/>
                <w:color w:val="0000EE"/>
                <w:w w:val="99"/>
              </w:rPr>
            </w:pPr>
            <w:hyperlink w:anchor="page38">
              <w:r>
                <w:rPr>
                  <w:rFonts w:ascii="Times New Roman" w:cs="Times New Roman" w:eastAsia="Times New Roman" w:hAnsi="Times New Roman"/>
                  <w:sz w:val="16"/>
                  <w:szCs w:val="16"/>
                  <w:color w:val="0000EE"/>
                  <w:w w:val="99"/>
                </w:rPr>
                <w:t>35</w:t>
              </w:r>
            </w:hyperlink>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02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760" w:type="dxa"/>
            <w:vAlign w:val="bottom"/>
            <w:gridSpan w:val="7"/>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EE"/>
              </w:rPr>
              <w:t>Certifications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29, 2018</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29, 2018</w:t>
            </w: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153,936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123,898</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293,203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258,259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293,489</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Finished goods 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723,242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574,226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692,985</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53,264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57,000</w:t>
            </w: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1,223,645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1,042,958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1,167,372</w:t>
            </w:r>
          </w:p>
        </w:tc>
      </w:tr>
      <w:tr>
        <w:trPr>
          <w:trHeight w:val="216"/>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$504,833,</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$448,898, and $450,460, respectively</w:t>
            </w:r>
          </w:p>
        </w:tc>
        <w:tc>
          <w:tcPr>
            <w:tcW w:w="200" w:type="dxa"/>
            <w:vAlign w:val="bottom"/>
          </w:tcPr>
          <w:p>
            <w:pPr>
              <w:spacing w:after="0"/>
              <w:rPr>
                <w:sz w:val="18"/>
                <w:szCs w:val="18"/>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330,371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350,437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360,718</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709,523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Tradenames, net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334,705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365,692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365,754</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228,235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229,611</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44,511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45,525</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28,966</w:t>
            </w:r>
          </w:p>
        </w:tc>
      </w:tr>
      <w:tr>
        <w:trPr>
          <w:trHeight w:val="284"/>
        </w:trPr>
        <w:tc>
          <w:tcPr>
            <w:tcW w:w="53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2,899,580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2,058,858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2,197,946</w:t>
            </w:r>
          </w:p>
        </w:tc>
      </w:tr>
      <w:tr>
        <w:trPr>
          <w:trHeight w:val="203"/>
        </w:trPr>
        <w:tc>
          <w:tcPr>
            <w:tcW w:w="5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205,782</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199,076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185,285</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158,524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119,862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128,345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133,021</w:t>
            </w: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484,168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327,421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318,306</w:t>
            </w:r>
          </w:p>
        </w:tc>
      </w:tr>
      <w:tr>
        <w:trPr>
          <w:trHeight w:val="216"/>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769,525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798,020</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78,916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87,347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87,888</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691,717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62,520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181,393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182,547</w:t>
            </w: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2,086,846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1,189,425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1,386,761</w:t>
            </w:r>
          </w:p>
        </w:tc>
      </w:tr>
      <w:tr>
        <w:trPr>
          <w:trHeight w:val="216"/>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 Note 14</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16"/>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16"/>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Preferred stock; par value $.01 per share; 100,000 shares authorized; none issued</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3"/>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 outstanding at September 28, 2019, December 29, 2018, and September 29,</w:t>
            </w: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 voting; par value $.01 per share; 150,000,000 shares authorized;</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3"/>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44,287,636, 45,629,014 and 46,041,329 shares issued and outstanding at</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23"/>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28, 2019, December 29, 2018 and September 29, 2018,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460</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(32,318)</w:t>
            </w: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851,199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909,816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843,043</w:t>
            </w:r>
          </w:p>
        </w:tc>
      </w:tr>
      <w:tr>
        <w:trPr>
          <w:trHeight w:val="217"/>
        </w:trPr>
        <w:tc>
          <w:tcPr>
            <w:tcW w:w="53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812,734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869,433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811,185</w:t>
            </w: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2,899,580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2,058,858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2,197,946</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420"/>
          </w:cols>
          <w:pgMar w:left="240" w:top="3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40" w:type="dxa"/>
            <w:vAlign w:val="bottom"/>
          </w:tcPr>
          <w:p>
            <w:pPr>
              <w:spacing w:after="0"/>
              <w:rPr>
                <w:sz w:val="18"/>
                <w:szCs w:val="18"/>
                <w:color w:val="auto"/>
              </w:rPr>
            </w:pPr>
          </w:p>
        </w:tc>
        <w:tc>
          <w:tcPr>
            <w:tcW w:w="266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7"/>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w:t>
            </w: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w:t>
            </w:r>
          </w:p>
        </w:tc>
        <w:tc>
          <w:tcPr>
            <w:tcW w:w="16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29,</w:t>
            </w:r>
          </w:p>
        </w:tc>
      </w:tr>
      <w:tr>
        <w:trPr>
          <w:trHeight w:val="212"/>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943,322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923,907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2,418,764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2,375,890</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541,111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536,457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1,377,690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1,346,005</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402,211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387,450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1,041,074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1,029,885</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Royalty income,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28,573</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296,733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294,117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828,540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837,621</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30,800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83,870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103,557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209,105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220,837</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28,667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25,790</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528</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73,621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93,839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173,078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194,993</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43,487</w:t>
            </w:r>
          </w:p>
        </w:tc>
      </w:tr>
      <w:tr>
        <w:trPr>
          <w:trHeight w:val="284"/>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60,252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71,770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138,655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151,506</w:t>
            </w:r>
          </w:p>
        </w:tc>
      </w:tr>
      <w:tr>
        <w:trPr>
          <w:trHeight w:val="203"/>
        </w:trPr>
        <w:tc>
          <w:tcPr>
            <w:tcW w:w="5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r>
    </w:tbl>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2018</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2018</w:t>
            </w:r>
          </w:p>
        </w:tc>
      </w:tr>
      <w:tr>
        <w:trPr>
          <w:trHeight w:val="33"/>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60,252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71,770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138,655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151,506</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w:t>
            </w:r>
          </w:p>
        </w:tc>
      </w:tr>
      <w:tr>
        <w:trPr>
          <w:trHeight w:val="244"/>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57,905</w:t>
            </w:r>
          </w:p>
        </w:tc>
        <w:tc>
          <w:tcPr>
            <w:tcW w:w="12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74,983</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142,086</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148,281</w:t>
            </w:r>
          </w:p>
        </w:tc>
      </w:tr>
      <w:tr>
        <w:trPr>
          <w:trHeight w:val="20"/>
        </w:trPr>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fiscal quarters ended September 28, 2019: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35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2"/>
        </w:trPr>
        <w:tc>
          <w:tcPr>
            <w:tcW w:w="35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shares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33"/>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29, 2018</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45,629,014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909,816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869,433</w:t>
            </w:r>
          </w:p>
        </w:tc>
      </w:tr>
      <w:tr>
        <w:trPr>
          <w:trHeight w:val="237"/>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72,192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4,780</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182,722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4,613</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(39,966)</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dividends declared and paid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(22,756)</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34,466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37,377</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Reclassification of tax effects</w:t>
            </w:r>
            <w:r>
              <w:rPr>
                <w:rFonts w:ascii="Times New Roman" w:cs="Times New Roman" w:eastAsia="Times New Roman" w:hAnsi="Times New Roman"/>
                <w:sz w:val="21"/>
                <w:szCs w:val="21"/>
                <w:color w:val="auto"/>
                <w:vertAlign w:val="superscript"/>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March 30, 2019</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45,379,827</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454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(39,428)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888,378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849,404</w:t>
            </w:r>
          </w:p>
        </w:tc>
      </w:tr>
      <w:tr>
        <w:trPr>
          <w:trHeight w:val="33"/>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1,566</w:t>
            </w: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5,194</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(52,477)</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declared and paid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(22,545)</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43,937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46,804</w:t>
            </w:r>
          </w:p>
        </w:tc>
      </w:tr>
      <w:tr>
        <w:trPr>
          <w:trHeight w:val="217"/>
        </w:trPr>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29, 2019</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44,868,563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(36,561)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864,009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827,897</w:t>
            </w:r>
          </w:p>
        </w:tc>
      </w:tr>
      <w:tr>
        <w:trPr>
          <w:trHeight w:val="33"/>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3,733</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(55,021)</w:t>
            </w:r>
          </w:p>
        </w:tc>
      </w:tr>
      <w:tr>
        <w:trPr>
          <w:trHeight w:val="237"/>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declared and paid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(22,227)</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60,252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57,905</w:t>
            </w:r>
          </w:p>
        </w:tc>
      </w:tr>
      <w:tr>
        <w:trPr>
          <w:trHeight w:val="244"/>
        </w:trPr>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28, 2019</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44,287,636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(38,908)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851,199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812,734</w:t>
            </w:r>
          </w:p>
        </w:tc>
      </w:tr>
      <w:tr>
        <w:trPr>
          <w:trHeight w:val="20"/>
        </w:trPr>
        <w:tc>
          <w:tcPr>
            <w:tcW w:w="3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340" w:hanging="332"/>
        <w:spacing w:after="0" w:line="261" w:lineRule="auto"/>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reclassified $1.5 million of tax benefits from "Accumulated other comprehensive loss" to "Retained earnings" for the tax effects resulting from the December 22, 2017 enactment of the Tax Cut and Jobs Act in accordance with the adoption of ASU 2018-02, </w:t>
      </w:r>
      <w:r>
        <w:rPr>
          <w:rFonts w:ascii="Times New Roman" w:cs="Times New Roman" w:eastAsia="Times New Roman" w:hAnsi="Times New Roman"/>
          <w:sz w:val="14"/>
          <w:szCs w:val="14"/>
          <w:i w:val="1"/>
          <w:iCs w:val="1"/>
          <w:color w:val="auto"/>
        </w:rPr>
        <w:t>Reclassification of Certain Tax Effects from Accumulated Other Comprehensive Income</w:t>
      </w:r>
      <w:r>
        <w:rPr>
          <w:rFonts w:ascii="Times New Roman" w:cs="Times New Roman" w:eastAsia="Times New Roman" w:hAnsi="Times New Roman"/>
          <w:sz w:val="14"/>
          <w:szCs w:val="14"/>
          <w:color w:val="auto"/>
        </w:rPr>
        <w:t xml:space="preserve"> in the first quarter of fiscal 2019.</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fiscal quarters ended September 29, 2018:</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35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2"/>
        </w:trPr>
        <w:tc>
          <w:tcPr>
            <w:tcW w:w="35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shares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33"/>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30, 2017</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47,178,346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886,037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857,416</w:t>
            </w:r>
          </w:p>
        </w:tc>
      </w:tr>
      <w:tr>
        <w:trPr>
          <w:trHeight w:val="237"/>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95,006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4,769</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(55,164)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116,701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4,944</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(25,195)</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dividends declared and paid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(21,244)</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42,469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40,707</w:t>
            </w:r>
          </w:p>
        </w:tc>
      </w:tr>
      <w:tr>
        <w:trPr>
          <w:trHeight w:val="33"/>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March 31, 2018</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47,113,576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885,198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854,814</w:t>
            </w:r>
          </w:p>
        </w:tc>
      </w:tr>
      <w:tr>
        <w:trPr>
          <w:trHeight w:val="217"/>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47,081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2,606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2,607</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5,322</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(63,898)</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declared and paid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(21,023)</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37,268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32,591</w:t>
            </w:r>
          </w:p>
        </w:tc>
      </w:tr>
      <w:tr>
        <w:trPr>
          <w:trHeight w:val="33"/>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June 30, 2018</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46,565,443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845,395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810,329</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18,276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1,356</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1,844</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(543,793)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(56,401)</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dividends declared and paid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(20,847)</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71,770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74,983</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4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September 29, 2018</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46,041,329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(32,318)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843,043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811,185</w:t>
            </w:r>
          </w:p>
        </w:tc>
      </w:tr>
      <w:tr>
        <w:trPr>
          <w:trHeight w:val="20"/>
        </w:trPr>
        <w:tc>
          <w:tcPr>
            <w:tcW w:w="3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200" w:type="dxa"/>
            <w:vAlign w:val="bottom"/>
          </w:tcPr>
          <w:p>
            <w:pPr>
              <w:spacing w:after="0"/>
              <w:rPr>
                <w:sz w:val="20"/>
                <w:szCs w:val="20"/>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29, 2018</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138,655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151,506</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68,005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63,441</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2,783</w:t>
            </w:r>
          </w:p>
        </w:tc>
      </w:tr>
      <w:tr>
        <w:trPr>
          <w:trHeight w:val="237"/>
        </w:trPr>
        <w:tc>
          <w:tcPr>
            <w:tcW w:w="74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1,303</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12,110</w:t>
            </w:r>
          </w:p>
        </w:tc>
      </w:tr>
      <w:tr>
        <w:trPr>
          <w:trHeight w:val="237"/>
        </w:trPr>
        <w:tc>
          <w:tcPr>
            <w:tcW w:w="74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exchange (gain) loss, net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Provisions for (recoveries of) doubtful accounts receivable from customers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15,547</w:t>
            </w:r>
          </w:p>
        </w:tc>
      </w:tr>
      <w:tr>
        <w:trPr>
          <w:trHeight w:val="237"/>
        </w:trPr>
        <w:tc>
          <w:tcPr>
            <w:tcW w:w="74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30,800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4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disposal of property, plant, and equipment, net of recoveries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516</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w:t>
            </w:r>
          </w:p>
        </w:tc>
      </w:tr>
      <w:tr>
        <w:trPr>
          <w:trHeight w:val="237"/>
        </w:trPr>
        <w:tc>
          <w:tcPr>
            <w:tcW w:w="74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changes in operating assets and liabilities: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(68,333)</w:t>
            </w: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(145,709)</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(725,597)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w:t>
            </w: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709,660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21,358</w:t>
            </w:r>
          </w:p>
        </w:tc>
      </w:tr>
      <w:tr>
        <w:trPr>
          <w:trHeight w:val="210"/>
        </w:trPr>
        <w:tc>
          <w:tcPr>
            <w:tcW w:w="7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(47,844)</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Disposals and recoveries from property, plant, and equipment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(47,372)</w:t>
            </w:r>
          </w:p>
        </w:tc>
      </w:tr>
      <w:tr>
        <w:trPr>
          <w:trHeight w:val="210"/>
        </w:trPr>
        <w:tc>
          <w:tcPr>
            <w:tcW w:w="7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senior notes due 2027</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 of senior notes due 2021</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Premiums paid to extinguish debt</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Borrowings under secured revolving credit facility</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290,000</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Payments on secured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w:t>
            </w: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(145,493)</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(63,114)</w:t>
            </w: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Withholdings from vestings of restricted stock</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8,732</w:t>
            </w:r>
          </w:p>
        </w:tc>
      </w:tr>
      <w:tr>
        <w:trPr>
          <w:trHeight w:val="217"/>
        </w:trPr>
        <w:tc>
          <w:tcPr>
            <w:tcW w:w="74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(44,370)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(27,512)</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0"/>
        </w:trPr>
        <w:tc>
          <w:tcPr>
            <w:tcW w:w="7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(54,596)</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170,077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178,494</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123,898</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Carter's, Inc. and its wholly owned subsidiaries (collectively, the "Company," "its," "us" and "our") design, source, and market branded childrenswear under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Precious Firsts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Precious Baby, Simple Joys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and other brands. The 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products manufactured by other companies. As of September 28, 2019, the Company operated 1,087 retail stores in the United States, Canada, and Mexico.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9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3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ended September 28, 2019 are not necessarily indicative of the results that may be expected for the current fiscal year ending December 28, 2019.</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3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29, 2018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changes to these accounting policies, except as noted below for new accounting pronouncements adopted at the beginning of fiscal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92"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 xml:space="preserve">At the beginning of fiscal 2019, the Company adopted the provisions of ASC No.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using a modified retrospective approach as an optional transition method. This approach allows the Company to apply the standard and related disclosures to the financial statements for the period of adoption and to apply the old guidance in the comparative periods.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standard had a material impact on our consolidated balance sheets, but did not have a material impact on our consolidated income statements or statement of cash flows. The most significant impact was the recognition of right of use ("ROU") assets and lease liabilities for operating leases. Finance leases are not material to the Company's consolidated balance sheets, consolidated statements of operations or statements of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Presentation</w:t>
      </w:r>
    </w:p>
    <w:p>
      <w:pPr>
        <w:spacing w:after="0" w:line="9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Operating leases are included in operating lease assets, current operating lease liabilities, and long-term operating lease liabilities in our consolidated balance sheets.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360" w:right="25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Our lease terms may include options to extend or terminate the lease when it is reasonably certain that we will exercise that option.</w:t>
      </w:r>
    </w:p>
    <w:p>
      <w:pPr>
        <w:spacing w:after="0" w:line="13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operating lease ROU asset also includes initial direct costs and excludes lease incentives. Lease expense is recognized on a straight-line basis over the lease term.</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Certain of our lease agreements include variable rental payments based on a percentage of retail sales over contractual levels and others include variable rental payments adjusted periodically for inflation. Our lease agreements do not contain any material residual value guarantees or material restrictive covenants.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Elections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Practical Expedient Package - The Company has elected the following expedients and applied them consistently to all leases:</w:t>
      </w:r>
    </w:p>
    <w:p>
      <w:pPr>
        <w:spacing w:after="0" w:line="90"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revisit whether a contract is, or contains, a lease under the ASC 842 definition of a lease.</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classification determined under prior guidance will not be reevaluated under ASC 842.</w:t>
      </w:r>
    </w:p>
    <w:p>
      <w:pPr>
        <w:spacing w:after="0" w:line="90"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capitalized initial direct costs under prior guidance will be carried forward. Any initial direct costs after the effective date will be included within the ROU asset under ASC 842.</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Portfolio approach - In general, the Company accounts for the underlying leased asset and applies a discount rate at the lease level. However, there are certain non-real estate leases for which the Company utilizes the portfolio method by aggregating similar leased assets based on the underlying lease term.</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Non-lease component - The Company has lease agreements with lease and non-lease components. The Company has elected a policy to account for lease and non-lease components as a single component for all asset classes.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 Leases with an initial term of 12 months or less are not recorded on the balance sheets.</w:t>
      </w:r>
    </w:p>
    <w:p>
      <w:pPr>
        <w:spacing w:after="0" w:line="185"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Discount rate - As most of the Company's leases do not provide an implicit rate, the Company uses the incremental borrowing rate based on the information available at commencement date in determining the present value of lease payments.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Renewal options - The Company evaluates the inclusion of renewal options on a lease by lease basis. In general, for leased retail real estate, the Company does not include renewal options in the underlying lease term.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Certain Tax Effects from Accumulated Other Comprehensive Income (ASU 2018-02)</w:t>
      </w:r>
    </w:p>
    <w:p>
      <w:pPr>
        <w:spacing w:after="0" w:line="9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fiscal 2019, the Company adopted ASU No. 2018-02, </w:t>
      </w:r>
      <w:r>
        <w:rPr>
          <w:rFonts w:ascii="Times New Roman" w:cs="Times New Roman" w:eastAsia="Times New Roman" w:hAnsi="Times New Roman"/>
          <w:sz w:val="18"/>
          <w:szCs w:val="18"/>
          <w:i w:val="1"/>
          <w:iCs w:val="1"/>
          <w:color w:val="auto"/>
        </w:rPr>
        <w:t>Reclassification of Certain Tax Effects from Accumulated 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("ASU 2018-02"). The adoption of ASU 2018-02 allowed the Company to move "stranded" tax amounts from its accumulated other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to retained earnings. The effect of the adoption of ASU 2018-02 was not material to the Company's financial position and did not have an effect on the Company's consolidated results of operations or cash flows.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333" w:right="2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9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sells its products directly to consumers ("direct-to-consumer") and to other retail companies and partners that subsequently sell the products directly to their own retail customers. The Company also earns royalties from its licensees. Disaggregated revenues from these sources for the third quarter and three quarters ended fiscal 2019 and 2018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Fiscal quarter ended September 28, 2019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240" w:type="dxa"/>
            <w:vAlign w:val="bottom"/>
          </w:tcPr>
          <w:p>
            <w:pPr>
              <w:jc w:val="right"/>
              <w:ind w:right="269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220" w:type="dxa"/>
            <w:vAlign w:val="bottom"/>
          </w:tcPr>
          <w:p>
            <w:pPr>
              <w:spacing w:after="0"/>
              <w:rPr>
                <w:sz w:val="17"/>
                <w:szCs w:val="17"/>
                <w:color w:val="auto"/>
              </w:rPr>
            </w:pPr>
          </w:p>
        </w:tc>
        <w:tc>
          <w:tcPr>
            <w:tcW w:w="16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38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7"/>
                <w:szCs w:val="17"/>
                <w:color w:val="auto"/>
              </w:rPr>
            </w:pPr>
          </w:p>
        </w:tc>
        <w:tc>
          <w:tcPr>
            <w:tcW w:w="130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8"/>
        </w:trPr>
        <w:tc>
          <w:tcPr>
            <w:tcW w:w="4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352,256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56,101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408,357</w:t>
            </w:r>
          </w:p>
        </w:tc>
      </w:tr>
      <w:tr>
        <w:trPr>
          <w:trHeight w:val="237"/>
        </w:trPr>
        <w:tc>
          <w:tcPr>
            <w:tcW w:w="4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464,100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70,865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534,965</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464,100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352,256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126,966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943,322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Royalty income</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4,244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4,038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9,192</w:t>
            </w:r>
          </w:p>
        </w:tc>
      </w:tr>
      <w:tr>
        <w:trPr>
          <w:trHeight w:val="33"/>
        </w:trPr>
        <w:tc>
          <w:tcPr>
            <w:tcW w:w="4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fiscal quarters ended September 28, 2019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4220" w:type="dxa"/>
            <w:vAlign w:val="bottom"/>
          </w:tcPr>
          <w:p>
            <w:pPr>
              <w:jc w:val="right"/>
              <w:ind w:right="267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8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38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7"/>
                <w:szCs w:val="17"/>
                <w:color w:val="auto"/>
              </w:rPr>
            </w:pPr>
          </w:p>
        </w:tc>
        <w:tc>
          <w:tcPr>
            <w:tcW w:w="132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8"/>
        </w:trPr>
        <w:tc>
          <w:tcPr>
            <w:tcW w:w="4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4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Wholesale channel</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856,713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121,631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978,344</w:t>
            </w:r>
          </w:p>
        </w:tc>
      </w:tr>
      <w:tr>
        <w:trPr>
          <w:trHeight w:val="237"/>
        </w:trPr>
        <w:tc>
          <w:tcPr>
            <w:tcW w:w="4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Direct-to-consumer</w:t>
            </w:r>
          </w:p>
        </w:tc>
        <w:tc>
          <w:tcPr>
            <w:tcW w:w="480" w:type="dxa"/>
            <w:vAlign w:val="bottom"/>
          </w:tcPr>
          <w:p>
            <w:pPr>
              <w:spacing w:after="0"/>
              <w:rPr>
                <w:sz w:val="20"/>
                <w:szCs w:val="20"/>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1,264,283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176,137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1,440,420</w:t>
            </w:r>
          </w:p>
        </w:tc>
      </w:tr>
      <w:tr>
        <w:trPr>
          <w:trHeight w:val="33"/>
        </w:trPr>
        <w:tc>
          <w:tcPr>
            <w:tcW w:w="4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4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1,264,283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856,713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297,768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2,418,764</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7"/>
        </w:trPr>
        <w:tc>
          <w:tcPr>
            <w:tcW w:w="4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Royalty income</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10,688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14,051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2,632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27,371</w:t>
            </w:r>
          </w:p>
        </w:tc>
      </w:tr>
      <w:tr>
        <w:trPr>
          <w:trHeight w:val="33"/>
        </w:trPr>
        <w:tc>
          <w:tcPr>
            <w:tcW w:w="4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9"/>
          </w:tcPr>
          <w:p>
            <w:pPr>
              <w:ind w:left="100"/>
              <w:spacing w:after="0"/>
              <w:rPr>
                <w:sz w:val="20"/>
                <w:szCs w:val="20"/>
                <w:color w:val="auto"/>
              </w:rPr>
            </w:pPr>
            <w:r>
              <w:rPr>
                <w:rFonts w:ascii="Times New Roman" w:cs="Times New Roman" w:eastAsia="Times New Roman" w:hAnsi="Times New Roman"/>
                <w:sz w:val="16"/>
                <w:szCs w:val="16"/>
                <w:b w:val="1"/>
                <w:bCs w:val="1"/>
                <w:color w:val="auto"/>
              </w:rPr>
              <w:t>Fiscal quarter ended September 29, 2018</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220" w:type="dxa"/>
            <w:vAlign w:val="bottom"/>
          </w:tcPr>
          <w:p>
            <w:pPr>
              <w:jc w:val="right"/>
              <w:ind w:right="267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240" w:type="dxa"/>
            <w:vAlign w:val="bottom"/>
          </w:tcPr>
          <w:p>
            <w:pPr>
              <w:spacing w:after="0"/>
              <w:rPr>
                <w:sz w:val="17"/>
                <w:szCs w:val="17"/>
                <w:color w:val="auto"/>
              </w:rPr>
            </w:pPr>
          </w:p>
        </w:tc>
        <w:tc>
          <w:tcPr>
            <w:tcW w:w="156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66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48"/>
        </w:trPr>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54,373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393,336</w:t>
            </w:r>
          </w:p>
        </w:tc>
      </w:tr>
      <w:tr>
        <w:trPr>
          <w:trHeight w:val="237"/>
        </w:trPr>
        <w:tc>
          <w:tcPr>
            <w:tcW w:w="4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459,101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71,470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530,571</w:t>
            </w:r>
          </w:p>
        </w:tc>
      </w:tr>
      <w:tr>
        <w:trPr>
          <w:trHeight w:val="33"/>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459,101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125,843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923,907</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Royalty income</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10,224</w:t>
            </w:r>
          </w:p>
        </w:tc>
      </w:tr>
      <w:tr>
        <w:trPr>
          <w:trHeight w:val="33"/>
        </w:trPr>
        <w:tc>
          <w:tcPr>
            <w:tcW w:w="4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fiscal quarters ended September 29, 2018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4220" w:type="dxa"/>
            <w:vAlign w:val="bottom"/>
          </w:tcPr>
          <w:p>
            <w:pPr>
              <w:jc w:val="right"/>
              <w:ind w:right="267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8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38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7"/>
                <w:szCs w:val="17"/>
                <w:color w:val="auto"/>
              </w:rPr>
            </w:pPr>
          </w:p>
        </w:tc>
        <w:tc>
          <w:tcPr>
            <w:tcW w:w="132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8"/>
        </w:trPr>
        <w:tc>
          <w:tcPr>
            <w:tcW w:w="4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4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Wholesale channel</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829,272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946,527</w:t>
            </w:r>
          </w:p>
        </w:tc>
      </w:tr>
      <w:tr>
        <w:trPr>
          <w:trHeight w:val="237"/>
        </w:trPr>
        <w:tc>
          <w:tcPr>
            <w:tcW w:w="4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Direct-to-consumer</w:t>
            </w:r>
          </w:p>
        </w:tc>
        <w:tc>
          <w:tcPr>
            <w:tcW w:w="480" w:type="dxa"/>
            <w:vAlign w:val="bottom"/>
          </w:tcPr>
          <w:p>
            <w:pPr>
              <w:spacing w:after="0"/>
              <w:rPr>
                <w:sz w:val="20"/>
                <w:szCs w:val="20"/>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1,244,863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184,500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1,429,363</w:t>
            </w:r>
          </w:p>
        </w:tc>
      </w:tr>
      <w:tr>
        <w:trPr>
          <w:trHeight w:val="33"/>
        </w:trPr>
        <w:tc>
          <w:tcPr>
            <w:tcW w:w="4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4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1,244,863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829,272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301,755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2,375,890</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7"/>
        </w:trPr>
        <w:tc>
          <w:tcPr>
            <w:tcW w:w="4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Royalty income</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9,625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16,693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2,255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28,573</w:t>
            </w:r>
          </w:p>
        </w:tc>
      </w:tr>
      <w:tr>
        <w:trPr>
          <w:trHeight w:val="33"/>
        </w:trPr>
        <w:tc>
          <w:tcPr>
            <w:tcW w:w="4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from Customers and Licensees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Accounts receivable, net,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29, 2018</w:t>
            </w:r>
          </w:p>
        </w:tc>
        <w:tc>
          <w:tcPr>
            <w:tcW w:w="22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29, 2018</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receivables from wholesale customers,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278,573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244,258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281,190</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Royalties receivable</w:t>
            </w:r>
          </w:p>
        </w:tc>
        <w:tc>
          <w:tcPr>
            <w:tcW w:w="2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9,667</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Tenant allowances and other receivables</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14,165</w:t>
            </w:r>
          </w:p>
        </w:tc>
      </w:tr>
      <w:tr>
        <w:trPr>
          <w:trHeight w:val="21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gross receivables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303,982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270,125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305,022</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Wholesale accounts receivable reserves</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(11,533)</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293,203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293,489</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33" w:right="239" w:bottom="1440" w:gutter="0" w:footer="0" w:header="0"/>
          <w:type w:val="continuous"/>
        </w:sectPr>
      </w:pPr>
    </w:p>
    <w:bookmarkStart w:id="12" w:name="page13"/>
    <w:bookmarkEnd w:id="12"/>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assets are not material.</w:t>
      </w:r>
    </w:p>
    <w:p>
      <w:pPr>
        <w:spacing w:after="0" w:line="18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recognizes a contract liability when it has received consideration from the customer and has a future obligation to transfer goods to the customer. Total contract liabilities consisted of the following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29, 2018</w:t>
            </w:r>
          </w:p>
        </w:tc>
        <w:tc>
          <w:tcPr>
            <w:tcW w:w="22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29, 2018</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Unredeemed gift cards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14,264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14,471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11,304</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Unredeemed customer loyalty rewards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8,441</w:t>
            </w:r>
          </w:p>
        </w:tc>
      </w:tr>
      <w:tr>
        <w:trPr>
          <w:trHeight w:val="270"/>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Private label credit card - signing bonus</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contract liabilities - current</w:t>
            </w:r>
            <w:r>
              <w:rPr>
                <w:rFonts w:ascii="Times New Roman" w:cs="Times New Roman" w:eastAsia="Times New Roman" w:hAnsi="Times New Roman"/>
                <w:sz w:val="21"/>
                <w:szCs w:val="21"/>
                <w:color w:val="auto"/>
                <w:vertAlign w:val="superscript"/>
              </w:rPr>
              <w:t>(2)</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19,745</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500" w:right="40" w:hanging="492"/>
        <w:spacing w:after="0" w:line="282"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label credit card - signing bonus - reflects the amount that the Company received as an upfront signing bonus from the third-party financial institution for the private label credit card program. The amount is recognized as revenue on a straight-line basis over the term of the agreement.</w:t>
      </w:r>
    </w:p>
    <w:p>
      <w:pPr>
        <w:spacing w:after="0" w:line="26"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 Other current liabilities on the Company's consolidated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contract liabilities are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operating leases for retail stores, distribution centers, corporate offices, data centers, and certain equipment. Our leases have remaining lease terms of 1 year to 20 years, some of which may include options to extend the leases for up to 5 years, and some of which may include options to early terminate the lease.</w:t>
      </w:r>
    </w:p>
    <w:p>
      <w:pPr>
        <w:spacing w:after="0" w:line="13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28, 2019, the Company's finance leases were not material to the consolidated balance sheets, consolidated statements of operations or statement of cash flows.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components of lease expense are included in Selling, general and administrative expenses on the Company's consolidated statements of operations for the third quarter and three quarters of fiscal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00" w:type="dxa"/>
            <w:vAlign w:val="bottom"/>
          </w:tcPr>
          <w:p>
            <w:pPr>
              <w:spacing w:after="0"/>
              <w:rPr>
                <w:sz w:val="18"/>
                <w:szCs w:val="18"/>
                <w:color w:val="auto"/>
              </w:rPr>
            </w:pPr>
          </w:p>
        </w:tc>
        <w:tc>
          <w:tcPr>
            <w:tcW w:w="23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6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18"/>
                <w:szCs w:val="18"/>
                <w:color w:val="auto"/>
              </w:rPr>
            </w:pPr>
          </w:p>
        </w:tc>
        <w:tc>
          <w:tcPr>
            <w:tcW w:w="23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200" w:type="dxa"/>
            <w:vAlign w:val="bottom"/>
          </w:tcPr>
          <w:p>
            <w:pPr>
              <w:spacing w:after="0"/>
              <w:rPr>
                <w:sz w:val="18"/>
                <w:szCs w:val="18"/>
                <w:color w:val="auto"/>
              </w:rPr>
            </w:pPr>
          </w:p>
        </w:tc>
        <w:tc>
          <w:tcPr>
            <w:tcW w:w="2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September 28, 2019</w:t>
            </w:r>
          </w:p>
        </w:tc>
      </w:tr>
      <w:tr>
        <w:trPr>
          <w:trHeight w:val="33"/>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cost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45,584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133,491</w:t>
            </w:r>
          </w:p>
        </w:tc>
      </w:tr>
      <w:tr>
        <w:trPr>
          <w:trHeight w:val="270"/>
        </w:trPr>
        <w:tc>
          <w:tcPr>
            <w:tcW w:w="6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w:t>
            </w:r>
          </w:p>
        </w:tc>
        <w:tc>
          <w:tcPr>
            <w:tcW w:w="32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15,492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46,692</w:t>
            </w: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lease cost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180,183</w:t>
            </w: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18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September 28, 2019, the weighted-average remaining operating lease term was 6.1 years and the weighted-average discount rate for operating leases was 4.39%.</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in the third quarter and three quarters of fiscal 2019 was $48.5 million and $143.7 million, respectively.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3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972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28, 2019, the maturities of lease liabilities were as follows: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0"/>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24"/>
                <w:szCs w:val="24"/>
                <w:color w:val="auto"/>
              </w:rPr>
            </w:pP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Remainder of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49,210</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189,604</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172,278</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148,813</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123,551</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After 2023</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292,747</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lease payments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976,203</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Interest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(125,962)</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850,241</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340" w:right="120" w:hanging="332"/>
        <w:spacing w:after="0" w:line="282"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most of our leases do not provide an implicit rate, we use our incremental borrowing rate based on the information available at commencement date to determine the present value of lease payments. We used the incremental borrowing rate on December 30, 2018, for operating leases that commenced prior to that date.</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28, 2019, the minimum rental commitments for additional operating lease contracts that have not yet commenced, primarily for retail stores, is $19.2 million. These operating leases will commence between fiscal year 2019 and fiscal year 2023 with lease terms of 5 years to 10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29, 2018, the minimum annual rental commitments under current non-cancellable operating leases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163,963</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150,010</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134,203</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116,773</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102,487</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235,731</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903,167</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ACCUMULATED OTHER COMPREHENSIVE LOSS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29, 2018</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29, 2018</w:t>
            </w: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(24,510)</w:t>
            </w:r>
          </w:p>
        </w:tc>
      </w:tr>
      <w:tr>
        <w:trPr>
          <w:trHeight w:val="270"/>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Pension and post-retirement obligations</w:t>
            </w:r>
            <w:r>
              <w:rPr>
                <w:rFonts w:ascii="Times New Roman" w:cs="Times New Roman" w:eastAsia="Times New Roman" w:hAnsi="Times New Roman"/>
                <w:sz w:val="21"/>
                <w:szCs w:val="21"/>
                <w:color w:val="auto"/>
                <w:vertAlign w:val="superscript"/>
              </w:rPr>
              <w:t>(*)</w:t>
            </w: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(7,808)</w:t>
            </w:r>
          </w:p>
        </w:tc>
      </w:tr>
      <w:tr>
        <w:trPr>
          <w:trHeight w:val="244"/>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(32,318)</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taxes of $2.9 million, $4.4 million, and $4.4 million, respectively.</w:t>
      </w:r>
    </w:p>
    <w:p>
      <w:pPr>
        <w:spacing w:after="0" w:line="1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first three quarters of both fiscal 2019 and fiscal 2018, no amounts were reclassified from accumulated other comprehensive loss to the statement of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33" w:right="239" w:bottom="1440" w:gutter="0" w:footer="0" w:header="0"/>
        </w:sectPr>
      </w:pPr>
    </w:p>
    <w:bookmarkStart w:id="14" w:name="page15"/>
    <w:bookmarkEnd w:id="14"/>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and intangible assets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00" w:type="dxa"/>
            <w:vAlign w:val="bottom"/>
            <w:gridSpan w:val="7"/>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29, 2018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useful</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Carter's goodwill</w:t>
            </w:r>
            <w:r>
              <w:rPr>
                <w:rFonts w:ascii="Times New Roman" w:cs="Times New Roman" w:eastAsia="Times New Roman" w:hAnsi="Times New Roman"/>
                <w:sz w:val="21"/>
                <w:szCs w:val="21"/>
                <w:color w:val="auto"/>
                <w:vertAlign w:val="superscript"/>
              </w:rPr>
              <w:t>(1)</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136,570</w:t>
            </w:r>
          </w:p>
        </w:tc>
        <w:tc>
          <w:tcPr>
            <w:tcW w:w="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136,570</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136,570</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Canada goodwill</w:t>
            </w:r>
            <w:r>
              <w:rPr>
                <w:rFonts w:ascii="Times New Roman" w:cs="Times New Roman" w:eastAsia="Times New Roman" w:hAnsi="Times New Roman"/>
                <w:sz w:val="21"/>
                <w:szCs w:val="21"/>
                <w:color w:val="auto"/>
                <w:vertAlign w:val="superscript"/>
              </w:rPr>
              <w:t>(2)</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38,869</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Skip Hop goodwill</w:t>
            </w:r>
            <w:r>
              <w:rPr>
                <w:rFonts w:ascii="Times New Roman" w:cs="Times New Roman" w:eastAsia="Times New Roman" w:hAnsi="Times New Roman"/>
                <w:sz w:val="21"/>
                <w:szCs w:val="21"/>
                <w:color w:val="auto"/>
                <w:vertAlign w:val="superscript"/>
              </w:rPr>
              <w:t>(3)</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45,940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45,940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45,960</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45,960</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Carter's Mexico goodwill</w:t>
            </w:r>
            <w:r>
              <w:rPr>
                <w:rFonts w:ascii="Times New Roman" w:cs="Times New Roman" w:eastAsia="Times New Roman" w:hAnsi="Times New Roman"/>
                <w:sz w:val="21"/>
                <w:szCs w:val="21"/>
                <w:color w:val="auto"/>
                <w:vertAlign w:val="superscript"/>
              </w:rPr>
              <w:t>(4)</w:t>
            </w:r>
          </w:p>
        </w:tc>
        <w:tc>
          <w:tcPr>
            <w:tcW w:w="13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5,693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5,693</w:t>
            </w: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5,702</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5,702</w:t>
            </w: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goodwill</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228,235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228,235</w:t>
            </w:r>
          </w:p>
        </w:tc>
        <w:tc>
          <w:tcPr>
            <w:tcW w:w="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227,101</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227,101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Carter's tradename</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220,233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220,233</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220,233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OshKosh tradename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Skip Hop tradename</w:t>
            </w:r>
            <w:r>
              <w:rPr>
                <w:rFonts w:ascii="Times New Roman" w:cs="Times New Roman" w:eastAsia="Times New Roman" w:hAnsi="Times New Roman"/>
                <w:sz w:val="21"/>
                <w:szCs w:val="21"/>
                <w:color w:val="auto"/>
                <w:vertAlign w:val="superscript"/>
              </w:rPr>
              <w:t>(5)</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56,800</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56,800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Finite-life tradenames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5-20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tradenames, net</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335,644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62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334,705</w:t>
            </w:r>
          </w:p>
        </w:tc>
        <w:tc>
          <w:tcPr>
            <w:tcW w:w="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366,444</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365,692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Skip Hop customer relationships</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15 years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47,300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7,863</w:t>
            </w:r>
          </w:p>
        </w:tc>
        <w:tc>
          <w:tcPr>
            <w:tcW w:w="62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39,437</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47,300</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41,820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Carter's Mexico customer relationships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customer relationships, net</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50,448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62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41,890</w:t>
            </w:r>
          </w:p>
        </w:tc>
        <w:tc>
          <w:tcPr>
            <w:tcW w:w="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50,446</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44,511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September 29, 2018</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gridSpan w:val="6"/>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useful life</w:t>
            </w:r>
          </w:p>
        </w:tc>
        <w:tc>
          <w:tcPr>
            <w:tcW w:w="60" w:type="dxa"/>
            <w:vAlign w:val="bottom"/>
          </w:tcPr>
          <w:p>
            <w:pPr>
              <w:spacing w:after="0"/>
              <w:rPr>
                <w:sz w:val="18"/>
                <w:szCs w:val="18"/>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Carter's goodwill</w:t>
            </w:r>
            <w:r>
              <w:rPr>
                <w:rFonts w:ascii="Times New Roman" w:cs="Times New Roman" w:eastAsia="Times New Roman" w:hAnsi="Times New Roman"/>
                <w:sz w:val="21"/>
                <w:szCs w:val="21"/>
                <w:color w:val="auto"/>
                <w:vertAlign w:val="superscript"/>
              </w:rPr>
              <w:t>(1)</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jc w:val="center"/>
              <w:ind w:right="560"/>
              <w:spacing w:after="0"/>
              <w:rPr>
                <w:sz w:val="20"/>
                <w:szCs w:val="20"/>
                <w:color w:val="auto"/>
              </w:rPr>
            </w:pPr>
            <w:r>
              <w:rPr>
                <w:rFonts w:ascii="Times New Roman" w:cs="Times New Roman" w:eastAsia="Times New Roman" w:hAnsi="Times New Roman"/>
                <w:sz w:val="16"/>
                <w:szCs w:val="16"/>
                <w:color w:val="auto"/>
                <w:w w:val="99"/>
              </w:rPr>
              <w:t>Indefinite</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136,570</w:t>
            </w:r>
          </w:p>
        </w:tc>
        <w:tc>
          <w:tcPr>
            <w:tcW w:w="0" w:type="dxa"/>
            <w:vAlign w:val="bottom"/>
          </w:tcPr>
          <w:p>
            <w:pPr>
              <w:spacing w:after="0"/>
              <w:rPr>
                <w:sz w:val="1"/>
                <w:szCs w:val="1"/>
                <w:color w:val="auto"/>
              </w:rPr>
            </w:pPr>
          </w:p>
        </w:tc>
      </w:tr>
      <w:tr>
        <w:trPr>
          <w:trHeight w:val="270"/>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Canada goodwill</w:t>
            </w:r>
            <w:r>
              <w:rPr>
                <w:rFonts w:ascii="Times New Roman" w:cs="Times New Roman" w:eastAsia="Times New Roman" w:hAnsi="Times New Roman"/>
                <w:sz w:val="21"/>
                <w:szCs w:val="21"/>
                <w:color w:val="auto"/>
                <w:vertAlign w:val="superscript"/>
              </w:rPr>
              <w:t>(2)</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color w:val="auto"/>
                <w:w w:val="99"/>
              </w:rPr>
              <w:t>Indefinite</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41,074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41,074</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Skip Hop goodwill</w:t>
            </w:r>
            <w:r>
              <w:rPr>
                <w:rFonts w:ascii="Times New Roman" w:cs="Times New Roman" w:eastAsia="Times New Roman" w:hAnsi="Times New Roman"/>
                <w:sz w:val="21"/>
                <w:szCs w:val="21"/>
                <w:color w:val="auto"/>
                <w:vertAlign w:val="superscript"/>
              </w:rPr>
              <w:t>(3)</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60" w:type="dxa"/>
            <w:vAlign w:val="bottom"/>
            <w:gridSpan w:val="5"/>
            <w:shd w:val="clear" w:color="auto" w:fill="CCEEFF"/>
          </w:tcPr>
          <w:p>
            <w:pPr>
              <w:jc w:val="center"/>
              <w:ind w:right="560"/>
              <w:spacing w:after="0"/>
              <w:rPr>
                <w:sz w:val="20"/>
                <w:szCs w:val="20"/>
                <w:color w:val="auto"/>
              </w:rPr>
            </w:pPr>
            <w:r>
              <w:rPr>
                <w:rFonts w:ascii="Times New Roman" w:cs="Times New Roman" w:eastAsia="Times New Roman" w:hAnsi="Times New Roman"/>
                <w:sz w:val="16"/>
                <w:szCs w:val="16"/>
                <w:color w:val="auto"/>
                <w:w w:val="99"/>
              </w:rPr>
              <w:t>Indefinite</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45,976</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45,976</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Carter's Mexico goodwill</w:t>
            </w:r>
            <w:r>
              <w:rPr>
                <w:rFonts w:ascii="Times New Roman" w:cs="Times New Roman" w:eastAsia="Times New Roman" w:hAnsi="Times New Roman"/>
                <w:sz w:val="21"/>
                <w:szCs w:val="21"/>
                <w:color w:val="auto"/>
                <w:vertAlign w:val="superscript"/>
              </w:rPr>
              <w:t>(4)</w:t>
            </w:r>
          </w:p>
        </w:tc>
        <w:tc>
          <w:tcPr>
            <w:tcW w:w="12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52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gridSpan w:val="5"/>
          </w:tcPr>
          <w:p>
            <w:pPr>
              <w:jc w:val="center"/>
              <w:ind w:right="560"/>
              <w:spacing w:after="0"/>
              <w:rPr>
                <w:sz w:val="20"/>
                <w:szCs w:val="20"/>
                <w:color w:val="auto"/>
              </w:rPr>
            </w:pPr>
            <w:r>
              <w:rPr>
                <w:rFonts w:ascii="Times New Roman" w:cs="Times New Roman" w:eastAsia="Times New Roman" w:hAnsi="Times New Roman"/>
                <w:sz w:val="16"/>
                <w:szCs w:val="16"/>
                <w:color w:val="auto"/>
                <w:w w:val="99"/>
              </w:rPr>
              <w:t>Indefinite</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5,991</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5,991</w:t>
            </w: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goodwill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229,611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229,611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Carter's tradename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5"/>
            <w:shd w:val="clear" w:color="auto" w:fill="CCEEFF"/>
          </w:tcPr>
          <w:p>
            <w:pPr>
              <w:jc w:val="center"/>
              <w:ind w:right="560"/>
              <w:spacing w:after="0"/>
              <w:rPr>
                <w:sz w:val="20"/>
                <w:szCs w:val="20"/>
                <w:color w:val="auto"/>
              </w:rPr>
            </w:pPr>
            <w:r>
              <w:rPr>
                <w:rFonts w:ascii="Times New Roman" w:cs="Times New Roman" w:eastAsia="Times New Roman" w:hAnsi="Times New Roman"/>
                <w:sz w:val="16"/>
                <w:szCs w:val="16"/>
                <w:color w:val="auto"/>
                <w:w w:val="99"/>
              </w:rPr>
              <w:t>Indefinite</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220,233</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220,233</w:t>
            </w:r>
          </w:p>
        </w:tc>
        <w:tc>
          <w:tcPr>
            <w:tcW w:w="0" w:type="dxa"/>
            <w:vAlign w:val="bottom"/>
          </w:tcPr>
          <w:p>
            <w:pPr>
              <w:spacing w:after="0"/>
              <w:rPr>
                <w:sz w:val="1"/>
                <w:szCs w:val="1"/>
                <w:color w:val="auto"/>
              </w:rPr>
            </w:pPr>
          </w:p>
        </w:tc>
      </w:tr>
      <w:tr>
        <w:trPr>
          <w:trHeight w:val="237"/>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OshKosh tradename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color w:val="auto"/>
                <w:w w:val="99"/>
              </w:rPr>
              <w:t>Indefinite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Skip Hop tradename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5"/>
            <w:shd w:val="clear" w:color="auto" w:fill="CCEEFF"/>
          </w:tcPr>
          <w:p>
            <w:pPr>
              <w:jc w:val="center"/>
              <w:ind w:right="560"/>
              <w:spacing w:after="0"/>
              <w:rPr>
                <w:sz w:val="20"/>
                <w:szCs w:val="20"/>
                <w:color w:val="auto"/>
              </w:rPr>
            </w:pPr>
            <w:r>
              <w:rPr>
                <w:rFonts w:ascii="Times New Roman" w:cs="Times New Roman" w:eastAsia="Times New Roman" w:hAnsi="Times New Roman"/>
                <w:sz w:val="16"/>
                <w:szCs w:val="16"/>
                <w:color w:val="auto"/>
                <w:w w:val="99"/>
              </w:rPr>
              <w:t>Indefinite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56,800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56,800</w:t>
            </w:r>
          </w:p>
        </w:tc>
        <w:tc>
          <w:tcPr>
            <w:tcW w:w="0" w:type="dxa"/>
            <w:vAlign w:val="bottom"/>
          </w:tcPr>
          <w:p>
            <w:pPr>
              <w:spacing w:after="0"/>
              <w:rPr>
                <w:sz w:val="1"/>
                <w:szCs w:val="1"/>
                <w:color w:val="auto"/>
              </w:rPr>
            </w:pPr>
          </w:p>
        </w:tc>
      </w:tr>
      <w:tr>
        <w:trPr>
          <w:trHeight w:val="237"/>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Finite-life tradenames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5"/>
          </w:tcPr>
          <w:p>
            <w:pPr>
              <w:jc w:val="center"/>
              <w:ind w:right="580"/>
              <w:spacing w:after="0"/>
              <w:rPr>
                <w:sz w:val="20"/>
                <w:szCs w:val="20"/>
                <w:color w:val="auto"/>
              </w:rPr>
            </w:pPr>
            <w:r>
              <w:rPr>
                <w:rFonts w:ascii="Times New Roman" w:cs="Times New Roman" w:eastAsia="Times New Roman" w:hAnsi="Times New Roman"/>
                <w:sz w:val="16"/>
                <w:szCs w:val="16"/>
                <w:color w:val="auto"/>
              </w:rPr>
              <w:t>5-20 years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3,221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tradenames, net</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366,444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365,754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Skip Hop customer relationships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 years</w:t>
            </w: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47,300</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42,614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Carter's Mexico customer relationships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10 years</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customer relationships, net</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50,589</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45,525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$45.9 million is assigned to the U.S. Wholesale segment, $82.0 million is assigned to the U.S. Retail segment, and $8.6 million is assigned to the International segment.</w:t>
      </w:r>
    </w:p>
    <w:p>
      <w:pPr>
        <w:spacing w:after="0" w:line="82"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for Canada (Bonnie Togs) is assigned to the International segment.</w:t>
      </w:r>
    </w:p>
    <w:p>
      <w:pPr>
        <w:spacing w:after="0" w:line="82"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$28.6 million is assigned to the U.S. Wholesale segment, $15.5 million is assigned to the International segment, and $1.9 million is assigned to the U.S. Retail segment.</w:t>
      </w:r>
    </w:p>
    <w:p>
      <w:pPr>
        <w:spacing w:after="0" w:line="82"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for Carter's Mexico is assigned to the International segment.</w:t>
      </w:r>
    </w:p>
    <w:p>
      <w:pPr>
        <w:spacing w:after="0" w:line="82"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quarter ended September 28, 2019 includes a tradename impairment charge of $30.8 million.</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33" w:right="2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Skip Hop business has experienced lower than expected actual and projected sales and profitability due to lower domestic demand, including the loss of a significant customer (Toys "R" Us), lower international demand and higher product costs primarily drive by tariffs imposed on products sourced from China. As a result, the Company conducted an interim impairment assessment on the value of the Company's indefinite-lived Skip Hop tradename asset that was recorded in connection with the acquisition of Skip Hop Holdings, Inc. in February 2017. The indefinite-lived tradename asset assessment was performed in accordance with Accounting Standards Codification ("ASC") 350, "Intangibles--Goodwill and Other" and was determined using a discounted cash flow analysis which examined the hypothetical cost savings that accrue as a result of our ownership of the tradename. Based on this assessment, a charge of $19.1 million, $10.5 million, and $1.2 million was recorded on our indefinite-lived Skip Hop tradename asset in the U.S. Wholesale, International, and U.S. Retail segments, respectively, to reflect the impairment of the value ascribed to the indefinite-lived Skip Hop tradename asset. The carrying value of the Company's indefinite-lived Skip Hop tradename asset after the impairment charge was $26.0 million.</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was approximately $0.9 million for both the third fiscal quarter ended September 28, 2019 and third fiscal quarter ended September 29, 2018. For both the first three quarters of fiscal 2019 and fiscal 2018, amortization expense was approximately $2.8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amortization expense for the next five fiscal years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33"/>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3,739</w:t>
            </w:r>
          </w:p>
        </w:tc>
      </w:tr>
      <w:tr>
        <w:trPr>
          <w:trHeight w:val="224"/>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3,739</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3,739</w:t>
            </w:r>
          </w:p>
        </w:tc>
      </w:tr>
      <w:tr>
        <w:trPr>
          <w:trHeight w:val="224"/>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3,697</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3,667</w:t>
            </w:r>
          </w:p>
        </w:tc>
      </w:tr>
      <w:tr>
        <w:trPr>
          <w:trHeight w:val="33"/>
        </w:trPr>
        <w:tc>
          <w:tcPr>
            <w:tcW w:w="9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Share Repurchases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total aggregate remaining capacity under outstanding repurchase authorizations as of September 28, 2019 was approximately $245.1 million, based on settled repurchase transactions. The authorizations have no expiration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and retired shares in open market transactions in the following amounts for the fiscal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00" w:type="dxa"/>
            <w:vAlign w:val="bottom"/>
          </w:tcPr>
          <w:p>
            <w:pPr>
              <w:spacing w:after="0"/>
              <w:rPr>
                <w:sz w:val="18"/>
                <w:szCs w:val="18"/>
                <w:color w:val="auto"/>
              </w:rPr>
            </w:pPr>
          </w:p>
        </w:tc>
        <w:tc>
          <w:tcPr>
            <w:tcW w:w="316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47"/>
        </w:trPr>
        <w:tc>
          <w:tcPr>
            <w:tcW w:w="47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31"/>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29, 2018</w:t>
            </w:r>
          </w:p>
        </w:tc>
        <w:tc>
          <w:tcPr>
            <w:tcW w:w="10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September 29, 2018</w:t>
            </w: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602,043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543,793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1,607,920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1,364,420</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Aggregate cost of shares repurchased (dollars in thousands)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55,021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56,401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147,464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145,493</w:t>
            </w: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Average price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103.72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106.63</w:t>
            </w:r>
          </w:p>
        </w:tc>
      </w:tr>
      <w:tr>
        <w:trPr>
          <w:trHeight w:val="33"/>
        </w:trPr>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fiscal and three fiscal quarters ended September 28, 2019, the Company declared and paid cash dividends per share of $0.50 and $1.50,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In the third fiscal and three fiscal quarters ended September 29, 2018, the Company declared and paid cash dividends per share of $0.45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 respectively. Future declarations of dividends and the establishment of future record and payment dates are at the discretion of the Company's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are based on a number of factors, including the Company's future financial performance and other investment priorities.</w:t>
      </w:r>
    </w:p>
    <w:p>
      <w:pPr>
        <w:spacing w:after="0" w:line="16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Provisions in the Company's secured revolving credit facility could have the effect of restricting the Company's ability to pay future cash dividends on, or make future repurchases of, its common stock, as described in the Company's Annual Report on Form 10-K for the 2018 fiscal year ended December 29, 2018.</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33" w:right="239" w:bottom="1440" w:gutter="0" w:footer="0" w:header="0"/>
        </w:sectPr>
      </w:pPr>
    </w:p>
    <w:bookmarkStart w:id="16" w:name="page17"/>
    <w:bookmarkEnd w:id="16"/>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LONG-TERM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29, 2018</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29, 2018</w:t>
            </w:r>
          </w:p>
        </w:tc>
      </w:tr>
      <w:tr>
        <w:trPr>
          <w:trHeight w:val="33"/>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notes at amounts repayable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unamortized issuance-related costs for senior notes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w:t>
            </w:r>
          </w:p>
        </w:tc>
      </w:tr>
      <w:tr>
        <w:trPr>
          <w:trHeight w:val="33"/>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Senior notes,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494,525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397,264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397,020</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401,000</w:t>
            </w:r>
          </w:p>
        </w:tc>
      </w:tr>
      <w:tr>
        <w:trPr>
          <w:trHeight w:val="33"/>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long-term debt,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769,525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798,020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28, 2019, the Company had $275.0 million in outstanding borrowings under its secured revolving credit facility, exclusive of $5.0 million of outstanding letters of credit. As of September 28, 2019, approximately $470.0 million remained available for future borrowing. All outstanding borrowings under the Company's secured revolving credit facility are classified as non-current liabilities on the Company's consolidated balance sheet because of the contractual repayment terms under the credit facility.</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September 28, 2019, the interest rate margins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13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September 28, 2019, U.S. dollar borrowings outstanding under the secured revolving credit facility accrued interest at a LIBOR rate plus the applicable margin, which resulted in a weighted-average borrowing rate of 3.41%. There were no Canadian dollar or other foreign currency borrowings outstanding on September 28, 2019.</w:t>
      </w:r>
    </w:p>
    <w:p>
      <w:pPr>
        <w:spacing w:after="0" w:line="136" w:lineRule="exact"/>
        <w:rPr>
          <w:sz w:val="20"/>
          <w:szCs w:val="20"/>
          <w:color w:val="auto"/>
        </w:rPr>
      </w:pPr>
    </w:p>
    <w:p>
      <w:pPr>
        <w:ind w:right="1200"/>
        <w:spacing w:after="0" w:line="399" w:lineRule="auto"/>
        <w:rPr>
          <w:sz w:val="20"/>
          <w:szCs w:val="20"/>
          <w:color w:val="auto"/>
        </w:rPr>
      </w:pPr>
      <w:r>
        <w:rPr>
          <w:rFonts w:ascii="Times New Roman" w:cs="Times New Roman" w:eastAsia="Times New Roman" w:hAnsi="Times New Roman"/>
          <w:sz w:val="18"/>
          <w:szCs w:val="18"/>
          <w:color w:val="auto"/>
        </w:rPr>
        <w:t xml:space="preserve">As of September 28, 2019, the Company was in compliance with the financial and other covenants under the secured revolving credit facility. </w:t>
      </w:r>
      <w:r>
        <w:rPr>
          <w:rFonts w:ascii="Times New Roman" w:cs="Times New Roman" w:eastAsia="Times New Roman" w:hAnsi="Times New Roman"/>
          <w:sz w:val="18"/>
          <w:szCs w:val="18"/>
          <w:b w:val="1"/>
          <w:bCs w:val="1"/>
          <w:color w:val="auto"/>
        </w:rPr>
        <w:t>Senior Notes</w:t>
      </w:r>
    </w:p>
    <w:p>
      <w:pPr>
        <w:spacing w:after="0" w:line="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March 14, 2019, the Company's wholly-owned subsidiary, The William Carter Company ("TWCC"), redeemed $400 million principal amount of senior notes, bearing interest at a rate of 5.25% per annum, and maturing on August 15, 2021, pursuant to the optional redemption provisions of the notes, which required that TWCC pay the outstanding principal plus accrued interest and an early redemption premium of 1.31% of the outstanding principal amounts of the senior notes. This debt redemption resulted in a loss on extinguishment of debt of $7.8 million, consisting of $5.2 million of early redemption premiums and $2.6 million of unamortized debt issuance costs.</w:t>
      </w:r>
    </w:p>
    <w:p>
      <w:pPr>
        <w:spacing w:after="0" w:line="1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Concurrently, TWCC issued $500 million principal amount of senior notes at par, bearing interest at a rate of 5.625% per annum, and maturing on March 15, 2027, all of which were outstanding as of September 28, 2019. TWCC received net proceeds from the offering of the senior notes of approximately $494.8 million, after deducting underwriting fees and other expenses, which TWCC used to redeem the senior notes discussed above and repay borrowings outstanding under the Company's secured revolving credit facility. As of September 28, 2019, approximately $5.8 million, including both bank fees and other third party expenses, has been capitalized in connection with the issuance and is being amortized over the term of the senior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33" w:right="239" w:bottom="1440" w:gutter="0" w:footer="0" w:header="0"/>
        </w:sectPr>
      </w:pPr>
    </w:p>
    <w:bookmarkStart w:id="17" w:name="page18"/>
    <w:bookmarkEnd w:id="17"/>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5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2018</w:t>
            </w:r>
          </w:p>
        </w:tc>
        <w:tc>
          <w:tcPr>
            <w:tcW w:w="16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60" w:type="dxa"/>
            <w:vAlign w:val="bottom"/>
          </w:tcPr>
          <w:p>
            <w:pPr>
              <w:spacing w:after="0"/>
              <w:rPr>
                <w:sz w:val="20"/>
                <w:szCs w:val="20"/>
                <w:color w:val="auto"/>
              </w:rPr>
            </w:pP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29, 2018</w:t>
            </w: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3,604</w:t>
            </w: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Time-based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5,989</w:t>
            </w:r>
          </w:p>
        </w:tc>
      </w:tr>
      <w:tr>
        <w:trPr>
          <w:trHeight w:val="237"/>
        </w:trPr>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Performance-based awards</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1,314</w:t>
            </w: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 awards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1,203</w:t>
            </w:r>
          </w:p>
        </w:tc>
      </w:tr>
      <w:tr>
        <w:trPr>
          <w:trHeight w:val="244"/>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3,733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13,540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12,110</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 ratably over the applicable performance periods based on the estimated probability of achievement of its performance targets at the end of each period. During the third fiscal quarter of 2019, the achievement of performance target estimates related to certain performance-based grants were revised resulting in a $0.5 million reduction to stock compensation expense.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September 28, 2019, the Company had gross unrecognized income tax benefits of approximately $14.4 million, of which $12.3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3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Included in the reserves for unrecognized tax benefits at September 28, 2019 is approximately $2.2 million of reserves for which the statute of limitations is expected to expire within the next fiscal year. If these tax benefits are ultimately recognized, such recognition, net of federal income taxes, may affect the annual effective income tax rate for fiscal 2019 or fiscal 2020 along with the effective income tax rate in the quarter in which the benefits are recognized.</w:t>
      </w:r>
    </w:p>
    <w:p>
      <w:pPr>
        <w:spacing w:after="0" w:line="13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as a component of interest expense and recognizes penalties related to unrecognized income tax benefits as a component of income tax expense. During the third fiscal quarters ended September 28, 2019 and September 29, 2018, interest expense recorded on uncertain tax positions was not material. During the first three quarters of fiscal 2019, interest expense recorded on uncertain tax positions was $0.7 million, and during the first three quarters of fiscal 2018, interest expense recorded on uncertain tax positions was not material. The Company had approximately $2.5 million, $1.8 million, and $1.9 million of interest accrued on uncertain tax positions as of September 28, 2019, December 29, 2018, and September 29, 2018,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$18.2 million, $15.7 million, and $17.6 million at September 28, 2019, December 29, 2018, and September 29, 2018, respectively. These investments are classified as Level 1 within the fair value hierarchy. Gains on the investments in marketable securities were $0.9 million and $2.5 million for the third fiscal quarter and the three fiscal quarters ended September 28, 2019, respectively, and were $0.7 million and $0.9 million for the third fiscal quarter and the three fiscal quarters ended September 29, 2018, respectively.These amounts are included in Other expense (income), net on the Company's consolidated statement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28, 2019, the fair value of the Company's $275.0 million in outstanding borrowings under its secured revolving credit facility approximated the carrying value.</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fair value of the Company's senior notes at September 28, 2019 was approximately $536.0 million. The fair value of these senior notes with a notional value and carrying value (gross of debt cost) of $500 million was estimated using a quoted price as provided in the secondary market, which considers the Company's credit risk and market related conditions, and is therefore within Level 2 of the fair value hierarchy.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33" w:right="239" w:bottom="1440" w:gutter="0" w:footer="0" w:header="0"/>
        </w:sectPr>
      </w:pPr>
    </w:p>
    <w:bookmarkStart w:id="18" w:name="page19"/>
    <w:bookmarkEnd w:id="18"/>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tested annually or if a triggering event occurs that indicates an impairment loss may have been incurred using fair value measurements with unobservable inputs (Level 3).</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Company’s Skip Hop business has experienced lower than expected actual and projected sales and profitability due to lower domestic demand, including the loss of a significant customer (Toys “R” Us), lower international demand and higher product costs primarily driven by tariffs imposed on products sourced from China. As a result, the Company conducted an interim impairment assessment on the value of the Company's indefinite-lived Skip Hop tradename asset that was recorded in connection with the acquisition of Skip Hop Holdings, Inc. in February 2017. Based on this assessment, a charge of $19.1 million, $10.5 million, and $1.2 million was recorded on our indefinite-lived Skip Hop tradename asset in the U.S. Wholesale, International, and U.S. Retail segments, respectively, to reflect the impairment of the value ascribed to the indefinite-lived Skip Hop tradename asset. The carrying value of the Company's indefinite-lived Skip Hop tradename asset after the impairment charge was $26.0 million. See Note 6, </w:t>
      </w:r>
      <w:r>
        <w:rPr>
          <w:rFonts w:ascii="Times New Roman" w:cs="Times New Roman" w:eastAsia="Times New Roman" w:hAnsi="Times New Roman"/>
          <w:sz w:val="18"/>
          <w:szCs w:val="18"/>
          <w:i w:val="1"/>
          <w:iCs w:val="1"/>
          <w:color w:val="auto"/>
        </w:rPr>
        <w:t>Goodwill and Intangibles</w:t>
      </w:r>
      <w:r>
        <w:rPr>
          <w:rFonts w:ascii="Times New Roman" w:cs="Times New Roman" w:eastAsia="Times New Roman" w:hAnsi="Times New Roman"/>
          <w:sz w:val="18"/>
          <w:szCs w:val="18"/>
          <w:color w:val="auto"/>
        </w:rPr>
        <w:t>, for further details on the impairment charge and valuation methodologies.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40" w:type="dxa"/>
            <w:vAlign w:val="bottom"/>
          </w:tcPr>
          <w:p>
            <w:pPr>
              <w:spacing w:after="0"/>
              <w:rPr>
                <w:sz w:val="19"/>
                <w:szCs w:val="19"/>
                <w:color w:val="auto"/>
              </w:rPr>
            </w:pPr>
          </w:p>
        </w:tc>
        <w:tc>
          <w:tcPr>
            <w:tcW w:w="266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7"/>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w:t>
            </w: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w:t>
            </w:r>
          </w:p>
        </w:tc>
        <w:tc>
          <w:tcPr>
            <w:tcW w:w="16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29,</w:t>
            </w:r>
          </w:p>
        </w:tc>
      </w:tr>
      <w:tr>
        <w:trPr>
          <w:trHeight w:val="212"/>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number of common and common equivalent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44,144,135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45,990,039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44,640,413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46,399,746</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287,904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490,283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302,832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538,422</w:t>
            </w:r>
          </w:p>
        </w:tc>
      </w:tr>
      <w:tr>
        <w:trPr>
          <w:trHeight w:val="284"/>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Diluted number of common and common equivalent shares outstanding</w:t>
            </w:r>
          </w:p>
        </w:tc>
        <w:tc>
          <w:tcPr>
            <w:tcW w:w="1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44,432,039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46,480,322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44,943,245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46,938,168</w:t>
            </w:r>
          </w:p>
        </w:tc>
      </w:tr>
      <w:tr>
        <w:trPr>
          <w:trHeight w:val="203"/>
        </w:trPr>
        <w:tc>
          <w:tcPr>
            <w:tcW w:w="5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net income per common share (in thousands, except per share data):</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60,252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71,770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151,506</w:t>
            </w:r>
          </w:p>
        </w:tc>
      </w:tr>
      <w:tr>
        <w:trPr>
          <w:trHeight w:val="237"/>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150,364</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net income per common share (in thousands, except per share data):</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60,252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71,770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138,655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151,506</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r>
      <w:tr>
        <w:trPr>
          <w:trHeight w:val="284"/>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59,689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71,234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137,416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150,372</w:t>
            </w:r>
          </w:p>
        </w:tc>
      </w:tr>
      <w:tr>
        <w:trPr>
          <w:trHeight w:val="203"/>
        </w:trPr>
        <w:tc>
          <w:tcPr>
            <w:tcW w:w="5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56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31"/>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Anti-dilutive awards excluded from diluted earnings per share computation</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691,707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326,129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505,642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266,646</w:t>
            </w: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33" w:right="239" w:bottom="1440" w:gutter="0" w:footer="0" w:header="0"/>
        </w:sectPr>
      </w:pPr>
    </w:p>
    <w:bookmarkStart w:id="19" w:name="page20"/>
    <w:bookmarkEnd w:id="19"/>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CURRENT AND LONG-TERM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that exceeded five percent of total current liabilities, at the end of any comparable period,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29, 2018</w:t>
            </w:r>
          </w:p>
        </w:tc>
        <w:tc>
          <w:tcPr>
            <w:tcW w:w="16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29, 2018</w:t>
            </w:r>
          </w:p>
        </w:tc>
      </w:tr>
      <w:tr>
        <w:trPr>
          <w:trHeight w:val="33"/>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26,909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21,124</w:t>
            </w: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180" w:type="dxa"/>
            <w:vAlign w:val="bottom"/>
          </w:tcPr>
          <w:p>
            <w:pPr>
              <w:spacing w:after="0"/>
              <w:rPr>
                <w:sz w:val="20"/>
                <w:szCs w:val="20"/>
                <w:color w:val="auto"/>
              </w:rPr>
            </w:pPr>
          </w:p>
        </w:tc>
        <w:tc>
          <w:tcPr>
            <w:tcW w:w="1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12,509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13,987</w:t>
            </w:r>
          </w:p>
        </w:tc>
      </w:tr>
      <w:tr>
        <w:trPr>
          <w:trHeight w:val="33"/>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and deferred rent</w:t>
            </w: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19,137</w:t>
            </w:r>
          </w:p>
        </w:tc>
      </w:tr>
      <w:tr>
        <w:trPr>
          <w:trHeight w:val="33"/>
        </w:trPr>
        <w:tc>
          <w:tcPr>
            <w:tcW w:w="5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that exceeded five percent of total liabilities, at the end of any comparable period,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29, 2018</w:t>
            </w:r>
          </w:p>
        </w:tc>
        <w:tc>
          <w:tcPr>
            <w:tcW w:w="16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29, 2018</w:t>
            </w:r>
          </w:p>
        </w:tc>
      </w:tr>
      <w:tr>
        <w:trPr>
          <w:trHeight w:val="33"/>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lease incentives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72,345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75,331</w:t>
            </w:r>
          </w:p>
        </w:tc>
      </w:tr>
      <w:tr>
        <w:trPr>
          <w:trHeight w:val="33"/>
        </w:trPr>
        <w:tc>
          <w:tcPr>
            <w:tcW w:w="5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contractual obligations and commitments also include obligations associated with leases, the secured revolving credit agreement, senior notes, employee benefit plans, and facility consolidations/closures as disclosed elsewhere in the notes to the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information for our reportable segments and unallocated corporate expenses for the periods indicated: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11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7"/>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11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12"/>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Net Sales</w:t>
            </w: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Net Sales</w:t>
            </w: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1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37"/>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U.S. Retail</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464,100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459,101</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1,264,283</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1,244,863</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Wholesale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352,256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338,963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856,713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829,272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37"/>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126,966</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125,843</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297,768</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301,755</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943,322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923,907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2,418,764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2,375,890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Segment</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78"/>
        </w:trPr>
        <w:tc>
          <w:tcPr>
            <w:tcW w:w="1460" w:type="dxa"/>
            <w:vAlign w:val="bottom"/>
            <w:gridSpan w:val="3"/>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ind w:right="19"/>
              <w:spacing w:after="0" w:line="178" w:lineRule="exact"/>
              <w:rPr>
                <w:sz w:val="20"/>
                <w:szCs w:val="20"/>
                <w:color w:val="auto"/>
              </w:rPr>
            </w:pPr>
            <w:r>
              <w:rPr>
                <w:rFonts w:ascii="Times New Roman" w:cs="Times New Roman" w:eastAsia="Times New Roman" w:hAnsi="Times New Roman"/>
                <w:sz w:val="16"/>
                <w:szCs w:val="16"/>
                <w:b w:val="1"/>
                <w:bCs w:val="1"/>
                <w:color w:val="auto"/>
                <w:w w:val="98"/>
              </w:rPr>
              <w:t>Net Sales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Retail</w:t>
            </w:r>
            <w:r>
              <w:rPr>
                <w:rFonts w:ascii="Times New Roman" w:cs="Times New Roman" w:eastAsia="Times New Roman" w:hAnsi="Times New Roman"/>
                <w:sz w:val="21"/>
                <w:szCs w:val="21"/>
                <w:color w:val="auto"/>
                <w:vertAlign w:val="superscript"/>
              </w:rPr>
              <w:t>(1)(2)(8)</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49,472</w:t>
            </w:r>
          </w:p>
        </w:tc>
        <w:tc>
          <w:tcPr>
            <w:tcW w:w="1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47,139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124,567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122,086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70"/>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U.S. Wholesale</w:t>
            </w:r>
            <w:r>
              <w:rPr>
                <w:rFonts w:ascii="Times New Roman" w:cs="Times New Roman" w:eastAsia="Times New Roman" w:hAnsi="Times New Roman"/>
                <w:sz w:val="21"/>
                <w:szCs w:val="21"/>
                <w:color w:val="auto"/>
                <w:vertAlign w:val="superscript"/>
              </w:rPr>
              <w:t>(3)(8)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54,391</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3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67,785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145,181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148,395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70"/>
        </w:trPr>
        <w:tc>
          <w:tcPr>
            <w:tcW w:w="1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(4)(7)(8)</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6,136</w:t>
            </w:r>
          </w:p>
        </w:tc>
        <w:tc>
          <w:tcPr>
            <w:tcW w:w="1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12,434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15,351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20,508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6"/>
        </w:trPr>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6"/>
                <w:szCs w:val="16"/>
                <w:color w:val="auto"/>
              </w:rPr>
              <w:t>expenses</w:t>
            </w:r>
            <w:r>
              <w:rPr>
                <w:rFonts w:ascii="Times New Roman" w:cs="Times New Roman" w:eastAsia="Times New Roman" w:hAnsi="Times New Roman"/>
                <w:sz w:val="21"/>
                <w:szCs w:val="21"/>
                <w:color w:val="auto"/>
                <w:vertAlign w:val="superscript"/>
              </w:rPr>
              <w:t>(5)(6)</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(26,129)</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(23,801)</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(75,994)</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(70,152)</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w:t>
            </w: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83,870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103,557</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209,105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220,837</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fiscal quarters ended September 28, 2019 includes a $0.7 million reversal of retail store restructuring costs previously recorded during the third quarter of fiscal 2017.</w:t>
      </w:r>
    </w:p>
    <w:p>
      <w:pPr>
        <w:spacing w:after="0" w:line="82"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fiscal quarters ended September 29, 2018 includes insurance recovery of approximately $0.4 million associated with storm-related store closures.</w:t>
      </w:r>
    </w:p>
    <w:p>
      <w:pPr>
        <w:spacing w:after="0" w:line="82"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fiscal quarters ended September 29, 2018 includes approximately $12.8 million of charges related to a customer bankruptcy.</w:t>
      </w:r>
    </w:p>
    <w:p>
      <w:pPr>
        <w:spacing w:after="0" w:line="82"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fiscal quarters ended September 28, 2019 includes a benefit of $2.1 million related to sale of inventory previously reserved in China.</w:t>
      </w:r>
    </w:p>
    <w:p>
      <w:pPr>
        <w:spacing w:after="0" w:line="82"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fiscal quarters ended September 28, 2019 includes $1.6 million in charges related to organizational restructuring.</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3" w:right="2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ind w:left="500" w:hanging="492"/>
        <w:spacing w:after="0" w:line="282"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26" w:lineRule="exact"/>
        <w:rPr>
          <w:rFonts w:ascii="Times New Roman" w:cs="Times New Roman" w:eastAsia="Times New Roman" w:hAnsi="Times New Roman"/>
          <w:sz w:val="14"/>
          <w:szCs w:val="14"/>
          <w:color w:val="auto"/>
        </w:rPr>
      </w:pPr>
    </w:p>
    <w:p>
      <w:pPr>
        <w:ind w:left="500" w:right="240" w:hanging="492"/>
        <w:spacing w:after="0" w:line="282"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quarter and three fiscal quarters ended September 29, 2018 include approximately $3.5 million in costs associated with changes to the Company's business model in China, which includes inventory and severance charges.</w:t>
      </w:r>
    </w:p>
    <w:p>
      <w:pPr>
        <w:spacing w:after="0" w:line="26" w:lineRule="exact"/>
        <w:rPr>
          <w:rFonts w:ascii="Times New Roman" w:cs="Times New Roman" w:eastAsia="Times New Roman" w:hAnsi="Times New Roman"/>
          <w:sz w:val="14"/>
          <w:szCs w:val="14"/>
          <w:color w:val="auto"/>
        </w:rPr>
      </w:pPr>
    </w:p>
    <w:p>
      <w:pPr>
        <w:ind w:left="500" w:right="180" w:hanging="492"/>
        <w:spacing w:after="0" w:line="282"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quarter and three fiscal quarters ended September 28, 2019 include an impairment of the Company's indefinite-lived Skip Hop tradename asset of $19.1 million, $10.5 million, and $1.2 million recorded to the U.S. Wholesale, International, and U.S. Retail segments, respectively.</w:t>
      </w:r>
    </w:p>
    <w:p>
      <w:pPr>
        <w:spacing w:after="0" w:line="122" w:lineRule="exact"/>
        <w:rPr>
          <w:sz w:val="20"/>
          <w:szCs w:val="20"/>
          <w:color w:val="auto"/>
        </w:rPr>
      </w:pPr>
    </w:p>
    <w:p>
      <w:pPr>
        <w:ind w:right="4380"/>
        <w:spacing w:after="0" w:line="345" w:lineRule="auto"/>
        <w:rPr>
          <w:sz w:val="20"/>
          <w:szCs w:val="20"/>
          <w:color w:val="auto"/>
        </w:rPr>
      </w:pPr>
      <w:r>
        <w:rPr>
          <w:rFonts w:ascii="Times New Roman" w:cs="Times New Roman" w:eastAsia="Times New Roman" w:hAnsi="Times New Roman"/>
          <w:sz w:val="18"/>
          <w:szCs w:val="18"/>
          <w:b w:val="1"/>
          <w:bCs w:val="1"/>
          <w:color w:val="auto"/>
        </w:rPr>
        <w:t>NOTE 16 – PENDING ADOPTION OF RECENT ACCOUNTING PRONOUNCEMENTS Credit Losses (ASU 2016-13)</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("ASU 2016-13")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will be effective for the Company at the beginning of fiscal 2020 with early adoption permitted for fiscal 2019, including interim periods therein. The standard will require entities to record a cumulative-effect adjustment to the balance sheet as of the beginning of the first reporting period in which the guidance is effective. The Company is currently evaluating the impact that ASU 2016-13 may have on the timing of recognizing future provisions for expected losses on the Company's accounts receivable.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 Testing (ASU 2017-04)</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("ASU 2017-04")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affected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the Company will be effective for annual and interim impairment tests performed beginning in fiscal 2020.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333"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2019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and a leading baby and young child lifestyle brand,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Established in 1865,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recognized and trusted by consumers for high-quality apparel for children in sizes newborn to 14 and accessories.</w:t>
      </w:r>
    </w:p>
    <w:p>
      <w:pPr>
        <w:spacing w:after="0" w:line="185"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1895,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is a well-known brand, trusted by consumers for apparel for children in sizes newborn to 14, with a focus on playclothes for toddlers and young children, and accessories.</w:t>
      </w:r>
    </w:p>
    <w:p>
      <w:pPr>
        <w:spacing w:after="0" w:line="11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2003, the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re-thinks, re-energizes, and re-imagines durable childhood necessities to create higher value, superior quality, and top-performance goods for parents, babies, and toddlers. We acquired the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in February 2017.</w:t>
      </w:r>
    </w:p>
    <w:p>
      <w:pPr>
        <w:spacing w:after="0" w:line="12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vision is to be the leader in baby and young children's apparel and accessories, and to consistently provide high-quality products at a compelling value to consumers. Our multi-channel, global business model - which includes retail stores, eCommerce and wholesale channels - enables us to reach a broad range of consumers around the world. We have extensive experience in the young children's apparel and accessories market and focus on delivering products that satisfy our consumers' needs.</w:t>
      </w:r>
    </w:p>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2018 fiscal year ended December 29, 2018.</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three segments we use to manage and evaluate our performance are: U.S. Retail, U.S. Wholesale, and International. These segments are our operating and reporting segments. Our U.S. Retail segment consists of revenue primarily from sales of products in the United States through our retail and online stores. Similarly, our U.S. Wholesale segment consists of revenue primarily from sales in the United States of products to our wholesale customers. Finally, our International segment consists of revenue primarily from sales of products outside the United States, largely through our retail stores in Canada and Mexico, our eCommerce site in Canada, and sales to our international wholesale customers and licensees.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60" w:right="239" w:bottom="1440" w:gutter="0" w:footer="0" w:header="0"/>
        </w:sectPr>
      </w:pPr>
    </w:p>
    <w:bookmarkStart w:id="22" w:name="page23"/>
    <w:bookmarkEnd w:id="2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selected statement of operations data expressed as a percentage of consolidated net sales: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700" w:type="dxa"/>
            <w:vAlign w:val="bottom"/>
            <w:gridSpan w:val="4"/>
          </w:tcPr>
          <w:p>
            <w:pPr>
              <w:ind w:left="11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3600" w:type="dxa"/>
            <w:vAlign w:val="bottom"/>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29, 2018</w:t>
            </w: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29, 2018</w:t>
            </w: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69"/>
        </w:trPr>
        <w:tc>
          <w:tcPr>
            <w:tcW w:w="4120" w:type="dxa"/>
            <w:vAlign w:val="bottom"/>
            <w:gridSpan w:val="3"/>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348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r>
      <w:tr>
        <w:trPr>
          <w:trHeight w:val="237"/>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U.S. Retail</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Wholesale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37"/>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0"/>
        </w:trPr>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7"/>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Consolidated net sales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37"/>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Royalty income</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37"/>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0"/>
        </w:trPr>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7"/>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86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n/m</w:t>
            </w:r>
          </w:p>
        </w:tc>
        <w:tc>
          <w:tcPr>
            <w:tcW w:w="184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n/m</w:t>
            </w:r>
          </w:p>
        </w:tc>
        <w:tc>
          <w:tcPr>
            <w:tcW w:w="186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n/m</w:t>
            </w:r>
          </w:p>
        </w:tc>
        <w:tc>
          <w:tcPr>
            <w:tcW w:w="1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60" w:type="dxa"/>
            <w:vAlign w:val="bottom"/>
            <w:tcBorders>
              <w:bottom w:val="single" w:sz="8" w:color="CCEEFF"/>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n/m</w:t>
            </w:r>
          </w:p>
        </w:tc>
        <w:tc>
          <w:tcPr>
            <w:tcW w:w="184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n/m</w:t>
            </w:r>
          </w:p>
        </w:tc>
        <w:tc>
          <w:tcPr>
            <w:tcW w:w="1860" w:type="dxa"/>
            <w:vAlign w:val="bottom"/>
            <w:tcBorders>
              <w:bottom w:val="single" w:sz="8" w:color="CCEEFF"/>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n/m</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n/m</w:t>
            </w:r>
          </w:p>
        </w:tc>
      </w:tr>
      <w:tr>
        <w:trPr>
          <w:trHeight w:val="237"/>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0"/>
        </w:trPr>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7"/>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44"/>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Results may not be additive due to rounding.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Retail Sales Metrics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management's discussion and analysis includes comparable sales metrics for our company-owned retail stores and our eCommerce sites in our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International segments.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method of calculating comparable sales may not be the same as that of other retailers, as methods vary across the retail industry.</w:t>
      </w:r>
    </w:p>
    <w:p>
      <w:pPr>
        <w:spacing w:after="0" w:line="18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THIRD FISCAL QUARTER AND THREE FISCAL QUARTERS ENDED SEPTEMBER 28, 2019 COMPARED TO THIRD FISCAL QUARTER AND THREE FISCAL QUARTERS ENDED SEPTEMBER 29, 2018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third quarter of fiscal 2019, consolidated net sales increased $19.4 million, or 2.1%, to $943.3 million from $923.9 million in the third quarter of fiscal 2018. For the first three quarters of fiscal 2019, consolidated net sales increased $42.9 million, or 1.8%, to $2.42 billion from $2.38 billion in the first three quarters of fiscal 2018. The increases for the fiscal quarter and year-to-date periods in fiscal 2019 were primarily driven by growth in our U.S. Retail and U.S. Wholesale segments. Changes in foreign currency exchange rates used for translation in the third quarter and first three quarters of fiscal 2019, as compared to the third quarter and first three quarters of fiscal 2018, had an unfavorable effect on our consolidated net sales of approximately $1.3 million and $6.4 million, respectively.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3" w:right="239" w:bottom="1440" w:gutter="0" w:footer="0" w:header="0"/>
        </w:sectPr>
      </w:pPr>
    </w:p>
    <w:bookmarkStart w:id="23" w:name="page24"/>
    <w:bookmarkEnd w:id="2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segment, and each segment's percentage of consolidated net sales,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840" w:type="dxa"/>
            <w:vAlign w:val="bottom"/>
          </w:tcPr>
          <w:p>
            <w:pPr>
              <w:spacing w:after="0"/>
              <w:rPr>
                <w:sz w:val="18"/>
                <w:szCs w:val="18"/>
                <w:color w:val="auto"/>
              </w:rPr>
            </w:pPr>
          </w:p>
        </w:tc>
      </w:tr>
      <w:tr>
        <w:trPr>
          <w:trHeight w:val="47"/>
        </w:trPr>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07"/>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28,</w:t>
            </w:r>
          </w:p>
        </w:tc>
        <w:tc>
          <w:tcPr>
            <w:tcW w:w="10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12"/>
        </w:trPr>
        <w:tc>
          <w:tcPr>
            <w:tcW w:w="1920" w:type="dxa"/>
            <w:vAlign w:val="bottom"/>
            <w:gridSpan w:val="3"/>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1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r>
      <w:tr>
        <w:trPr>
          <w:trHeight w:val="237"/>
        </w:trPr>
        <w:tc>
          <w:tcPr>
            <w:tcW w:w="1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U.S. 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464,100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459,101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1,264,283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1,244,863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Wholesale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352,256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338,963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856,713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829,272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37"/>
        </w:trPr>
        <w:tc>
          <w:tcPr>
            <w:tcW w:w="1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126,966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125,843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297,768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301,755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943,322</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923,907</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2,418,764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2,375,890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be additive due to rounding.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 Sales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Count Data for Company-Operated Retail Stores in our U.S. Retail segment</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740" w:type="dxa"/>
            <w:vAlign w:val="bottom"/>
            <w:gridSpan w:val="3"/>
          </w:tcPr>
          <w:p>
            <w:pPr>
              <w:ind w:left="1460"/>
              <w:spacing w:after="0"/>
              <w:rPr>
                <w:sz w:val="20"/>
                <w:szCs w:val="20"/>
                <w:color w:val="auto"/>
              </w:rPr>
            </w:pPr>
            <w:r>
              <w:rPr>
                <w:rFonts w:ascii="Times New Roman" w:cs="Times New Roman" w:eastAsia="Times New Roman" w:hAnsi="Times New Roman"/>
                <w:sz w:val="16"/>
                <w:szCs w:val="16"/>
                <w:b w:val="1"/>
                <w:bCs w:val="1"/>
                <w:color w:val="auto"/>
              </w:rPr>
              <w:t>Store Count</w:t>
            </w:r>
          </w:p>
        </w:tc>
      </w:tr>
      <w:tr>
        <w:trPr>
          <w:trHeight w:val="3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8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December 29, 2018</w:t>
            </w:r>
          </w:p>
        </w:tc>
      </w:tr>
      <w:tr>
        <w:trPr>
          <w:trHeight w:val="48"/>
        </w:trPr>
        <w:tc>
          <w:tcPr>
            <w:tcW w:w="2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CCEEFF"/>
            </w:tcBorders>
          </w:tcPr>
          <w:p>
            <w:pPr>
              <w:spacing w:after="0"/>
              <w:rPr>
                <w:sz w:val="4"/>
                <w:szCs w:val="4"/>
                <w:color w:val="auto"/>
              </w:rPr>
            </w:pPr>
          </w:p>
        </w:tc>
        <w:tc>
          <w:tcPr>
            <w:tcW w:w="708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844</w:t>
            </w:r>
            <w:r>
              <w:rPr>
                <w:rFonts w:ascii="Times New Roman" w:cs="Times New Roman" w:eastAsia="Times New Roman" w:hAnsi="Times New Roman"/>
                <w:sz w:val="10"/>
                <w:szCs w:val="10"/>
                <w:color w:val="auto"/>
              </w:rPr>
              <w:t>(*)</w:t>
            </w:r>
          </w:p>
        </w:tc>
      </w:tr>
    </w:tbl>
    <w:p>
      <w:pPr>
        <w:spacing w:after="0" w:line="3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five temporary Skip Hop stores that were closed in January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Net Sales for our U.S. Retail segment</w:t>
      </w:r>
    </w:p>
    <w:p>
      <w:pPr>
        <w:spacing w:after="0" w:line="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Comparable retail net sales decreased 0.6% during the third quarter and 0.1% during the first three quarters of fiscal 2019 compared to the corresponding periods in fiscal 2018.</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Compared to the third quarter of fiscal 2018, we believe comparable retail net sales were negatively affected in the third quarter of fiscal 2019 by reduced overall demand primarily due to persistent warm weather particularly in September 2019, partially offset by increased traffic to our eCommerce website.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Compared to the first three quarters of fiscal 2018, we believe comparable retail net sales were negatively affected in the first three quarters of fiscal 2019 by the liquidation of a competitor in the first fiscal quarter of 2019, weaker demand from international consumers primarily due to the stronger U.S. dollar, and reduced overall demand to our retail stores primarily due to unseasonable temperatures during seasonal transitions, all partially offset by increased traffic to our eCommerce website.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Results</w:t>
      </w:r>
    </w:p>
    <w:p>
      <w:pPr>
        <w:spacing w:after="0" w:line="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U.S. Retail segment net sales increased approximately $5.0 million, or 1.1%, in the third quarter of fiscal 2019 to $464.1 million from $459.1 million in the third quarter of fiscal 2018. This increase in net sales primarily reflected a/an:</w:t>
      </w:r>
    </w:p>
    <w:p>
      <w:pPr>
        <w:spacing w:after="0" w:line="2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$14.0 million from eCommerce sales, primarily as a result of increased traffic;</w:t>
      </w:r>
    </w:p>
    <w:p>
      <w:pPr>
        <w:spacing w:after="0" w:line="27" w:lineRule="exact"/>
        <w:rPr>
          <w:rFonts w:ascii="Times New Roman" w:cs="Times New Roman" w:eastAsia="Times New Roman" w:hAnsi="Times New Roman"/>
          <w:sz w:val="18"/>
          <w:szCs w:val="18"/>
          <w:color w:val="auto"/>
        </w:rPr>
      </w:pPr>
    </w:p>
    <w:p>
      <w:pPr>
        <w:ind w:left="980" w:right="40" w:hanging="648"/>
        <w:spacing w:after="0" w:line="250" w:lineRule="auto"/>
        <w:tabs>
          <w:tab w:leader="none" w:pos="6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$13.3 million from new retail stores that are not yet comparable, and from certain other non-comparable revenues and adjustments to revenue that are related to the Company's new private label credit card program and updated customer loyalty program that were launched in the second quarter of fiscal 2019;</w:t>
      </w:r>
    </w:p>
    <w:p>
      <w:pPr>
        <w:spacing w:after="0" w:line="1" w:lineRule="exact"/>
        <w:rPr>
          <w:rFonts w:ascii="Times New Roman" w:cs="Times New Roman" w:eastAsia="Times New Roman" w:hAnsi="Times New Roman"/>
          <w:sz w:val="18"/>
          <w:szCs w:val="18"/>
          <w:color w:val="auto"/>
        </w:rPr>
      </w:pPr>
    </w:p>
    <w:p>
      <w:pPr>
        <w:ind w:left="980" w:right="600" w:hanging="648"/>
        <w:spacing w:after="0" w:line="250" w:lineRule="auto"/>
        <w:tabs>
          <w:tab w:leader="none" w:pos="6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$15.5 million in comparable retail store sales, primarily as a result of reduced traffic, which we believe was influenced in part by persistent warm weather;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$6.8 million due to the effect of store closings.</w:t>
      </w:r>
    </w:p>
    <w:p>
      <w:pPr>
        <w:spacing w:after="0" w:line="16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U.S. Retail segment net sales increased approximately $19.4 million, or 1.6%, in the first three quarters of fiscal 2019 to $1.26 billion from $1.24 billion in the first three quarters of fiscal 2018. This increase in net sales primarily reflected a/an:</w:t>
      </w:r>
    </w:p>
    <w:p>
      <w:pPr>
        <w:spacing w:after="0" w:line="27" w:lineRule="exact"/>
        <w:rPr>
          <w:sz w:val="20"/>
          <w:szCs w:val="20"/>
          <w:color w:val="auto"/>
        </w:rPr>
      </w:pPr>
    </w:p>
    <w:p>
      <w:pPr>
        <w:ind w:left="980" w:right="40" w:hanging="648"/>
        <w:spacing w:after="0" w:line="257" w:lineRule="auto"/>
        <w:tabs>
          <w:tab w:leader="none" w:pos="6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$40.5 million from new retail stores that are not yet comparable, and from certain other non-comparable revenues and adjustments to revenue that are related to the Company's new private label credit card program and updated customer loyalty program that were launched in the second quarter of fiscal 2019;</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$26.1 million from eCommerce sales, primarily as a result of increased traffic;</w:t>
      </w:r>
    </w:p>
    <w:p>
      <w:pPr>
        <w:spacing w:after="0" w:line="9" w:lineRule="exact"/>
        <w:rPr>
          <w:rFonts w:ascii="Times New Roman" w:cs="Times New Roman" w:eastAsia="Times New Roman" w:hAnsi="Times New Roman"/>
          <w:sz w:val="18"/>
          <w:szCs w:val="18"/>
          <w:color w:val="auto"/>
        </w:rPr>
      </w:pPr>
    </w:p>
    <w:p>
      <w:pPr>
        <w:ind w:left="980" w:right="360" w:hanging="648"/>
        <w:spacing w:after="0" w:line="250" w:lineRule="auto"/>
        <w:tabs>
          <w:tab w:leader="none" w:pos="6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$26.5 million in comparable retail store sales, primarily as a result of reduced traffic, which we believe was a result of unseasonable temperatures during seasonal transitions; and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$20.7 million due to the effect of store closings.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33" w:right="239" w:bottom="1440" w:gutter="0" w:footer="0" w:header="0"/>
          <w:type w:val="continuous"/>
        </w:sectPr>
      </w:pPr>
    </w:p>
    <w:bookmarkStart w:id="24" w:name="page25"/>
    <w:bookmarkEnd w:id="2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 Sales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U.S. Wholesale segment net sales increased approximately $13.3 million, or 3.9%, in the third quarter of fiscal 2019 to $352.3 million from $339.0 million in the third quarter of fiscal 2018. This increase reflected a 0.3% increase in the number of units shipped and a 3.7% increase in the average price per unit, primarily due to changes in customer mix.</w:t>
      </w:r>
    </w:p>
    <w:p>
      <w:pPr>
        <w:spacing w:after="0" w:line="13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U.S. Wholesale segment net sales increased approximately $27.4 million, or 3.3%, in the first three quarters of fiscal 2019 to $856.7 million from $829.3 million in the first three quarters of fiscal 2018. This increase reflected a 1.0% increase in the number of units shipped and a 2.2% increase in the average price per unit, primarily due to changes in customer and product mix, partially offset by reduced demand due to customer bankruptcies.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Sales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Count Data for Company-Operated Retail Stores in our International segment</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740" w:type="dxa"/>
            <w:vAlign w:val="bottom"/>
            <w:gridSpan w:val="3"/>
          </w:tcPr>
          <w:p>
            <w:pPr>
              <w:jc w:val="right"/>
              <w:ind w:right="1359"/>
              <w:spacing w:after="0"/>
              <w:rPr>
                <w:sz w:val="20"/>
                <w:szCs w:val="20"/>
                <w:color w:val="auto"/>
              </w:rPr>
            </w:pPr>
            <w:r>
              <w:rPr>
                <w:rFonts w:ascii="Times New Roman" w:cs="Times New Roman" w:eastAsia="Times New Roman" w:hAnsi="Times New Roman"/>
                <w:sz w:val="16"/>
                <w:szCs w:val="16"/>
                <w:b w:val="1"/>
                <w:bCs w:val="1"/>
                <w:color w:val="auto"/>
              </w:rPr>
              <w:t>Store Count</w:t>
            </w:r>
          </w:p>
        </w:tc>
      </w:tr>
      <w:tr>
        <w:trPr>
          <w:trHeight w:val="3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28, 2019</w:t>
            </w:r>
          </w:p>
        </w:tc>
        <w:tc>
          <w:tcPr>
            <w:tcW w:w="1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29, 2018</w:t>
            </w:r>
          </w:p>
        </w:tc>
      </w:tr>
      <w:tr>
        <w:trPr>
          <w:trHeight w:val="48"/>
        </w:trPr>
        <w:tc>
          <w:tcPr>
            <w:tcW w:w="2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CCEEFF"/>
            </w:tcBorders>
          </w:tcPr>
          <w:p>
            <w:pPr>
              <w:spacing w:after="0"/>
              <w:rPr>
                <w:sz w:val="4"/>
                <w:szCs w:val="4"/>
                <w:color w:val="auto"/>
              </w:rPr>
            </w:pPr>
          </w:p>
        </w:tc>
        <w:tc>
          <w:tcPr>
            <w:tcW w:w="708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Canada</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w:t>
            </w:r>
          </w:p>
        </w:tc>
      </w:tr>
      <w:tr>
        <w:trPr>
          <w:trHeight w:val="237"/>
        </w:trPr>
        <w:tc>
          <w:tcPr>
            <w:tcW w:w="20" w:type="dxa"/>
            <w:vAlign w:val="bottom"/>
          </w:tcPr>
          <w:p>
            <w:pPr>
              <w:spacing w:after="0"/>
              <w:rPr>
                <w:sz w:val="20"/>
                <w:szCs w:val="20"/>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Mexico</w:t>
            </w: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Net Sales for our International segment</w:t>
      </w:r>
    </w:p>
    <w:p>
      <w:pPr>
        <w:spacing w:after="0" w:line="9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Canadian comparable retail net sales decreased 1.9% during the third quarter and 2.3% during the first three quarters of fiscal 2019 compared to the corresponding periods in fiscal 2018.</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Compared to the third fiscal quarter of 2018, we believe comparable retail net sales were negatively affected in the third fiscal quarter of 2019 by reduced traffic primarily due to persistent warm weather.</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Compared to the first three quarters of fiscal 2018, we believe comparable retail net sales were negatively affected in the first three quarters of 2019 by reduced traffic, primarily due to unseasonable temperatures during seasonal transitions.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Results</w:t>
      </w:r>
    </w:p>
    <w:p>
      <w:pPr>
        <w:spacing w:after="0" w:line="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International segment net sales increased approximately $1.1 million, or 0.9%, in the third quarter of fiscal 2019 to $127.0 million from $125.8 million in the third quarter of fiscal 2018. Changes in foreign currency exchange rates used for translation had an unfavorable effect on International segment net sales of approximately $1.3 million in the third quarter of fiscal 2019 compared to the third quarter of fiscal 2018.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$1.1 million increase in net sales in our International segment primarily reflected a/an:</w:t>
      </w:r>
    </w:p>
    <w:p>
      <w:pPr>
        <w:spacing w:after="0" w:line="90" w:lineRule="exact"/>
        <w:rPr>
          <w:sz w:val="20"/>
          <w:szCs w:val="20"/>
          <w:color w:val="auto"/>
        </w:rPr>
      </w:pPr>
    </w:p>
    <w:p>
      <w:pPr>
        <w:ind w:left="660" w:right="48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$1.9 million primarily as a result of an increase in sales to international customers outside of Canada, Mexico, and China, offset by reduced sales to global wholesale accounts in Canada and Mexico;</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$1.5 million primarily from our Mexico stores and wholesale business, other than global wholesale accounts ;and</w:t>
      </w:r>
    </w:p>
    <w:p>
      <w:pPr>
        <w:spacing w:after="0" w:line="9"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$2.3 million from sales in China due to transitioning eCommerce and wholesale operations to a full licensing model in the first quarter of fiscal 2019.</w:t>
      </w:r>
    </w:p>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International segment net sales decreased approximately $4.0 million, or 1.3%, in the first three quarters of fiscal 2019 to $297.8 million from $301.8 million in the first three quarters of fiscal 2018. Changes in foreign currency exchange rates used for translation had an unfavorable effect on International segment net sales of approximately $6.4 million in the first three quarters of fiscal 2019 compared to the first three quarters of fiscal 2018.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$4.0 million decrease in net sales in our International segment primarily reflected a/an:</w:t>
      </w:r>
    </w:p>
    <w:p>
      <w:pPr>
        <w:spacing w:after="0" w:line="90" w:lineRule="exact"/>
        <w:rPr>
          <w:sz w:val="20"/>
          <w:szCs w:val="20"/>
          <w:color w:val="auto"/>
        </w:rPr>
      </w:pPr>
    </w:p>
    <w:p>
      <w:pPr>
        <w:ind w:left="660" w:right="2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$5.8 million from sales in China, primarily due to transitioning eCommerce and wholesale operations to a full licensing model in the first quarter of fiscal 2019;</w:t>
      </w:r>
    </w:p>
    <w:p>
      <w:pPr>
        <w:ind w:left="660" w:right="2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$5.4 million primarily from our Canada stores and wholesale business (excluding sales of the Skip Hop brand to wholesale accounts), partially offset by eCommerce sales growth;</w:t>
      </w:r>
    </w:p>
    <w:p>
      <w:pPr>
        <w:ind w:left="660" w:right="4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$4.0 million primarily as a result of an increase in sales to international customers outside of Canada, Mexico, and China, offset by reduced sales to global wholesale accounts in Canada and Mexico; and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333" w:right="259" w:bottom="1440" w:gutter="0" w:footer="0" w:header="0"/>
        </w:sectPr>
      </w:pPr>
    </w:p>
    <w:bookmarkStart w:id="25" w:name="page26"/>
    <w:bookmarkEnd w:id="2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3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$3.3 million primarily from our Mexico stores and wholesale business, other than global wholesale accounts.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 and Gross Profit</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consolidated gross margin increased from 41.9% in the third quarter of fiscal 2018 to 42.6% in the third quarter of fiscal 2019. Our consolidated gross profit increased $14.8 million, or 3.8%, to $402.2 million in the third quarter of fiscal 2019 from $387.5 million in the third quarter of fiscal 2018. The increase in gross margin was primarily due to higher average price per unit and lower provisions for inventory, partially offset by changes in customer and channel mix, higher shipping costs in our eCommerce channel, and higher product costs including additional tariffs imposed on units imported from China.</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consolidated gross margin decreased from 43.3% in the first three quarters of fiscal 2018 to 43.0% in the first three quarters of fiscal 2019. Our consolidated gross profit increased $11.2 million, or 1.1%, to $1.04 billion in the first three quarters of fiscal 2019 from $1.03 billion in the first three quarters of fiscal 2018. The decrease in gross margin was primarily due to changes in customer and channel mix, higher shipping costs in our eCommerce channel, and higher product costs including additional tariffs imposed on units imported from China, which were partially offset by higher average price per unit and lower provisions for inventory.</w:t>
      </w:r>
    </w:p>
    <w:p>
      <w:pPr>
        <w:spacing w:after="0" w:line="14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to the cost of product, cost of goods sold includes expenses related to the merchandising, design, and procurement of product. Also included are outbound shipping costs incurred in the eCommerce channel related to delivery of product to the end consumer.</w:t>
      </w:r>
    </w:p>
    <w:p>
      <w:pPr>
        <w:spacing w:after="0" w:line="121" w:lineRule="exact"/>
        <w:rPr>
          <w:sz w:val="20"/>
          <w:szCs w:val="20"/>
          <w:color w:val="auto"/>
        </w:rPr>
      </w:pPr>
    </w:p>
    <w:p>
      <w:pPr>
        <w:ind w:right="1500"/>
        <w:spacing w:after="0" w:line="399" w:lineRule="auto"/>
        <w:rPr>
          <w:sz w:val="20"/>
          <w:szCs w:val="20"/>
          <w:color w:val="auto"/>
        </w:rPr>
      </w:pPr>
      <w:r>
        <w:rPr>
          <w:rFonts w:ascii="Times New Roman" w:cs="Times New Roman" w:eastAsia="Times New Roman" w:hAnsi="Times New Roman"/>
          <w:sz w:val="18"/>
          <w:szCs w:val="18"/>
          <w:color w:val="auto"/>
        </w:rPr>
        <w:t xml:space="preserve">Definitions of gross profit and gross margin vary across the industry and as such, our metrics may not be comparable to other companies. </w:t>
      </w:r>
      <w:r>
        <w:rPr>
          <w:rFonts w:ascii="Times New Roman" w:cs="Times New Roman" w:eastAsia="Times New Roman" w:hAnsi="Times New Roman"/>
          <w:sz w:val="18"/>
          <w:szCs w:val="18"/>
          <w:b w:val="1"/>
          <w:bCs w:val="1"/>
          <w:color w:val="auto"/>
        </w:rPr>
        <w:t>Royalty Income</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Royalty income for the third quarter of fiscal 2019 decreased $1.0 million, or 10.1% to $9.2 million from $10.2 million in the third quarter of fiscal 2018. The decrease was primarily due to the transition of a licensee to a wholesale model, partially offset by an increase in licensee sales.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Royalty income for the first three quarters of fiscal 2019 decreased $1.2 million, or 4.2% to $27.4 million from $28.6 million in the first three quarters of fiscal 2018. The decrease was attributable to the same reasons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Consolidated SG&amp;A expenses in the third quarter of fiscal 2019 increased $2.6 million, or 0.9%, to $296.7 million from $294.1 million in the third quarter of fiscal 2018. As a percentage of net sales, SG&amp;A expenses decreased from 31.8% in the third quarter of fiscal 2018 to 31.5% in the third quarter of fiscal 2019.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SG&amp;A expenses in the third quarter of fiscal 2019 primarily reflected a:</w:t>
      </w:r>
    </w:p>
    <w:p>
      <w:pPr>
        <w:spacing w:after="0" w:line="9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million increase in performance-based compensation;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increase in expenses related to the U.S. retail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increase in information technology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decrease in expenses due to the China business model change;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decrease in provisions for accounts receivable.</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SG&amp;A expenses in the first three quarters of fiscal 2019 decreased $9.1 million, or 1.1%, to $828.5 million from $837.6 million in the first three quarters of fiscal 2018. As a percentage of net sales, SG&amp;A expenses decreased from 35.3% in the first three quarters of fiscal 2018 to 34.3% in the first three quarters of fiscal 2019.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SG&amp;A expenses in the first three quarters of fiscal 2019 primarily reflected a/an:</w:t>
      </w:r>
    </w:p>
    <w:p>
      <w:pPr>
        <w:spacing w:after="0" w:line="90" w:lineRule="exact"/>
        <w:rPr>
          <w:sz w:val="20"/>
          <w:szCs w:val="20"/>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million decrease in provisions for accounts receivable, primarily attributable to the absence of customer bankruptcy-related charges incurred in the first quarter of fiscal 2018;</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million decrease in expenses due to the China business model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decrease in marketing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increase in expenses related to the U.S. retail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increase in performance-based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increase in distribution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increase in information technology investments; and</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333" w:right="259" w:bottom="1440" w:gutter="0" w:footer="0" w:header="0"/>
        </w:sectPr>
      </w:pPr>
    </w:p>
    <w:bookmarkStart w:id="26" w:name="page27"/>
    <w:bookmarkEnd w:id="2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3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in severance associated with an organizational restructuring.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 Impairment</w:t>
      </w:r>
    </w:p>
    <w:p>
      <w:pPr>
        <w:spacing w:after="0" w:line="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the third quarter, the Company recorded a non-cash charge of $30.8 million relative to the impairment of its Skip Hop tradename recorded in connection with the acquisition of Skip Hop Holdings, Inc. in 2017. The impairment reflects the effect of lower sales and profitability relative to the assumptions supporting the valuation of the tradename at acquisition. Such reductions reflect lower U.S. demand, including the loss of a significant customer (Toys “R” Us), lower international demand and the impact of tariffs imposed on product sourced from China. In prior assessments of the Skip Hop tradename, we believed we would recover the lost sales to Toys “R” Us with sales to other retailers. To date, that recovery has not been realized.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Consolidated operating income decreased $19.7 million, or 19.0%, to $83.9 million in the third quarter of fiscal 2019 from $103.6 million in the third quarter of fiscal 2018. Consolidated operating income decreased $11.7 million, or 5.3%, to $209.1 million in the first three quarters of fiscal 2019 from $220.8 million in the first three quarters of fiscal 2018.</w:t>
      </w:r>
    </w:p>
    <w:p>
      <w:pPr>
        <w:spacing w:after="0" w:line="13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Consolidated operating margin decreased from 11.2% in the third quarter of fiscal 2018 to 8.9% in the third quarter of fiscal 2019. Consolidated operating margin decreased from 9.3% in the first three quarters of fiscal 2018 to 8.6% in the first three quarters of fiscal 2019.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each of our segment's operating results and unallocated corporate expenses between the fiscal periods indicated:</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the third quarter of fiscal</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47,139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67,785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103,557</w:t>
            </w:r>
          </w:p>
        </w:tc>
        <w:tc>
          <w:tcPr>
            <w:tcW w:w="0" w:type="dxa"/>
            <w:vAlign w:val="bottom"/>
          </w:tcPr>
          <w:p>
            <w:pPr>
              <w:spacing w:after="0"/>
              <w:rPr>
                <w:sz w:val="1"/>
                <w:szCs w:val="1"/>
                <w:color w:val="auto"/>
              </w:rPr>
            </w:pPr>
          </w:p>
        </w:tc>
      </w:tr>
      <w:tr>
        <w:trPr>
          <w:trHeight w:val="216"/>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Favorable (unfavorable) change in the third quarter of</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fiscal 2019</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14,761</w:t>
            </w:r>
          </w:p>
        </w:tc>
        <w:tc>
          <w:tcPr>
            <w:tcW w:w="0" w:type="dxa"/>
            <w:vAlign w:val="bottom"/>
          </w:tcPr>
          <w:p>
            <w:pPr>
              <w:spacing w:after="0"/>
              <w:rPr>
                <w:sz w:val="1"/>
                <w:szCs w:val="1"/>
                <w:color w:val="auto"/>
              </w:rPr>
            </w:pPr>
          </w:p>
        </w:tc>
      </w:tr>
      <w:tr>
        <w:trPr>
          <w:trHeight w:val="237"/>
        </w:trPr>
        <w:tc>
          <w:tcPr>
            <w:tcW w:w="4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Royalty income</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SG&amp;A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0" w:type="dxa"/>
            <w:vAlign w:val="bottom"/>
          </w:tcPr>
          <w:p>
            <w:pPr>
              <w:spacing w:after="0"/>
              <w:rPr>
                <w:sz w:val="1"/>
                <w:szCs w:val="1"/>
                <w:color w:val="auto"/>
              </w:rPr>
            </w:pPr>
          </w:p>
        </w:tc>
      </w:tr>
      <w:tr>
        <w:trPr>
          <w:trHeight w:val="237"/>
        </w:trPr>
        <w:tc>
          <w:tcPr>
            <w:tcW w:w="4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the third quarter of fiscal</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49,472</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54,391</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6,136</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(26,129)</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83,870</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the first three quarters of</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2018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122,086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148,395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20,508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(70,152)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220,837</w:t>
            </w:r>
          </w:p>
        </w:tc>
        <w:tc>
          <w:tcPr>
            <w:tcW w:w="0" w:type="dxa"/>
            <w:vAlign w:val="bottom"/>
          </w:tcPr>
          <w:p>
            <w:pPr>
              <w:spacing w:after="0"/>
              <w:rPr>
                <w:sz w:val="1"/>
                <w:szCs w:val="1"/>
                <w:color w:val="auto"/>
              </w:rPr>
            </w:pPr>
          </w:p>
        </w:tc>
      </w:tr>
      <w:tr>
        <w:trPr>
          <w:trHeight w:val="216"/>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Favorable (unfavorable) change in the first three quarters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 fiscal 2019</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11,189</w:t>
            </w:r>
          </w:p>
        </w:tc>
        <w:tc>
          <w:tcPr>
            <w:tcW w:w="0" w:type="dxa"/>
            <w:vAlign w:val="bottom"/>
          </w:tcPr>
          <w:p>
            <w:pPr>
              <w:spacing w:after="0"/>
              <w:rPr>
                <w:sz w:val="1"/>
                <w:szCs w:val="1"/>
                <w:color w:val="auto"/>
              </w:rPr>
            </w:pPr>
          </w:p>
        </w:tc>
      </w:tr>
      <w:tr>
        <w:trPr>
          <w:trHeight w:val="237"/>
        </w:trPr>
        <w:tc>
          <w:tcPr>
            <w:tcW w:w="4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Royalty income</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SG&amp;A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9,081</w:t>
            </w:r>
          </w:p>
        </w:tc>
        <w:tc>
          <w:tcPr>
            <w:tcW w:w="0" w:type="dxa"/>
            <w:vAlign w:val="bottom"/>
          </w:tcPr>
          <w:p>
            <w:pPr>
              <w:spacing w:after="0"/>
              <w:rPr>
                <w:sz w:val="1"/>
                <w:szCs w:val="1"/>
                <w:color w:val="auto"/>
              </w:rPr>
            </w:pPr>
          </w:p>
        </w:tc>
      </w:tr>
      <w:tr>
        <w:trPr>
          <w:trHeight w:val="237"/>
        </w:trPr>
        <w:tc>
          <w:tcPr>
            <w:tcW w:w="4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the first three quarters of</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124,567</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145,181</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15,351</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(75,994)</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209,105</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2019</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33" w:right="259" w:bottom="1440" w:gutter="0" w:footer="0" w:header="0"/>
        </w:sectPr>
      </w:pPr>
    </w:p>
    <w:bookmarkStart w:id="27" w:name="page28"/>
    <w:bookmarkEnd w:id="2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3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operating margin for each of our three operating segments expressed in basis points ("bps") relative to net sales between the fiscal periods indicated.</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33"/>
        </w:trPr>
        <w:tc>
          <w:tcPr>
            <w:tcW w:w="62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third quarter of fiscal 2018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9.9%</w:t>
            </w:r>
          </w:p>
        </w:tc>
      </w:tr>
      <w:tr>
        <w:trPr>
          <w:trHeight w:val="237"/>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Favorable (unfavorable) bps change in the third quarter of fiscal 2019</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Gross profit</w:t>
            </w:r>
          </w:p>
        </w:tc>
        <w:tc>
          <w:tcPr>
            <w:tcW w:w="1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80 bps</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 bps</w:t>
            </w:r>
          </w:p>
        </w:tc>
        <w:tc>
          <w:tcPr>
            <w:tcW w:w="16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180 bps</w:t>
            </w:r>
          </w:p>
        </w:tc>
      </w:tr>
      <w:tr>
        <w:trPr>
          <w:trHeight w:val="237"/>
        </w:trPr>
        <w:tc>
          <w:tcPr>
            <w:tcW w:w="6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Royalty income</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 bps</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(60) bps</w:t>
            </w:r>
          </w:p>
        </w:tc>
        <w:tc>
          <w:tcPr>
            <w:tcW w:w="1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 bps</w:t>
            </w:r>
          </w:p>
        </w:tc>
      </w:tr>
      <w:tr>
        <w:trPr>
          <w:trHeight w:val="33"/>
        </w:trPr>
        <w:tc>
          <w:tcPr>
            <w:tcW w:w="6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SG&amp;A expenses</w:t>
            </w:r>
          </w:p>
        </w:tc>
        <w:tc>
          <w:tcPr>
            <w:tcW w:w="1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 bps</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90 bps</w:t>
            </w:r>
          </w:p>
        </w:tc>
        <w:tc>
          <w:tcPr>
            <w:tcW w:w="16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120 bps</w:t>
            </w:r>
          </w:p>
        </w:tc>
      </w:tr>
      <w:tr>
        <w:trPr>
          <w:trHeight w:val="237"/>
        </w:trPr>
        <w:tc>
          <w:tcPr>
            <w:tcW w:w="6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(30) bps</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(540) bps</w:t>
            </w:r>
          </w:p>
        </w:tc>
        <w:tc>
          <w:tcPr>
            <w:tcW w:w="1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(820) bps</w:t>
            </w:r>
          </w:p>
        </w:tc>
      </w:tr>
      <w:tr>
        <w:trPr>
          <w:trHeight w:val="33"/>
        </w:trPr>
        <w:tc>
          <w:tcPr>
            <w:tcW w:w="62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third quarter of fiscal 2019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b w:val="1"/>
                <w:bCs w:val="1"/>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b w:val="1"/>
                <w:bCs w:val="1"/>
                <w:color w:val="auto"/>
                <w:w w:val="99"/>
              </w:rPr>
              <w:t>4.8%</w:t>
            </w:r>
          </w:p>
        </w:tc>
      </w:tr>
      <w:tr>
        <w:trPr>
          <w:trHeight w:val="20"/>
        </w:trPr>
        <w:tc>
          <w:tcPr>
            <w:tcW w:w="6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35"/>
        </w:trPr>
        <w:tc>
          <w:tcPr>
            <w:tcW w:w="6240" w:type="dxa"/>
            <w:vAlign w:val="bottom"/>
          </w:tcPr>
          <w:p>
            <w:pPr>
              <w:spacing w:after="0"/>
              <w:rPr>
                <w:sz w:val="24"/>
                <w:szCs w:val="24"/>
                <w:color w:val="auto"/>
              </w:rPr>
            </w:pP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33"/>
        </w:trPr>
        <w:tc>
          <w:tcPr>
            <w:tcW w:w="62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first three quarters of fiscal 2018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6.8%</w:t>
            </w:r>
          </w:p>
        </w:tc>
      </w:tr>
      <w:tr>
        <w:trPr>
          <w:trHeight w:val="237"/>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Favorable (unfavorable) bps change in the first three quarters of fiscal 2019</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Gross profit</w:t>
            </w:r>
          </w:p>
        </w:tc>
        <w:tc>
          <w:tcPr>
            <w:tcW w:w="1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(80) bps</w:t>
            </w:r>
          </w:p>
        </w:tc>
        <w:tc>
          <w:tcPr>
            <w:tcW w:w="16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 bps</w:t>
            </w:r>
          </w:p>
        </w:tc>
      </w:tr>
      <w:tr>
        <w:trPr>
          <w:trHeight w:val="237"/>
        </w:trPr>
        <w:tc>
          <w:tcPr>
            <w:tcW w:w="6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Royalty income</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 bps</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(40) bps</w:t>
            </w:r>
          </w:p>
        </w:tc>
        <w:tc>
          <w:tcPr>
            <w:tcW w:w="1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 bps</w:t>
            </w:r>
          </w:p>
        </w:tc>
      </w:tr>
      <w:tr>
        <w:trPr>
          <w:trHeight w:val="33"/>
        </w:trPr>
        <w:tc>
          <w:tcPr>
            <w:tcW w:w="62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SG&amp;A expenses</w:t>
            </w:r>
          </w:p>
        </w:tc>
        <w:tc>
          <w:tcPr>
            <w:tcW w:w="1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 bps</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240 bps</w:t>
            </w:r>
          </w:p>
        </w:tc>
        <w:tc>
          <w:tcPr>
            <w:tcW w:w="16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150 bps</w:t>
            </w:r>
          </w:p>
        </w:tc>
      </w:tr>
      <w:tr>
        <w:trPr>
          <w:trHeight w:val="237"/>
        </w:trPr>
        <w:tc>
          <w:tcPr>
            <w:tcW w:w="6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 bps</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(220) bps</w:t>
            </w:r>
          </w:p>
        </w:tc>
        <w:tc>
          <w:tcPr>
            <w:tcW w:w="16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(340) bps</w:t>
            </w:r>
          </w:p>
        </w:tc>
      </w:tr>
      <w:tr>
        <w:trPr>
          <w:trHeight w:val="33"/>
        </w:trPr>
        <w:tc>
          <w:tcPr>
            <w:tcW w:w="62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first three quarters of fiscal 2019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b w:val="1"/>
                <w:bCs w:val="1"/>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b w:val="1"/>
                <w:bCs w:val="1"/>
                <w:color w:val="auto"/>
                <w:w w:val="99"/>
              </w:rPr>
              <w:t>5.2%</w:t>
            </w:r>
          </w:p>
        </w:tc>
      </w:tr>
      <w:tr>
        <w:trPr>
          <w:trHeight w:val="20"/>
        </w:trPr>
        <w:tc>
          <w:tcPr>
            <w:tcW w:w="6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 Operating Income</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U.S. Retail segment operating income increased by $2.3 million, or 4.9%, to $49.5 million in the third quarter of fiscal 2019 from $47.1 million in the third quarter of fiscal 2018. This segment's operating margin increased 40 bps from 10.3% in the third quarter of fiscal 2018 to 10.7% in the third quarter of fiscal 2019. The primary drivers of the change in operating margin were a/an:</w:t>
      </w:r>
    </w:p>
    <w:p>
      <w:pPr>
        <w:spacing w:after="0" w:line="4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bps increase in gross profit, primarily due higher average price per unit, partially offset by higher product costs and eCommerce shipping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bps increase in royalty income, primarily due to increased licensee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expenses related to eCommerce growth;</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performance-based compensation;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bps increase in marketing investments;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decrease in distribution and freight costs;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decrease due to intangible asset impairment.</w:t>
      </w:r>
    </w:p>
    <w:p>
      <w:pPr>
        <w:spacing w:after="0" w:line="1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U.S. Retail segment operating income increased by $2.5 million, or 2.0%, to $124.6 million in the first three quarters of fiscal 2019 from $122.1 million in the first three quarters of fiscal 2018. This segment's operating margin increased 10 bps from 9.8% in the first three quarters of fiscal 2018 to 9.9% in the first three quarters of fiscal 2019. The primary drivers of the change in operating margin were:</w:t>
      </w:r>
    </w:p>
    <w:p>
      <w:pPr>
        <w:spacing w:after="0" w:line="41" w:lineRule="exact"/>
        <w:rPr>
          <w:sz w:val="20"/>
          <w:szCs w:val="20"/>
          <w:color w:val="auto"/>
        </w:rPr>
      </w:pPr>
    </w:p>
    <w:p>
      <w:pPr>
        <w:ind w:left="660" w:right="20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period over period gross profit relative to net sales as the benefit from higher average price per unit and lower provisions for inventory were offset by higher product costs and eCommerce shipping costs;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bps increase in royalty income, primarily due to increased licensee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bps decrease in SG&amp;A expenses, primarily due to a:</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marketing investments;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expenses associated with retail stores;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expenses related to eCommerce growth;</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bps increase in performance-based compensation;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bps decrease due to intangible asset impairment.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33" w:right="239" w:bottom="1440" w:gutter="0" w:footer="0" w:header="0"/>
        </w:sectPr>
      </w:pPr>
    </w:p>
    <w:bookmarkStart w:id="28" w:name="page29"/>
    <w:bookmarkEnd w:id="2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 Operating Income</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U.S. Wholesale segment operating income in the third quarter of fiscal 2019 decreased $13.4 million, or 19.8%, to $54.4 million from $67.8 million in the third quarter of fiscal 2018. The segment's operating margin decreased 460 bps from 20.0% in the third quarter of fiscal 2018 to 15.4% in the third quarter of fiscal 2019. The primary drivers of the change in operating margin were a:</w:t>
      </w:r>
    </w:p>
    <w:p>
      <w:pPr>
        <w:spacing w:after="0" w:line="4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increase in gross profit, primarily due to lower provisions for inventory, partially offset by changes in customer mix;</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decrease in royalty income, primarily due to the transition of a licensee to a wholesale model;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bps decrease in SG&amp;A expenses, primarily due to a decrease in provisions for accounts receivable;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bps decrease due to intangible asset impairment.</w:t>
      </w:r>
    </w:p>
    <w:p>
      <w:pPr>
        <w:spacing w:after="0" w:line="16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U.S. Wholesale segment operating income in the first three quarters of fiscal 2019 decreased $3.2 million, or 2.2%, to $145.2 million from $148.4 million in the first three quarters of fiscal 2018. The segment's operating margin decreased 100 bps from 17.9% in the first three quarters of fiscal 2018 to 16.9% in the first three quarters of fiscal 2019. The primary drivers of the change in operating margin were a/an:</w:t>
      </w:r>
    </w:p>
    <w:p>
      <w:pPr>
        <w:spacing w:after="0" w:line="4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bps decrease in gross profit, primarily due to changes in customer mix, partially offset by lower provisions for inventory;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decrease in royalty income, primarily due to the transition of a licensee to a wholesale model;</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 bps decrease in SG&amp;A expenses, primarily due to the absence of a provision for a customer bankruptcy that occurred in the first fiscal quarter of 2018; and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 bps decrease due to intangible asset impairment.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Operating Income</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International segment operating income decreased by $6.3 million, or 50.7%, to $6.1 million in the third quarter of fiscal 2019 from $12.4 million in the third quarter of fiscal 2018. This segment's operating margin decreased 510 bps from 9.9% in the third quarter of fiscal 2018 to 4.8% in the third quarter of fiscal 2019. The primary drivers of the change in operating margin were a/an:</w:t>
      </w:r>
    </w:p>
    <w:p>
      <w:pPr>
        <w:spacing w:after="0" w:line="4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bps increase in gross profit primarily due to lower provisions for inventory, partially offset by channel mix and higher product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bps decrease in SG&amp;A expenses, primarily due to the China business model change;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820 bps decrease due to intangible asset impairment.</w:t>
      </w:r>
    </w:p>
    <w:p>
      <w:pPr>
        <w:spacing w:after="0" w:line="16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International segment operating income decreased by $5.2 million, or 25.1%, to $15.4 million in the first three quarters of fiscal 2019 from $20.5 million in the first three quarters of fiscal 2018. This segment's operating margin decreased 160 bps from 6.8% in the first three quarters of fiscal 2018 to 5.2% in the first three quarters of fiscal 2019. The primary drivers of the change in operating margin were a/an:</w:t>
      </w:r>
    </w:p>
    <w:p>
      <w:pPr>
        <w:spacing w:after="0" w:line="41" w:lineRule="exact"/>
        <w:rPr>
          <w:sz w:val="20"/>
          <w:szCs w:val="20"/>
          <w:color w:val="auto"/>
        </w:rPr>
      </w:pPr>
    </w:p>
    <w:p>
      <w:pPr>
        <w:jc w:val="both"/>
        <w:ind w:left="660" w:right="60" w:hanging="328"/>
        <w:spacing w:after="0" w:line="25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gross profit primarily due to lower provisions for inventory and the benefit from the favorable recovery of value of China-related inventories in the first quarter of fiscal 2019, partially offset by higher product costs and increased promotional activity for sales to customers across various regions and channel mix;</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bps decrease in SG&amp;A expenses, primarily due to the China business model change;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 bps decrease due to intangible asset impairment.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increased by $2.3 million, or 9.8%, in the third quarter of fiscal 2019 compared to the third quarter of fiscal 2018. Unallocated corporate expenses, as a percentage of consolidated net sales, increased from 2.6% in the third quarter of fiscal 2018 to 2.8% in the third quarter of fiscal 2019.</w:t>
      </w:r>
    </w:p>
    <w:p>
      <w:pPr>
        <w:spacing w:after="0" w:line="13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increased by $5.8 million, or 8.3%, in the first three quarters of fiscal 2019 compared to the first three quarters of fiscal 2018. Unallocated corporate expenses, as a percentage of consolidated net sales, increased from 3.0% in the first three quarters of fiscal 2018 to 3.1% in the first three quarters of fiscal 2019.</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the third quarter of fiscal 2019 was primarily due to an increase in performance-based compensation. The increase in the first three quarters of fiscal 2019 primarily reflects the receipt of insurance recoveries that occurred in the second quarter of fiscal 2018 that did not reoccur in fiscal 2019, and an increase in performance-based compensation.</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333" w:right="259" w:bottom="1440" w:gutter="0" w:footer="0" w:header="0"/>
        </w:sectPr>
      </w:pPr>
    </w:p>
    <w:bookmarkStart w:id="29" w:name="page30"/>
    <w:bookmarkEnd w:id="2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Interest expense in the third quarter of fiscal 2019 and 2018 was $10.0 million and $9.9 million, respectively. Weighted-average borrowings for the third quarter of fiscal 2019 were approximately $735.2 million with an effective interest rate of 5.34%, compared to weighted-average borrowings for the third quarter of fiscal 2018 of $782.4 million with an effective interest rate of 4.72%. The decrease in weighted-average borrowings during the third quarter of fiscal 2019 was attributable to reduced borrowings under our secured revolving credit facility.</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Interest expense in the first three quarters of fiscal 2019 and 2018 was $28.7 million and $25.8 million, respectively. Weighted-average borrowings for the first three quarters of fiscal 2019 were approximately $661.2 million with an effective interest rate of 5.45%, compared to weighted-average borrowings for the first three quarters of fiscal 2018 of $684.1 million with an effective interest rate of 4.85%. The decrease in weighted-average borrowings during the first three quarters of fiscal 2019 was attributable to reduced borrowings under our secured revolving credit facility.</w:t>
      </w:r>
    </w:p>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increase in the weighted-average interest rate for the third quarter and first three quarters of fiscal 2019 compared to the third quarter and first three quarters of fiscal 2018 was primarily due to incremental interest expense associated with the refinancing of the senior notes in the first quarter of fiscal 2019 and a higher LIBOR rate for the outstanding variable-rate borrowings on our secured revolving credit facility during the 2019 period.</w:t>
      </w:r>
    </w:p>
    <w:p>
      <w:pPr>
        <w:spacing w:after="0" w:line="13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On our consolidated balance sheet, unamortized debt issuance costs associated with our senior notes are presented as a direct reduction in the carrying value of the associated debt liability for all periods presented. 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expense (income), net is comprised primarily of gains and losses on foreign currency transactions and, if utilized during a reporting period, gains and losses on foreign currency forward contracts.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2019, loss on extinguishment of debt was $7.8 million due to the early extinguishment of $400 million in aggregate principal amount, 5.25% senior notes due 2021. Concurrently, we issued $500 million in aggregate principal amount, 5.625% senior notes due 2027, allowing us to extend our maturity schedule.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consolidated effective income tax rate for the third quarter of fiscal 2019 was 18.2% compared to 23.5% for the third quarter of fiscal 2018. Our consolidated effective income tax rate for the first three quarters of fiscal 2019 was 19.9% compared to 22.3% for the first three quarters of fiscal 2018. The lower effective rate in fiscal 2019 reflects the benefits of clarification of the tax provisions enacted under the 2017 U.S. tax reform legislation and changes in foreign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net income for the third quarter of fiscal 2019 decreased by $11.5 million, or 16.0%, to $60.3 million compared to $71.8 million in the third quarter of fiscal 2018. Our consolidated net income for the first three quarters of fiscal 2019 decreased by $12.9 million, or 8.5%, to $138.7 million compared to $151.5 million in the first three quarters of fiscal 2018. These changes were due to the factors previously discussed.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ongoing cash needs are primarily for working capital and capital expenditures. We expect that our primary sources of liquidity will continue to be cash and cash equivalents on hand, cash flow from operations, and borrowings available under our secured revolving credit facility. We expect that these sources and access to capital markets will fund our ongoing requirements for the foreseeable future. Further, we do not expect current economic conditions to prevent us from meeting our cash requirements. These sources of liquidity may be affected by events described in our risk factors, as further discussed under the heading "Risk Factors" in our most recently filed Annual Report on Form 10-K and other reports filed with the Securities and Exchange Commission from time to time.</w:t>
      </w:r>
    </w:p>
    <w:p>
      <w:pPr>
        <w:spacing w:after="0" w:line="14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As of September 28, 2019, the Company had $153.9 million of cash and cash equivalents in major financial institutions, including $45.7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333" w:right="279" w:bottom="1440" w:gutter="0" w:footer="0" w:header="0"/>
        </w:sectPr>
      </w:pPr>
    </w:p>
    <w:bookmarkStart w:id="30" w:name="page31"/>
    <w:bookmarkEnd w:id="3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accounts receivable at September 28, 2019 were $293.2 million compared to $293.5 million at September 29, 2018 and $258.3 million at December 29, 2018. The overall decrease of $0.3 million, or 0.1%, at September 28, 2019 compared to September 29, 2018 was primarily a result of the timing of customer payments, partially offset by increased wholesale demand. Due to the seasonal nature of our operations, the net accounts receivable balance at September 28, 2019 is not comparable to the net accounts receivable balance at December 29, 2018.</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Inventories at September 28, 2019 were $723.2 million compared to $693.0 million at September 29, 2018 and $574.2 million at December 29, 2018. The increase of $30.2 million, or 4.4%, at September 28, 2019 compared to September 29, 2018 primarily reflects increased wholesale demand and new retail stores, higher product costs, and lower provisions for inventory. Due to the seasonal nature of our operations, the inventories balance at September 28, 2019 is not comparable to the inventories balance at December 29, 2018.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three quarters of fiscal 2019 was $73.4 million compared to net cash provided by operating activities of $21.4 million in the first three quarters of fiscal 2018. Our cash flow provided by operating activities is dependent on net income and changes in our working capital. The increase in operating cash flow for the 2019 period was primarily due to favorable timing of payments by customers.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$45.4 million for the first three quarters of fiscal 2019 compared to $47.4 million in the first three quarters of fiscal 2018. Capital expenditures were $46.1 million in the first three quarters of fiscal 2019 compared to $47.8 million in the first three quarters of fiscal 2018, reflecting timing of new store openings in the 2018 fiscal period. Capital spending in the first three quarters of fiscal 2019 included approximately $29.9 million for our U.S. and international retail store openings and re-modelings, $6.6 million for information technology initiatives, $6.3 million for distribution and office facilities, and $2.0 million for wholesale fixtures.</w:t>
      </w:r>
    </w:p>
    <w:p>
      <w:pPr>
        <w:spacing w:after="0" w:line="14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plan to invest approximately $75 million in total capital expenditures for all of fiscal 2019, primarily for our U.S. and international retail store openings and re-modelings, information technology initiatives, and distribution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$44.4 million in the first three quarters of fiscal 2019 compared to $27.5 million in the first three quarters of fiscal 2018. The net increase in cash used in financing activities in the 2019 period primarily reflected the redemption of $400 million in principal amount of senior notes, the premium paid on the early extinguishment of the $400 million senior notes, a decrease in borrowings on the revolving credit facility, increased repurchases of common stock, and increased dividend payments, partially offset by the issuance of $500 million in principal amount of senior notes in March 2019.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September 28, 2019, we had $275.0 million in outstanding borrowings under our secured revolving credit facility, exclusive of $5.0 million of outstanding letters of credit. As of September 28, 2019, approximately $470.0 million was available for future borrowing.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interest rate margins applicable to our secured revolving credit facility as of September 28, 2019 were 1.375% for LIBOR rate loans (which may be adjusted based on a leverage-based pricing grid ranging from 1.125% to 1.875%) and 0.375% for base rate loans (which may be adjusted based on a leverage-based pricing grid ranging from 0.125% to 0.875%).</w:t>
      </w:r>
    </w:p>
    <w:p>
      <w:pPr>
        <w:spacing w:after="0" w:line="13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28, 2019, U.S. dollar borrowings outstanding under the secured revolving credit facility accrued interest at a LIBOR rate plus the applicable margin, which resulted in a weighted-average borrowing rate of 3.41%.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28, 2019, we were in compliance with the financial and other covenants under our secured revolving credit facility.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333" w:right="259" w:bottom="1440" w:gutter="0" w:footer="0" w:header="0"/>
        </w:sectPr>
      </w:pPr>
    </w:p>
    <w:bookmarkStart w:id="31" w:name="page32"/>
    <w:bookmarkEnd w:id="3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March 14, 2019, TWCC redeemed $400 million principal amount of senior notes, bearing interest at a rate of 5.25% per annum, and maturing on August 15, 2021, pursuant to the optional redemption provisions of the notes, which required that TWCC pay the outstanding principal plus accrued interest and an early redemption premium of 1.31% of the outstanding principal amounts of the senior notes. This debt redemption resulted in a loss on extinguishment of debt of $7.8 million, consisting of $5.2 million of early redemption premiums and $2.6 million of unamortized debt issuance costs.</w:t>
      </w:r>
    </w:p>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Concurrently, TWCC issued $500 million principal amount of senior notes at par, bearing interest at a rate of 5.625% per annum, and maturing on March 15, 2027, all of which were outstanding as of September 28, 2019. TWCC received net proceeds from the offering of the senior notes of approximately $494.8 million, after deducting the underwriting fees and other expenses, which TWCC used to redeem the senior notes discussed above and repay borrowings under the secured revolving credit facility. During the first three quarters of fiscal 2019, approximately $5.8 million, including both bank fees and other third party expenses, has been capitalized in connection with the issuance and is being amortized over the term of the senior notes.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first three quarters of fiscal 2019, the Company repurchased and retired 1,607,920 shares in open market transactions for approximately $147.5 million at an average price of $91.71 per share. In the first three quarters of fiscal 2018, the Company repurchased and retired 1,364,420 shares in open market transactions for approximately $145.5 million, at an average price of $106.63 per share.</w:t>
      </w:r>
    </w:p>
    <w:p>
      <w:pPr>
        <w:spacing w:after="0" w:line="13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total remaining capacity under all remaining repurchase authorizations as of September 28, 2019 was approximately $245.1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first, second, and third quarters of fiscal 2019, we paid quarterly cash dividends of $0.50 per share in each quarter. In the first, second, and third quarters of fiscal 2018, we paid quarterly cash dividends of $0.45 per share in each quarter.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disclosed in our most recent Annual Report on Form 10-K for the 2018 fiscal year ended December 29, 2018, provisions in our secured revolving credit facility could have the effect of restricting our ability to pay future cash dividends on or make future repurchases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under the heading "Critical Accounting Policies and Estimates" in Item 7 of our most recent Annual Report on Form 10-K for the 2018 fiscal year ended December 29, 2018. Our critical accounting policies and estimates are those policies that require management's most difficult and subjective judgments and may result in the need to make estimates about the effect of matters that are inherently uncertain. Our critical accounting policies and</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3" w:right="239" w:bottom="1440" w:gutter="0" w:footer="0" w:header="0"/>
        </w:sectPr>
      </w:pPr>
    </w:p>
    <w:bookmarkStart w:id="32" w:name="page33"/>
    <w:bookmarkEnd w:id="3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for the effects that the adoption of ASC 842, Leases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had on our policies as disclosed under the header "Accounting Policies"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to the accompanying unaudited condensed consolidated financial statements contained in Item 1 of this Quarterly Report on Form 10-Q.</w:t>
      </w:r>
    </w:p>
    <w:p>
      <w:pPr>
        <w:spacing w:after="0" w:line="141"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 xml:space="preserve">Additionally, information related to the pending adoption of recently issued accounting standards is provided in Note 16, </w:t>
      </w:r>
      <w:r>
        <w:rPr>
          <w:rFonts w:ascii="Times New Roman" w:cs="Times New Roman" w:eastAsia="Times New Roman" w:hAnsi="Times New Roman"/>
          <w:sz w:val="18"/>
          <w:szCs w:val="18"/>
          <w:i w:val="1"/>
          <w:iCs w:val="1"/>
          <w:color w:val="auto"/>
        </w:rPr>
        <w:t>Pending Adoption of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Pronouncements</w:t>
      </w:r>
      <w:r>
        <w:rPr>
          <w:rFonts w:ascii="Times New Roman" w:cs="Times New Roman" w:eastAsia="Times New Roman" w:hAnsi="Times New Roman"/>
          <w:sz w:val="18"/>
          <w:szCs w:val="18"/>
          <w:color w:val="auto"/>
        </w:rPr>
        <w:t>, to the accompanying unaudited condensed consolidated financial statements contained in Item 1 of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333" w:right="259" w:bottom="1440" w:gutter="0" w:footer="0" w:header="0"/>
        </w:sectPr>
      </w:pPr>
    </w:p>
    <w:bookmarkStart w:id="33" w:name="page34"/>
    <w:bookmarkEnd w:id="33"/>
    <w:p>
      <w:pPr>
        <w:ind w:right="4120"/>
        <w:spacing w:after="0" w:line="346"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9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We cannot predict the impact that future currency fluctuations may have on our financial position, results of operations, or cash flows in future periods.</w:t>
      </w:r>
    </w:p>
    <w:p>
      <w:pPr>
        <w:spacing w:after="0" w:line="13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3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Fluctuations in currency exchange rates, primarily between the U.S. dollar and the currencies of Canada, Mexico, Hong Kong, and the United Kingdom, may affect our results of operations, financial position, and cash flows. Transactions by certain foreign subsidiaries may be denominated in currencies other than that entity's functional currency. Foreign currency transaction gains and losses also include the impact of non-current intercompany loans with foreign subsidiaries that are marked to market. In our statement of operations, these gains and losses are recorded within Other income/expense, net.</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overall strategy to manage the level of exposure to the risk of foreign currency exchange rate fluctuations, some of our foreign operations may use currency forward contracts from time to time to hedge the foreign currency exchange risk associated with purchases that are made in U.S. dollars, primarily for inventory purchases. As part of this strategy, we primarily use foreign currency forward exchange contracts that have maturities of less than 12 months to provide continuing coverage throughout the hedging period. As of September 28, 2019, there were no open foreign currency forward exchange contracts.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secured revolving credit facility, which carries variable interest rates. Our variable rate borrowings outstanding as of September 28, 2019 were $275.0 million. An increase or decrease of 1% in the effective interest rate on that amount would increase or decrease our annual pre-tax interest expense by approximately $2.8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September 28, 2019.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September 28, 2019 that have materially affected, or which are reasonably likely to materially affect, Internal Control.</w:t>
      </w:r>
    </w:p>
    <w:p>
      <w:pPr>
        <w:spacing w:after="0" w:line="13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that materially affected, or were likely to materially affect, such control over financial reporting during the fiscal quarter ended September 28, 2019.</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60" w:right="239" w:bottom="1440" w:gutter="0" w:footer="0" w:header="0"/>
        </w:sectPr>
      </w:pPr>
    </w:p>
    <w:bookmarkStart w:id="34" w:name="page35"/>
    <w:bookmarkEnd w:id="3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Form 10-K for the 2018 fiscal year ended December 29, 2018.</w:t>
      </w: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240" w:top="360"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third quarter of fiscal 2019:</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dollar value of shares</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that may</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yet be</w:t>
            </w:r>
          </w:p>
        </w:tc>
      </w:tr>
      <w:tr>
        <w:trPr>
          <w:trHeight w:val="203"/>
        </w:trPr>
        <w:tc>
          <w:tcPr>
            <w:tcW w:w="4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as part of</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purchased</w:t>
            </w:r>
          </w:p>
        </w:tc>
      </w:tr>
      <w:tr>
        <w:trPr>
          <w:trHeight w:val="203"/>
        </w:trPr>
        <w:tc>
          <w:tcPr>
            <w:tcW w:w="4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 shares</w:t>
            </w:r>
          </w:p>
        </w:tc>
        <w:tc>
          <w:tcPr>
            <w:tcW w:w="120" w:type="dxa"/>
            <w:vAlign w:val="bottom"/>
          </w:tcPr>
          <w:p>
            <w:pPr>
              <w:spacing w:after="0"/>
              <w:rPr>
                <w:sz w:val="17"/>
                <w:szCs w:val="17"/>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the plans</w:t>
            </w:r>
          </w:p>
        </w:tc>
      </w:tr>
      <w:tr>
        <w:trPr>
          <w:trHeight w:val="245"/>
        </w:trPr>
        <w:tc>
          <w:tcPr>
            <w:tcW w:w="4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purchased</w:t>
            </w:r>
            <w:r>
              <w:rPr>
                <w:rFonts w:ascii="Times New Roman" w:cs="Times New Roman" w:eastAsia="Times New Roman" w:hAnsi="Times New Roman"/>
                <w:sz w:val="21"/>
                <w:szCs w:val="21"/>
                <w:b w:val="1"/>
                <w:bCs w:val="1"/>
                <w:color w:val="auto"/>
                <w:w w:val="96"/>
                <w:vertAlign w:val="superscript"/>
              </w:rPr>
              <w:t>(1)</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(2)</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or programs</w:t>
            </w:r>
            <w:r>
              <w:rPr>
                <w:rFonts w:ascii="Times New Roman" w:cs="Times New Roman" w:eastAsia="Times New Roman" w:hAnsi="Times New Roman"/>
                <w:sz w:val="21"/>
                <w:szCs w:val="21"/>
                <w:b w:val="1"/>
                <w:bCs w:val="1"/>
                <w:color w:val="auto"/>
                <w:w w:val="95"/>
                <w:vertAlign w:val="superscript"/>
              </w:rPr>
              <w:t>(3)</w:t>
            </w: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30, 2019 through July 27,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183,541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183,541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$283,086,061</w:t>
            </w:r>
          </w:p>
        </w:tc>
      </w:tr>
      <w:tr>
        <w:trPr>
          <w:trHeight w:val="216"/>
        </w:trPr>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July 28, 2019 through August 24,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198,154</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197,141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$265,447,449</w:t>
            </w:r>
          </w:p>
        </w:tc>
      </w:tr>
      <w:tr>
        <w:trPr>
          <w:trHeight w:val="216"/>
        </w:trPr>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August 25, 2019 through September 28,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221,361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221,361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$245,148,670</w:t>
            </w:r>
          </w:p>
        </w:tc>
      </w:tr>
      <w:tr>
        <w:trPr>
          <w:trHeight w:val="216"/>
        </w:trPr>
        <w:tc>
          <w:tcPr>
            <w:tcW w:w="42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603,056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602,043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1" w:lineRule="exact"/>
        <w:rPr>
          <w:sz w:val="20"/>
          <w:szCs w:val="20"/>
          <w:color w:val="auto"/>
        </w:rPr>
      </w:pPr>
    </w:p>
    <w:p>
      <w:pPr>
        <w:ind w:left="340" w:right="460" w:hanging="332"/>
        <w:spacing w:after="0" w:line="282"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our common stock surrendered by our employees to satisfy required tax withholding upon the vesting of restricted stock awards. There were 1,013 shares surrendered between July 28, 2019 and August 24, 2019.</w:t>
      </w:r>
    </w:p>
    <w:p>
      <w:pPr>
        <w:spacing w:after="0" w:line="26" w:lineRule="exact"/>
        <w:rPr>
          <w:rFonts w:ascii="Times New Roman" w:cs="Times New Roman" w:eastAsia="Times New Roman" w:hAnsi="Times New Roman"/>
          <w:sz w:val="14"/>
          <w:szCs w:val="14"/>
          <w:color w:val="auto"/>
        </w:rPr>
      </w:pPr>
    </w:p>
    <w:p>
      <w:pPr>
        <w:ind w:left="340" w:right="100" w:hanging="332"/>
        <w:spacing w:after="0" w:line="282"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Share purchases during the third quarter of fiscal 2019 were made in compliance with all applicable rules and regulations and in accordance with the share repurchase authorizations described in Note 7, </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to our accompanying unaudited condensed consolidated financial statements included in Item 1 of this Quarterly Report on Form 10-Q.</w:t>
      </w:r>
    </w:p>
    <w:p>
      <w:pPr>
        <w:spacing w:after="0" w:line="2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share repurchase authorizations approved by our Board of Directors.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60"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4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r>
      <w:tr>
        <w:trPr>
          <w:trHeight w:val="20"/>
        </w:trPr>
        <w:tc>
          <w:tcPr>
            <w:tcW w:w="1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69"/>
        </w:trPr>
        <w:tc>
          <w:tcPr>
            <w:tcW w:w="11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9"/>
              </w:rPr>
              <w:t>3.1</w:t>
            </w:r>
          </w:p>
        </w:tc>
        <w:tc>
          <w:tcPr>
            <w:tcW w:w="600" w:type="dxa"/>
            <w:vAlign w:val="bottom"/>
          </w:tcPr>
          <w:p>
            <w:pPr>
              <w:spacing w:after="0"/>
              <w:rPr>
                <w:sz w:val="24"/>
                <w:szCs w:val="24"/>
                <w:color w:val="auto"/>
              </w:rPr>
            </w:pPr>
          </w:p>
        </w:tc>
        <w:tc>
          <w:tcPr>
            <w:tcW w:w="916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9">
              <w:r>
                <w:rPr>
                  <w:rFonts w:ascii="Times New Roman" w:cs="Times New Roman" w:eastAsia="Times New Roman" w:hAnsi="Times New Roman"/>
                  <w:sz w:val="16"/>
                  <w:szCs w:val="16"/>
                  <w:color w:val="0000FF"/>
                </w:rPr>
                <w:t>Certificate of Incorporation of Carter's, Inc., as amended on May 22, 2017 (incorporated by reference to Exhibit 3.1 of Carter's, Inc.'s Current</w:t>
              </w:r>
            </w:hyperlink>
          </w:p>
        </w:tc>
        <w:tc>
          <w:tcPr>
            <w:tcW w:w="28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900" w:type="dxa"/>
            <w:vAlign w:val="bottom"/>
            <w:tcBorders>
              <w:bottom w:val="single" w:sz="8" w:color="0000FF"/>
            </w:tcBorders>
            <w:gridSpan w:val="3"/>
          </w:tcPr>
          <w:p>
            <w:pPr>
              <w:spacing w:after="0" w:line="183" w:lineRule="exact"/>
              <w:rPr>
                <w:rFonts w:ascii="Times New Roman" w:cs="Times New Roman" w:eastAsia="Times New Roman" w:hAnsi="Times New Roman"/>
                <w:sz w:val="16"/>
                <w:szCs w:val="16"/>
                <w:color w:val="0000FF"/>
              </w:rPr>
            </w:pPr>
            <w:hyperlink r:id="rId9">
              <w:r>
                <w:rPr>
                  <w:rFonts w:ascii="Times New Roman" w:cs="Times New Roman" w:eastAsia="Times New Roman" w:hAnsi="Times New Roman"/>
                  <w:sz w:val="16"/>
                  <w:szCs w:val="16"/>
                  <w:color w:val="0000FF"/>
                </w:rPr>
                <w:t>Report on Form 8-K filed on May 23, 2017).</w:t>
              </w:r>
            </w:hyperlink>
          </w:p>
        </w:tc>
        <w:tc>
          <w:tcPr>
            <w:tcW w:w="6540" w:type="dxa"/>
            <w:vAlign w:val="bottom"/>
            <w:gridSpan w:val="3"/>
          </w:tcPr>
          <w:p>
            <w:pPr>
              <w:spacing w:after="0"/>
              <w:rPr>
                <w:sz w:val="15"/>
                <w:szCs w:val="15"/>
                <w:color w:val="auto"/>
              </w:rPr>
            </w:pPr>
          </w:p>
        </w:tc>
      </w:tr>
      <w:tr>
        <w:trPr>
          <w:trHeight w:val="237"/>
        </w:trPr>
        <w:tc>
          <w:tcPr>
            <w:tcW w:w="11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9"/>
              </w:rPr>
              <w:t>3.2</w:t>
            </w:r>
          </w:p>
        </w:tc>
        <w:tc>
          <w:tcPr>
            <w:tcW w:w="600" w:type="dxa"/>
            <w:vAlign w:val="bottom"/>
          </w:tcPr>
          <w:p>
            <w:pPr>
              <w:spacing w:after="0"/>
              <w:rPr>
                <w:sz w:val="20"/>
                <w:szCs w:val="20"/>
                <w:color w:val="auto"/>
              </w:rPr>
            </w:pPr>
          </w:p>
        </w:tc>
        <w:tc>
          <w:tcPr>
            <w:tcW w:w="944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10">
              <w:r>
                <w:rPr>
                  <w:rFonts w:ascii="Times New Roman" w:cs="Times New Roman" w:eastAsia="Times New Roman" w:hAnsi="Times New Roman"/>
                  <w:sz w:val="16"/>
                  <w:szCs w:val="16"/>
                  <w:color w:val="0000FF"/>
                </w:rPr>
                <w:t>Amended and Restated By-Laws of Carter's, Inc. (incorporated by reference to Exhibit 3.2 of Carter's, Inc.'s Current Report on Form 8-K filed on</w:t>
              </w:r>
            </w:hyperlink>
          </w:p>
        </w:tc>
      </w:tr>
      <w:tr>
        <w:trPr>
          <w:trHeight w:val="183"/>
        </w:trPr>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40" w:type="dxa"/>
            <w:vAlign w:val="bottom"/>
            <w:gridSpan w:val="6"/>
          </w:tcPr>
          <w:p>
            <w:pPr>
              <w:spacing w:after="0" w:line="183" w:lineRule="exact"/>
              <w:rPr>
                <w:rFonts w:ascii="Times New Roman" w:cs="Times New Roman" w:eastAsia="Times New Roman" w:hAnsi="Times New Roman"/>
                <w:sz w:val="16"/>
                <w:szCs w:val="16"/>
                <w:color w:val="0000FF"/>
              </w:rPr>
            </w:pPr>
            <w:hyperlink r:id="rId10">
              <w:r>
                <w:rPr>
                  <w:rFonts w:ascii="Times New Roman" w:cs="Times New Roman" w:eastAsia="Times New Roman" w:hAnsi="Times New Roman"/>
                  <w:sz w:val="16"/>
                  <w:szCs w:val="16"/>
                  <w:color w:val="0000FF"/>
                </w:rPr>
                <w:t>May 23, 2017).</w:t>
              </w:r>
            </w:hyperlink>
          </w:p>
        </w:tc>
      </w:tr>
      <w:tr>
        <w:trPr>
          <w:trHeight w:val="20"/>
        </w:trPr>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r>
      <w:tr>
        <w:trPr>
          <w:trHeight w:val="237"/>
        </w:trPr>
        <w:tc>
          <w:tcPr>
            <w:tcW w:w="11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9"/>
              </w:rPr>
              <w:t>31.1</w:t>
            </w:r>
          </w:p>
        </w:tc>
        <w:tc>
          <w:tcPr>
            <w:tcW w:w="600" w:type="dxa"/>
            <w:vAlign w:val="bottom"/>
          </w:tcPr>
          <w:p>
            <w:pPr>
              <w:spacing w:after="0"/>
              <w:rPr>
                <w:sz w:val="20"/>
                <w:szCs w:val="20"/>
                <w:color w:val="auto"/>
              </w:rPr>
            </w:pPr>
          </w:p>
        </w:tc>
        <w:tc>
          <w:tcPr>
            <w:tcW w:w="9440" w:type="dxa"/>
            <w:vAlign w:val="bottom"/>
            <w:gridSpan w:val="6"/>
          </w:tcPr>
          <w:p>
            <w:pPr>
              <w:spacing w:after="0"/>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color w:val="0000FF"/>
                </w:rPr>
                <w:t>Rule 13a-15(e)/15d-15(e) and 13a-15(f)/15d-15(f) Certification.</w:t>
              </w:r>
            </w:hyperlink>
          </w:p>
        </w:tc>
      </w:tr>
      <w:tr>
        <w:trPr>
          <w:trHeight w:val="20"/>
        </w:trPr>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r>
      <w:tr>
        <w:trPr>
          <w:trHeight w:val="237"/>
        </w:trPr>
        <w:tc>
          <w:tcPr>
            <w:tcW w:w="11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9"/>
              </w:rPr>
              <w:t>31.2</w:t>
            </w:r>
          </w:p>
        </w:tc>
        <w:tc>
          <w:tcPr>
            <w:tcW w:w="600" w:type="dxa"/>
            <w:vAlign w:val="bottom"/>
          </w:tcPr>
          <w:p>
            <w:pPr>
              <w:spacing w:after="0"/>
              <w:rPr>
                <w:sz w:val="20"/>
                <w:szCs w:val="20"/>
                <w:color w:val="auto"/>
              </w:rPr>
            </w:pPr>
          </w:p>
        </w:tc>
        <w:tc>
          <w:tcPr>
            <w:tcW w:w="9440" w:type="dxa"/>
            <w:vAlign w:val="bottom"/>
            <w:gridSpan w:val="6"/>
          </w:tcPr>
          <w:p>
            <w:pPr>
              <w:spacing w:after="0"/>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Rule 13a-15(e)/15d-15(e) and 13a-15(f)/15d-15(f) Certification.</w:t>
              </w:r>
            </w:hyperlink>
          </w:p>
        </w:tc>
      </w:tr>
      <w:tr>
        <w:trPr>
          <w:trHeight w:val="20"/>
        </w:trPr>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67" w:lineRule="exact"/>
        <w:rPr>
          <w:sz w:val="20"/>
          <w:szCs w:val="20"/>
          <w:color w:val="auto"/>
        </w:rPr>
      </w:pPr>
    </w:p>
    <w:p>
      <w:pPr>
        <w:ind w:left="1760" w:hanging="975"/>
        <w:spacing w:after="0"/>
        <w:tabs>
          <w:tab w:leader="none" w:pos="1760" w:val="left"/>
        </w:tabs>
        <w:numPr>
          <w:ilvl w:val="0"/>
          <w:numId w:val="27"/>
        </w:numPr>
        <w:rPr>
          <w:rFonts w:ascii="Times New Roman" w:cs="Times New Roman" w:eastAsia="Times New Roman" w:hAnsi="Times New Roman"/>
          <w:sz w:val="16"/>
          <w:szCs w:val="16"/>
          <w:u w:val="single" w:color="auto"/>
          <w:color w:val="0000FF"/>
        </w:rPr>
      </w:pPr>
      <w:hyperlink w:anchor="page41">
        <w:r>
          <w:rPr>
            <w:rFonts w:ascii="Times New Roman" w:cs="Times New Roman" w:eastAsia="Times New Roman" w:hAnsi="Times New Roman"/>
            <w:sz w:val="16"/>
            <w:szCs w:val="16"/>
            <w:u w:val="single" w:color="auto"/>
            <w:color w:val="0000FF"/>
          </w:rPr>
          <w:t>Section 1350 Certification.</w:t>
        </w:r>
      </w:hyperlink>
    </w:p>
    <w:p>
      <w:pPr>
        <w:spacing w:after="0" w:line="73" w:lineRule="exact"/>
        <w:rPr>
          <w:sz w:val="20"/>
          <w:szCs w:val="20"/>
          <w:color w:val="auto"/>
        </w:rPr>
      </w:pPr>
    </w:p>
    <w:p>
      <w:pPr>
        <w:ind w:left="740"/>
        <w:spacing w:after="0"/>
        <w:tabs>
          <w:tab w:leader="none" w:pos="174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240" w:top="360" w:right="459" w:bottom="1440" w:gutter="0" w:footer="0" w:header="0"/>
        </w:sectPr>
      </w:pPr>
    </w:p>
    <w:bookmarkStart w:id="37" w:name="page38"/>
    <w:bookmarkEnd w:id="37"/>
    <w:p>
      <w:pPr>
        <w:ind w:left="50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300"/>
        <w:spacing w:after="0"/>
        <w:tabs>
          <w:tab w:leader="none" w:pos="6240" w:val="left"/>
        </w:tabs>
        <w:rPr>
          <w:sz w:val="20"/>
          <w:szCs w:val="20"/>
          <w:color w:val="auto"/>
        </w:rPr>
      </w:pPr>
      <w:r>
        <w:rPr>
          <w:rFonts w:ascii="Times New Roman" w:cs="Times New Roman" w:eastAsia="Times New Roman" w:hAnsi="Times New Roman"/>
          <w:sz w:val="16"/>
          <w:szCs w:val="16"/>
          <w:color w:val="auto"/>
        </w:rPr>
        <w:t>October 24, 2019</w:t>
      </w:r>
      <w:r>
        <w:rPr>
          <w:sz w:val="20"/>
          <w:szCs w:val="20"/>
          <w:color w:val="auto"/>
        </w:rPr>
        <w:tab/>
      </w:r>
      <w:r>
        <w:rPr>
          <w:rFonts w:ascii="Times New Roman" w:cs="Times New Roman" w:eastAsia="Times New Roman" w:hAnsi="Times New Roman"/>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37465</wp:posOffset>
            </wp:positionV>
            <wp:extent cx="26073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07"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color w:val="auto"/>
        </w:rPr>
        <w:t>Michael D. Casey</w:t>
      </w:r>
    </w:p>
    <w:p>
      <w:pPr>
        <w:spacing w:after="0" w:line="71"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8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00"/>
        <w:spacing w:after="0"/>
        <w:tabs>
          <w:tab w:leader="none" w:pos="5880" w:val="left"/>
        </w:tabs>
        <w:rPr>
          <w:sz w:val="20"/>
          <w:szCs w:val="20"/>
          <w:color w:val="auto"/>
        </w:rPr>
      </w:pPr>
      <w:r>
        <w:rPr>
          <w:rFonts w:ascii="Times New Roman" w:cs="Times New Roman" w:eastAsia="Times New Roman" w:hAnsi="Times New Roman"/>
          <w:sz w:val="16"/>
          <w:szCs w:val="16"/>
          <w:color w:val="auto"/>
        </w:rPr>
        <w:t>October 24, 2019</w:t>
      </w:r>
      <w:r>
        <w:rPr>
          <w:sz w:val="20"/>
          <w:szCs w:val="20"/>
          <w:color w:val="auto"/>
        </w:rPr>
        <w:tab/>
      </w:r>
      <w:r>
        <w:rPr>
          <w:rFonts w:ascii="Times New Roman" w:cs="Times New Roman" w:eastAsia="Times New Roman" w:hAnsi="Times New Roman"/>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37465</wp:posOffset>
            </wp:positionV>
            <wp:extent cx="26073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07"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color w:val="auto"/>
        </w:rPr>
        <w:t>Richard F. Westenberger</w:t>
      </w:r>
    </w:p>
    <w:p>
      <w:pPr>
        <w:spacing w:after="0" w:line="71"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Executive Vice President and</w:t>
      </w:r>
    </w:p>
    <w:p>
      <w:pPr>
        <w:spacing w:after="0" w:line="86"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Chief Financial Officer</w:t>
      </w:r>
    </w:p>
    <w:p>
      <w:pPr>
        <w:spacing w:after="0" w:line="86"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00"/>
          </w:cols>
          <w:pgMar w:left="240" w:top="761" w:right="11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25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80" w:firstLine="5"/>
        <w:spacing w:after="0" w:line="282" w:lineRule="auto"/>
        <w:tabs>
          <w:tab w:leader="none" w:pos="155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60"/>
        <w:spacing w:after="0"/>
        <w:tabs>
          <w:tab w:leader="none" w:pos="6980" w:val="left"/>
        </w:tabs>
        <w:rPr>
          <w:sz w:val="20"/>
          <w:szCs w:val="20"/>
          <w:color w:val="auto"/>
        </w:rPr>
      </w:pPr>
      <w:r>
        <w:rPr>
          <w:rFonts w:ascii="Times New Roman" w:cs="Times New Roman" w:eastAsia="Times New Roman" w:hAnsi="Times New Roman"/>
          <w:sz w:val="18"/>
          <w:szCs w:val="18"/>
          <w:color w:val="auto"/>
        </w:rPr>
        <w:t>October 24, 2019</w:t>
      </w:r>
      <w:r>
        <w:rPr>
          <w:sz w:val="20"/>
          <w:szCs w:val="20"/>
          <w:color w:val="auto"/>
        </w:rPr>
        <w:tab/>
      </w:r>
      <w:r>
        <w:rPr>
          <w:rFonts w:ascii="Times New Roman" w:cs="Times New Roman" w:eastAsia="Times New Roman" w:hAnsi="Times New Roman"/>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18351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33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25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80" w:firstLine="5"/>
        <w:spacing w:after="0" w:line="282" w:lineRule="auto"/>
        <w:tabs>
          <w:tab w:leader="none" w:pos="15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960"/>
        <w:spacing w:after="0"/>
        <w:tabs>
          <w:tab w:leader="none" w:pos="6420" w:val="left"/>
        </w:tabs>
        <w:rPr>
          <w:sz w:val="20"/>
          <w:szCs w:val="20"/>
          <w:color w:val="auto"/>
        </w:rPr>
      </w:pPr>
      <w:r>
        <w:rPr>
          <w:rFonts w:ascii="Times New Roman" w:cs="Times New Roman" w:eastAsia="Times New Roman" w:hAnsi="Times New Roman"/>
          <w:sz w:val="18"/>
          <w:szCs w:val="18"/>
          <w:color w:val="auto"/>
        </w:rPr>
        <w:t>October 24, 2019</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21697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243"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knowledge, this Report on Form 10-Q for the fiscal quarter ended September 28, 2019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60"/>
        <w:spacing w:after="0"/>
        <w:tabs>
          <w:tab w:leader="none" w:pos="6580" w:val="left"/>
        </w:tabs>
        <w:rPr>
          <w:sz w:val="20"/>
          <w:szCs w:val="20"/>
          <w:color w:val="auto"/>
        </w:rPr>
      </w:pPr>
      <w:r>
        <w:rPr>
          <w:rFonts w:ascii="Times New Roman" w:cs="Times New Roman" w:eastAsia="Times New Roman" w:hAnsi="Times New Roman"/>
          <w:sz w:val="18"/>
          <w:szCs w:val="18"/>
          <w:color w:val="auto"/>
        </w:rPr>
        <w:t>October 24, 2019</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146050</wp:posOffset>
            </wp:positionV>
            <wp:extent cx="284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59"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60"/>
        <w:spacing w:after="0"/>
        <w:tabs>
          <w:tab w:leader="none" w:pos="6180" w:val="left"/>
        </w:tabs>
        <w:rPr>
          <w:sz w:val="20"/>
          <w:szCs w:val="20"/>
          <w:color w:val="auto"/>
        </w:rPr>
      </w:pPr>
      <w:r>
        <w:rPr>
          <w:rFonts w:ascii="Times New Roman" w:cs="Times New Roman" w:eastAsia="Times New Roman" w:hAnsi="Times New Roman"/>
          <w:sz w:val="18"/>
          <w:szCs w:val="18"/>
          <w:color w:val="auto"/>
        </w:rPr>
        <w:t>October 24, 2019</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146050</wp:posOffset>
            </wp:positionV>
            <wp:extent cx="284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5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6"/>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lvl w:ilvl="1">
      <w:lvlJc w:val="left"/>
      <w:lvlText w:val="•"/>
      <w:numFmt w:val="bullet"/>
      <w:start w:val="1"/>
    </w:lvl>
  </w:abstractNum>
  <w:abstractNum w:abstractNumId="20">
    <w:nsid w:val="79838CB2"/>
    <w:multiLevelType w:val="hybridMultilevel"/>
    <w:lvl w:ilvl="0">
      <w:lvlJc w:val="left"/>
      <w:lvlText w:val="•"/>
      <w:numFmt w:val="bullet"/>
      <w:start w:val="1"/>
    </w:lvl>
    <w:lvl w:ilvl="1">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32"/>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9" Type="http://schemas.openxmlformats.org/officeDocument/2006/relationships/hyperlink" Target="http://www.sec.gov/Archives/edgar/data/1060822/000119312517179483/d400342dex31.htm" TargetMode="External"/><Relationship Id="rId10" Type="http://schemas.openxmlformats.org/officeDocument/2006/relationships/hyperlink" Target="http://www.sec.gov/Archives/edgar/data/1060822/000119312517179483/d40034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2019-12-28T04:32:45Z</dcterms:created>
  <dcterms:modified xsi:type="dcterms:W3CDTF">2019-12-28T04:32:45Z</dcterms:modified>
</cp:coreProperties>
</file>