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jc w:val="center"/>
        <w:ind w:left="3940" w:right="1300" w:hanging="2611"/>
        <w:spacing w:after="0" w:line="307" w:lineRule="auto"/>
        <w:tabs>
          <w:tab w:leader="none" w:pos="168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28, 2024</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3660" w:right="1260" w:hanging="2366"/>
        <w:spacing w:after="0" w:line="249" w:lineRule="auto"/>
        <w:tabs>
          <w:tab w:leader="none" w:pos="170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__________to __________</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Commission file number: 001-31829</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1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053" w:right="359" w:bottom="1440" w:gutter="0" w:footer="0" w:header="0"/>
        </w:sectPr>
      </w:pPr>
    </w:p>
    <w:p>
      <w:pPr>
        <w:spacing w:after="0" w:line="160"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34" w:lineRule="exact"/>
        <w:rPr>
          <w:sz w:val="24"/>
          <w:szCs w:val="24"/>
          <w:color w:val="auto"/>
        </w:rPr>
      </w:pPr>
    </w:p>
    <w:p>
      <w:pPr>
        <w:sectPr>
          <w:pgSz w:w="11900" w:h="16838" w:orient="portrait"/>
          <w:cols w:equalWidth="0" w:num="2">
            <w:col w:w="7140" w:space="720"/>
            <w:col w:w="3360"/>
          </w:cols>
          <w:pgMar w:left="320" w:top="1053" w:right="35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360" w:space="720"/>
            <w:col w:w="4140"/>
          </w:cols>
          <w:pgMar w:left="320" w:top="1053" w:right="359" w:bottom="1440" w:gutter="0" w:footer="0" w:header="0"/>
          <w:type w:val="continuous"/>
        </w:sectPr>
      </w:pP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71"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08"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98"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0"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18, 2024, there were 36,038,814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6643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100" w:type="dxa"/>
            <w:vAlign w:val="bottom"/>
            <w:gridSpan w:val="12"/>
          </w:tcPr>
          <w:p>
            <w:pPr>
              <w:jc w:val="center"/>
              <w:ind w:right="3020"/>
              <w:spacing w:after="0"/>
              <w:rPr>
                <w:sz w:val="20"/>
                <w:szCs w:val="20"/>
                <w:color w:val="auto"/>
              </w:rPr>
            </w:pPr>
            <w:r>
              <w:rPr>
                <w:rFonts w:ascii="Times New Roman" w:cs="Times New Roman" w:eastAsia="Times New Roman" w:hAnsi="Times New Roman"/>
                <w:sz w:val="20"/>
                <w:szCs w:val="20"/>
                <w:b w:val="1"/>
                <w:bCs w:val="1"/>
                <w:color w:val="auto"/>
                <w:w w:val="98"/>
              </w:rPr>
              <w:t>CARTER’S, INC.</w:t>
            </w: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60" w:type="dxa"/>
            <w:vAlign w:val="bottom"/>
            <w:gridSpan w:val="11"/>
          </w:tcPr>
          <w:p>
            <w:pPr>
              <w:jc w:val="center"/>
              <w:ind w:right="346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96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560" w:type="dxa"/>
            <w:vAlign w:val="bottom"/>
            <w:gridSpan w:val="5"/>
          </w:tcPr>
          <w:p>
            <w:pPr>
              <w:ind w:left="58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3"/>
            <w:shd w:val="clear" w:color="auto" w:fill="CCEEFF"/>
          </w:tcPr>
          <w:p>
            <w:pPr>
              <w:spacing w:after="0"/>
              <w:rPr>
                <w:sz w:val="15"/>
                <w:szCs w:val="15"/>
                <w:color w:val="auto"/>
              </w:rPr>
            </w:pPr>
          </w:p>
        </w:tc>
        <w:tc>
          <w:tcPr>
            <w:tcW w:w="8000" w:type="dxa"/>
            <w:vAlign w:val="bottom"/>
            <w:gridSpan w:val="2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Financial Statements</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4"/>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Balance Sheets as of September 28, 2024, December 30, 2023 and September 30,</w:t>
            </w:r>
          </w:p>
        </w:tc>
        <w:tc>
          <w:tcPr>
            <w:tcW w:w="82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2023</w:t>
            </w: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Operations for the fiscal quarter and three fiscal quarters ended</w:t>
            </w:r>
          </w:p>
        </w:tc>
        <w:tc>
          <w:tcPr>
            <w:tcW w:w="820" w:type="dxa"/>
            <w:vAlign w:val="bottom"/>
            <w:gridSpan w:val="3"/>
            <w:vMerge w:val="restart"/>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0000FF"/>
                <w:w w:val="99"/>
              </w:rPr>
              <w:t>2</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7380" w:type="dxa"/>
            <w:vAlign w:val="bottom"/>
            <w:tcBorders>
              <w:top w:val="single" w:sz="8" w:color="0000FF"/>
            </w:tcBorders>
            <w:gridSpan w:val="20"/>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September 28, 2024 and September 30, 2023</w:t>
            </w:r>
          </w:p>
        </w:tc>
        <w:tc>
          <w:tcPr>
            <w:tcW w:w="4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4"/>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Comprehensive Income for the fiscal quarter and three fiscal quarters</w:t>
            </w:r>
          </w:p>
        </w:tc>
        <w:tc>
          <w:tcPr>
            <w:tcW w:w="82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78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rPr>
              <w:t>ended September 28, 2024 and September 30, 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Changes in Shareholders’ Equity for the fiscal quarters ended</w:t>
            </w:r>
          </w:p>
        </w:tc>
        <w:tc>
          <w:tcPr>
            <w:tcW w:w="820" w:type="dxa"/>
            <w:vAlign w:val="bottom"/>
            <w:gridSpan w:val="3"/>
            <w:vMerge w:val="restart"/>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6840" w:type="dxa"/>
            <w:vAlign w:val="bottom"/>
            <w:tcBorders>
              <w:top w:val="single" w:sz="8" w:color="0000FF"/>
            </w:tcBorders>
            <w:gridSpan w:val="1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September 28, 2024, June 29, 2024, March 30, 2024, September 30, 2023, July 1, 2023 and April 1, 2023</w:t>
            </w:r>
          </w:p>
        </w:tc>
        <w:tc>
          <w:tcPr>
            <w:tcW w:w="440" w:type="dxa"/>
            <w:vAlign w:val="bottom"/>
            <w:tcBorders>
              <w:top w:val="single" w:sz="8" w:color="0000FF"/>
            </w:tcBorders>
            <w:shd w:val="clear" w:color="auto" w:fill="CCEEFF"/>
          </w:tcPr>
          <w:p>
            <w:pPr>
              <w:spacing w:after="0"/>
              <w:rPr>
                <w:sz w:val="12"/>
                <w:szCs w:val="12"/>
                <w:color w:val="auto"/>
              </w:rPr>
            </w:pPr>
          </w:p>
        </w:tc>
        <w:tc>
          <w:tcPr>
            <w:tcW w:w="600" w:type="dxa"/>
            <w:vAlign w:val="bottom"/>
            <w:tcBorders>
              <w:top w:val="single" w:sz="8" w:color="CCEEFF"/>
            </w:tcBorders>
            <w:gridSpan w:val="4"/>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4"/>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Cash Flows for the three fiscal quarters ended September 28, 2024 and</w:t>
            </w:r>
          </w:p>
        </w:tc>
        <w:tc>
          <w:tcPr>
            <w:tcW w:w="82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8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2023</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Notes to the Unaudited Condensed Consolidated Financial Statements</w:t>
            </w:r>
          </w:p>
        </w:tc>
        <w:tc>
          <w:tcPr>
            <w:tcW w:w="820" w:type="dxa"/>
            <w:vAlign w:val="bottom"/>
            <w:gridSpan w:val="3"/>
            <w:shd w:val="clear" w:color="auto" w:fill="CCEEFF"/>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8000" w:type="dxa"/>
            <w:vAlign w:val="bottom"/>
            <w:gridSpan w:val="24"/>
          </w:tcPr>
          <w:p>
            <w:pPr>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3"/>
            <w:shd w:val="clear" w:color="auto" w:fill="CCEEFF"/>
          </w:tcPr>
          <w:p>
            <w:pPr>
              <w:spacing w:after="0"/>
              <w:rPr>
                <w:sz w:val="15"/>
                <w:szCs w:val="15"/>
                <w:color w:val="auto"/>
              </w:rPr>
            </w:pPr>
          </w:p>
        </w:tc>
        <w:tc>
          <w:tcPr>
            <w:tcW w:w="388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120" w:type="dxa"/>
            <w:vAlign w:val="bottom"/>
            <w:gridSpan w:val="10"/>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3"/>
          </w:tcPr>
          <w:p>
            <w:pPr>
              <w:spacing w:after="0"/>
              <w:rPr>
                <w:sz w:val="15"/>
                <w:szCs w:val="15"/>
                <w:color w:val="auto"/>
              </w:rPr>
            </w:pPr>
          </w:p>
        </w:tc>
        <w:tc>
          <w:tcPr>
            <w:tcW w:w="388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4120" w:type="dxa"/>
            <w:vAlign w:val="bottom"/>
            <w:gridSpan w:val="10"/>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30</w:t>
            </w:r>
          </w:p>
        </w:tc>
        <w:tc>
          <w:tcPr>
            <w:tcW w:w="0" w:type="dxa"/>
            <w:vAlign w:val="bottom"/>
          </w:tcPr>
          <w:p>
            <w:pPr>
              <w:spacing w:after="0"/>
              <w:rPr>
                <w:sz w:val="1"/>
                <w:szCs w:val="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2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32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6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38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10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240" w:type="dxa"/>
            <w:vAlign w:val="bottom"/>
            <w:tcBorders>
              <w:top w:val="single" w:sz="8" w:color="0000FF"/>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3"/>
            <w:shd w:val="clear" w:color="auto" w:fill="CCEEFF"/>
          </w:tcPr>
          <w:p>
            <w:pPr>
              <w:spacing w:after="0"/>
              <w:rPr>
                <w:sz w:val="15"/>
                <w:szCs w:val="15"/>
                <w:color w:val="auto"/>
              </w:rPr>
            </w:pPr>
          </w:p>
        </w:tc>
        <w:tc>
          <w:tcPr>
            <w:tcW w:w="120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6800" w:type="dxa"/>
            <w:vAlign w:val="bottom"/>
            <w:gridSpan w:val="17"/>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8000" w:type="dxa"/>
            <w:vAlign w:val="bottom"/>
            <w:gridSpan w:val="24"/>
          </w:tcPr>
          <w:p>
            <w:pPr>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2</w:t>
            </w:r>
          </w:p>
        </w:tc>
        <w:tc>
          <w:tcPr>
            <w:tcW w:w="640" w:type="dxa"/>
            <w:vAlign w:val="bottom"/>
            <w:gridSpan w:val="3"/>
            <w:shd w:val="clear" w:color="auto" w:fill="CCEEFF"/>
          </w:tcPr>
          <w:p>
            <w:pPr>
              <w:spacing w:after="0"/>
              <w:rPr>
                <w:sz w:val="15"/>
                <w:szCs w:val="15"/>
                <w:color w:val="auto"/>
              </w:rPr>
            </w:pPr>
          </w:p>
        </w:tc>
        <w:tc>
          <w:tcPr>
            <w:tcW w:w="8000" w:type="dxa"/>
            <w:vAlign w:val="bottom"/>
            <w:gridSpan w:val="2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3"/>
          </w:tcPr>
          <w:p>
            <w:pPr>
              <w:spacing w:after="0"/>
              <w:rPr>
                <w:sz w:val="15"/>
                <w:szCs w:val="15"/>
                <w:color w:val="auto"/>
              </w:rPr>
            </w:pPr>
          </w:p>
        </w:tc>
        <w:tc>
          <w:tcPr>
            <w:tcW w:w="3900" w:type="dxa"/>
            <w:vAlign w:val="bottom"/>
            <w:gridSpan w:val="15"/>
          </w:tcPr>
          <w:p>
            <w:pPr>
              <w:spacing w:after="0" w:line="175"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4100" w:type="dxa"/>
            <w:vAlign w:val="bottom"/>
            <w:gridSpan w:val="9"/>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3"/>
            <w:shd w:val="clear" w:color="auto" w:fill="CCEEFF"/>
          </w:tcPr>
          <w:p>
            <w:pPr>
              <w:spacing w:after="0"/>
              <w:rPr>
                <w:sz w:val="15"/>
                <w:szCs w:val="15"/>
                <w:color w:val="auto"/>
              </w:rPr>
            </w:pPr>
          </w:p>
        </w:tc>
        <w:tc>
          <w:tcPr>
            <w:tcW w:w="8000" w:type="dxa"/>
            <w:vAlign w:val="bottom"/>
            <w:gridSpan w:val="2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5</w:t>
            </w:r>
          </w:p>
        </w:tc>
        <w:tc>
          <w:tcPr>
            <w:tcW w:w="640" w:type="dxa"/>
            <w:vAlign w:val="bottom"/>
            <w:gridSpan w:val="3"/>
          </w:tcPr>
          <w:p>
            <w:pPr>
              <w:spacing w:after="0"/>
              <w:rPr>
                <w:sz w:val="15"/>
                <w:szCs w:val="15"/>
                <w:color w:val="auto"/>
              </w:rPr>
            </w:pPr>
          </w:p>
        </w:tc>
        <w:tc>
          <w:tcPr>
            <w:tcW w:w="158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6420" w:type="dxa"/>
            <w:vAlign w:val="bottom"/>
            <w:gridSpan w:val="14"/>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8000" w:type="dxa"/>
            <w:vAlign w:val="bottom"/>
            <w:gridSpan w:val="2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Certifications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5"/>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10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28, 2024</w:t>
            </w:r>
          </w:p>
        </w:tc>
        <w:tc>
          <w:tcPr>
            <w:tcW w:w="20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30, 2023</w:t>
            </w:r>
          </w:p>
        </w:tc>
        <w:tc>
          <w:tcPr>
            <w:tcW w:w="180" w:type="dxa"/>
            <w:vAlign w:val="bottom"/>
          </w:tcPr>
          <w:p>
            <w:pPr>
              <w:spacing w:after="0"/>
              <w:rPr>
                <w:sz w:val="17"/>
                <w:szCs w:val="17"/>
                <w:color w:val="auto"/>
              </w:rPr>
            </w:pPr>
          </w:p>
        </w:tc>
        <w:tc>
          <w:tcPr>
            <w:tcW w:w="168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187"/>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175,536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351,213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169,106</w:t>
            </w:r>
          </w:p>
        </w:tc>
      </w:tr>
      <w:tr>
        <w:trPr>
          <w:trHeight w:val="148"/>
        </w:trPr>
        <w:tc>
          <w:tcPr>
            <w:tcW w:w="542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Accounts receivable, net of allowance for credit losses of $8,303, $4,754, and $6,741,</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2"/>
        </w:trPr>
        <w:tc>
          <w:tcPr>
            <w:tcW w:w="5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respectively</w:t>
            </w: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247,013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183,774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240,507</w:t>
            </w:r>
          </w:p>
        </w:tc>
      </w:tr>
      <w:tr>
        <w:trPr>
          <w:trHeight w:val="153"/>
        </w:trPr>
        <w:tc>
          <w:tcPr>
            <w:tcW w:w="542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Finished goods inventories, net of inventory reserves of $17,135, $8,990, and</w:t>
            </w: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216"/>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$19,014, respectively</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607,384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620,669</w:t>
            </w:r>
          </w:p>
        </w:tc>
      </w:tr>
      <w:tr>
        <w:trPr>
          <w:trHeight w:val="200"/>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41,577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29,131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37,604</w:t>
            </w:r>
          </w:p>
        </w:tc>
      </w:tr>
      <w:tr>
        <w:trPr>
          <w:trHeight w:val="198"/>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1,071,510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1,101,243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1,067,886</w:t>
            </w:r>
          </w:p>
        </w:tc>
      </w:tr>
      <w:tr>
        <w:trPr>
          <w:trHeight w:val="148"/>
        </w:trPr>
        <w:tc>
          <w:tcPr>
            <w:tcW w:w="54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Property, plant, and equipment, net of accumulated depreciation of $642,420,</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$615,907, and $605,857, respectively</w:t>
            </w: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182,292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180,888</w:t>
            </w:r>
          </w:p>
        </w:tc>
      </w:tr>
      <w:tr>
        <w:trPr>
          <w:trHeight w:val="20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560,246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528,407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506,010</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Tradenames, net</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298,053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298,186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298,230</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209,384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210,537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209,494</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relationships, net</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24,440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28,087</w:t>
            </w: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32,460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29,891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29,211</w:t>
            </w:r>
          </w:p>
        </w:tc>
      </w:tr>
      <w:tr>
        <w:trPr>
          <w:trHeight w:val="198"/>
        </w:trPr>
        <w:tc>
          <w:tcPr>
            <w:tcW w:w="54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2,378,385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2,378,613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2,319,806</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29"/>
        </w:trPr>
        <w:tc>
          <w:tcPr>
            <w:tcW w:w="5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20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0"/>
        </w:trPr>
        <w:tc>
          <w:tcPr>
            <w:tcW w:w="5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273,909</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242,149</w:t>
            </w:r>
          </w:p>
        </w:tc>
        <w:tc>
          <w:tcPr>
            <w:tcW w:w="12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222,210</w:t>
            </w:r>
          </w:p>
        </w:tc>
      </w:tr>
      <w:tr>
        <w:trPr>
          <w:trHeight w:val="20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135,865</w:t>
            </w:r>
          </w:p>
        </w:tc>
      </w:tr>
      <w:tr>
        <w:trPr>
          <w:trHeight w:val="200"/>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80,059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134,344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106,122</w:t>
            </w:r>
          </w:p>
        </w:tc>
      </w:tr>
      <w:tr>
        <w:trPr>
          <w:trHeight w:val="198"/>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484,108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511,862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464,197</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 net</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497,930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497,354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567,168</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48,890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41,217</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20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485,613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448,810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427,280</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32,504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33,867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34,633</w:t>
            </w:r>
          </w:p>
        </w:tc>
      </w:tr>
      <w:tr>
        <w:trPr>
          <w:trHeight w:val="194"/>
        </w:trPr>
        <w:tc>
          <w:tcPr>
            <w:tcW w:w="54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1,549,045</w:t>
            </w:r>
          </w:p>
        </w:tc>
        <w:tc>
          <w:tcPr>
            <w:tcW w:w="1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1,533,363</w:t>
            </w:r>
          </w:p>
        </w:tc>
        <w:tc>
          <w:tcPr>
            <w:tcW w:w="12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1,534,495</w:t>
            </w:r>
          </w:p>
        </w:tc>
      </w:tr>
      <w:tr>
        <w:trPr>
          <w:trHeight w:val="164"/>
        </w:trPr>
        <w:tc>
          <w:tcPr>
            <w:tcW w:w="5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 Note 13</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64"/>
        </w:trPr>
        <w:tc>
          <w:tcPr>
            <w:tcW w:w="5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51"/>
        </w:trPr>
        <w:tc>
          <w:tcPr>
            <w:tcW w:w="542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Preferred stock; par value $0.01 per share; 100,000 shares authorized; none issued or</w:t>
            </w: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48"/>
        </w:trPr>
        <w:tc>
          <w:tcPr>
            <w:tcW w:w="54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Common stock, voting; par value $0.01 per share; 150,000,000 shares authorized;</w:t>
            </w: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36,038,814, 36,551,221, and 36,969,967 shares issued and outstanding, respectively</w:t>
            </w: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(29,142)</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861,341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868,799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814,083</w:t>
            </w:r>
          </w:p>
        </w:tc>
      </w:tr>
      <w:tr>
        <w:trPr>
          <w:trHeight w:val="194"/>
        </w:trPr>
        <w:tc>
          <w:tcPr>
            <w:tcW w:w="54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829,340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845,250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785,311</w:t>
            </w:r>
          </w:p>
        </w:tc>
      </w:tr>
      <w:tr>
        <w:trPr>
          <w:trHeight w:val="223"/>
        </w:trPr>
        <w:tc>
          <w:tcPr>
            <w:tcW w:w="5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Total liabilities and shareholders’ equity</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2,378,385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2,378,613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2,319,806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 w:type="dxa"/>
            <w:vAlign w:val="bottom"/>
          </w:tcPr>
          <w:p>
            <w:pPr>
              <w:spacing w:after="0"/>
              <w:rPr>
                <w:sz w:val="18"/>
                <w:szCs w:val="18"/>
                <w:color w:val="auto"/>
              </w:rPr>
            </w:pPr>
          </w:p>
        </w:tc>
        <w:tc>
          <w:tcPr>
            <w:tcW w:w="336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1"/>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1,984,390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2,087,730</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415,254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1,030,249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1,109,970</w:t>
            </w:r>
          </w:p>
        </w:tc>
      </w:tr>
      <w:tr>
        <w:trPr>
          <w:trHeight w:val="21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977,760</w:t>
            </w: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16,573</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806,988</w:t>
            </w: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187,345</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26,342</w:t>
            </w: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164,290</w:t>
            </w: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38,300</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66,127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125,990</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29"/>
        </w:trPr>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 w:type="dxa"/>
            <w:vAlign w:val="bottom"/>
          </w:tcPr>
          <w:p>
            <w:pPr>
              <w:spacing w:after="0"/>
              <w:rPr>
                <w:sz w:val="18"/>
                <w:szCs w:val="18"/>
                <w:color w:val="auto"/>
              </w:rPr>
            </w:pPr>
          </w:p>
        </w:tc>
        <w:tc>
          <w:tcPr>
            <w:tcW w:w="346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125,990</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94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Partial pension settlement charge, net of tax of $224 for</w:t>
            </w:r>
          </w:p>
        </w:tc>
        <w:tc>
          <w:tcPr>
            <w:tcW w:w="1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the third quarter and first three quarters of fiscal 2024</w:t>
            </w:r>
          </w:p>
        </w:tc>
        <w:tc>
          <w:tcPr>
            <w:tcW w:w="1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Unrealized gain on OshKosh B’gosh defined benefit plan,</w:t>
            </w: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net of tax of $476 for the third quarter and first three</w:t>
            </w:r>
          </w:p>
        </w:tc>
        <w:tc>
          <w:tcPr>
            <w:tcW w:w="1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quarters of fiscal 2024</w:t>
            </w:r>
          </w:p>
        </w:tc>
        <w:tc>
          <w:tcPr>
            <w:tcW w:w="1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7"/>
                <w:szCs w:val="17"/>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25"/>
        </w:trPr>
        <w:tc>
          <w:tcPr>
            <w:tcW w:w="340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37,692,132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830,370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796,409</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(9,586)</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39,922</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7"/>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37,799,251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827,927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797,893</w:t>
            </w:r>
          </w:p>
        </w:tc>
        <w:tc>
          <w:tcPr>
            <w:tcW w:w="0" w:type="dxa"/>
            <w:vAlign w:val="bottom"/>
          </w:tcPr>
          <w:p>
            <w:pPr>
              <w:spacing w:after="0"/>
              <w:rPr>
                <w:sz w:val="1"/>
                <w:szCs w:val="1"/>
                <w:color w:val="auto"/>
              </w:rPr>
            </w:pPr>
          </w:p>
        </w:tc>
      </w:tr>
      <w:tr>
        <w:trPr>
          <w:trHeight w:val="145"/>
        </w:trPr>
        <w:tc>
          <w:tcPr>
            <w:tcW w:w="3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(30,336)</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7"/>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37,354,464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799,598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775,009</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(27,570)</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(27,862)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(27,862)</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61,948</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37"/>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36,969,967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785,311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7"/>
                <w:szCs w:val="17"/>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9"/>
                <w:szCs w:val="19"/>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30, 2023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36,551,221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845,250</w:t>
            </w:r>
          </w:p>
        </w:tc>
        <w:tc>
          <w:tcPr>
            <w:tcW w:w="0" w:type="dxa"/>
            <w:vAlign w:val="bottom"/>
          </w:tcPr>
          <w:p>
            <w:pPr>
              <w:spacing w:after="0"/>
              <w:rPr>
                <w:sz w:val="1"/>
                <w:szCs w:val="1"/>
                <w:color w:val="auto"/>
              </w:rPr>
            </w:pPr>
          </w:p>
        </w:tc>
      </w:tr>
      <w:tr>
        <w:trPr>
          <w:trHeight w:val="20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$0.80 per</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36,281</w:t>
            </w:r>
          </w:p>
        </w:tc>
        <w:tc>
          <w:tcPr>
            <w:tcW w:w="0" w:type="dxa"/>
            <w:vAlign w:val="bottom"/>
          </w:tcPr>
          <w:p>
            <w:pPr>
              <w:spacing w:after="0"/>
              <w:rPr>
                <w:sz w:val="1"/>
                <w:szCs w:val="1"/>
                <w:color w:val="auto"/>
              </w:rPr>
            </w:pP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36,600,032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841,353</w:t>
            </w:r>
          </w:p>
        </w:tc>
        <w:tc>
          <w:tcPr>
            <w:tcW w:w="0" w:type="dxa"/>
            <w:vAlign w:val="bottom"/>
          </w:tcPr>
          <w:p>
            <w:pPr>
              <w:spacing w:after="0"/>
              <w:rPr>
                <w:sz w:val="1"/>
                <w:szCs w:val="1"/>
                <w:color w:val="auto"/>
              </w:rPr>
            </w:pPr>
          </w:p>
        </w:tc>
      </w:tr>
      <w:tr>
        <w:trPr>
          <w:trHeight w:val="142"/>
        </w:trPr>
        <w:tc>
          <w:tcPr>
            <w:tcW w:w="33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(24,778)</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and paid of $0.80 per</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(29,172)</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20,492</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29,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36,280,056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844,201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811,750</w:t>
            </w:r>
          </w:p>
        </w:tc>
        <w:tc>
          <w:tcPr>
            <w:tcW w:w="0" w:type="dxa"/>
            <w:vAlign w:val="bottom"/>
          </w:tcPr>
          <w:p>
            <w:pPr>
              <w:spacing w:after="0"/>
              <w:rPr>
                <w:sz w:val="1"/>
                <w:szCs w:val="1"/>
                <w:color w:val="auto"/>
              </w:rPr>
            </w:pPr>
          </w:p>
        </w:tc>
      </w:tr>
      <w:tr>
        <w:trPr>
          <w:trHeight w:val="142"/>
        </w:trPr>
        <w:tc>
          <w:tcPr>
            <w:tcW w:w="33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Withholdings from vesting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(16,749)</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and paid of $0.80 per</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(28,835)</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58,773</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28,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36,038,814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829,340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5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4"/>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Three fiscal quarters ended</w:t>
            </w:r>
          </w:p>
        </w:tc>
      </w:tr>
      <w:tr>
        <w:trPr>
          <w:trHeight w:val="200"/>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28, 2024</w:t>
            </w:r>
          </w:p>
        </w:tc>
        <w:tc>
          <w:tcPr>
            <w:tcW w:w="200" w:type="dxa"/>
            <w:vAlign w:val="bottom"/>
          </w:tcPr>
          <w:p>
            <w:pPr>
              <w:spacing w:after="0"/>
              <w:rPr>
                <w:sz w:val="17"/>
                <w:szCs w:val="17"/>
                <w:color w:val="auto"/>
              </w:rPr>
            </w:pPr>
          </w:p>
        </w:tc>
        <w:tc>
          <w:tcPr>
            <w:tcW w:w="166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18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0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123,992</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125,990</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Depreciation of property, plant, and equipment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45,764</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2,805</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Provision for (recoveries of) excess and obsolete inventory, net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Gain on partial termination of corporate lease</w:t>
            </w:r>
          </w:p>
        </w:tc>
        <w:tc>
          <w:tcPr>
            <w:tcW w:w="2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(4,366)</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Other asset impairments and loss on disposal of property, plant and equipment, net of recoveries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2,807</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14,912</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Unrealized foreign currency exchange loss (gain), net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Provisions for doubtful accounts receivable from customers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2,402</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Unrealized gain on investments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Partial pension plan settlement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Deferred income taxes expense (benefit)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Effect of changes in operating assets and liabilities: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5"/>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Accounts receivable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(43,623)</w:t>
            </w:r>
          </w:p>
        </w:tc>
      </w:tr>
      <w:tr>
        <w:trPr>
          <w:trHeight w:val="200"/>
        </w:trPr>
        <w:tc>
          <w:tcPr>
            <w:tcW w:w="74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Finished goods inventories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127,190</w:t>
            </w:r>
          </w:p>
        </w:tc>
      </w:tr>
      <w:tr>
        <w:trPr>
          <w:trHeight w:val="205"/>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(3,965)</w:t>
            </w:r>
          </w:p>
        </w:tc>
      </w:tr>
      <w:tr>
        <w:trPr>
          <w:trHeight w:val="200"/>
        </w:trPr>
        <w:tc>
          <w:tcPr>
            <w:tcW w:w="7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(62,447)</w:t>
            </w:r>
          </w:p>
        </w:tc>
      </w:tr>
      <w:tr>
        <w:trPr>
          <w:trHeight w:val="196"/>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205,790</w:t>
            </w:r>
          </w:p>
        </w:tc>
      </w:tr>
      <w:tr>
        <w:trPr>
          <w:trHeight w:val="144"/>
        </w:trPr>
        <w:tc>
          <w:tcPr>
            <w:tcW w:w="7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0"/>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Capital expenditures</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(39,637)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(42,470)</w:t>
            </w:r>
          </w:p>
        </w:tc>
      </w:tr>
      <w:tr>
        <w:trPr>
          <w:trHeight w:val="196"/>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(39,637)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(42,470)</w:t>
            </w:r>
          </w:p>
        </w:tc>
      </w:tr>
      <w:tr>
        <w:trPr>
          <w:trHeight w:val="144"/>
        </w:trPr>
        <w:tc>
          <w:tcPr>
            <w:tcW w:w="7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Borrowings under secured revolving credit facility</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70,000</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on secured revolving credit facility</w:t>
            </w:r>
          </w:p>
        </w:tc>
        <w:tc>
          <w:tcPr>
            <w:tcW w:w="2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(120,000)</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(67,492)</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paid</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(84,503)</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Withholdings from vesting of restricted stock</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(5,007)</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exercises of stock options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w:t>
            </w:r>
          </w:p>
        </w:tc>
      </w:tr>
      <w:tr>
        <w:trPr>
          <w:trHeight w:val="194"/>
        </w:trPr>
        <w:tc>
          <w:tcPr>
            <w:tcW w:w="74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(145,073)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(206,618)</w:t>
            </w:r>
          </w:p>
        </w:tc>
      </w:tr>
      <w:tr>
        <w:trPr>
          <w:trHeight w:val="144"/>
        </w:trPr>
        <w:tc>
          <w:tcPr>
            <w:tcW w:w="7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20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effect of exchange rate changes on cash and cash equivalents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656</w:t>
            </w:r>
          </w:p>
        </w:tc>
      </w:tr>
      <w:tr>
        <w:trPr>
          <w:trHeight w:val="19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(175,677)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(42,642)</w:t>
            </w:r>
          </w:p>
        </w:tc>
      </w:tr>
      <w:tr>
        <w:trPr>
          <w:trHeight w:val="20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351,213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211,748</w:t>
            </w: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175,536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169,106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Carter’s, Inc. and its wholly-owned subsidiaries (collectively, the “Company”) design, source, and market branded childrenswear and related products under the </w:t>
      </w:r>
      <w:r>
        <w:rPr>
          <w:rFonts w:ascii="Times New Roman" w:cs="Times New Roman" w:eastAsia="Times New Roman" w:hAnsi="Times New Roman"/>
          <w:sz w:val="18"/>
          <w:szCs w:val="18"/>
          <w:i w:val="1"/>
          <w:iCs w:val="1"/>
          <w:color w:val="auto"/>
        </w:rPr>
        <w:t>Carter’s, OshKosh B’gosh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Skip Hop, Child of Mine, Just One You, Simple Joys, Little Planet,</w:t>
      </w:r>
      <w:r>
        <w:rPr>
          <w:rFonts w:ascii="Times New Roman" w:cs="Times New Roman" w:eastAsia="Times New Roman" w:hAnsi="Times New Roman"/>
          <w:sz w:val="18"/>
          <w:szCs w:val="18"/>
          <w:color w:val="auto"/>
        </w:rPr>
        <w:t xml:space="preserve"> and other brands. The Company’s products are sourced through contractual arrangements with manufacturers worldwide for wholesale distribution to leading department stores, national chains, and specialty retailers domestically and internationally and for sale in the Company’s retail stores and eCommerce sites that market its brand name merchandise and other licensed products manufactured by other companies.</w:t>
      </w:r>
    </w:p>
    <w:p>
      <w:pPr>
        <w:spacing w:after="0" w:line="15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Our trademarks that are referred to in this Quarterly Report on Form 10-Q, including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One You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Simple Joys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Little Planet</w:t>
      </w:r>
      <w:r>
        <w:rPr>
          <w:rFonts w:ascii="Times New Roman" w:cs="Times New Roman" w:eastAsia="Times New Roman" w:hAnsi="Times New Roman"/>
          <w:sz w:val="18"/>
          <w:szCs w:val="18"/>
          <w:color w:val="auto"/>
        </w:rPr>
        <w:t>, and other brands, many of which are registered in the United States and in over 100 other countries and territories,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the property of one or more subsidiaries of Carter’s,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RECENT ACCOUNTING PRONOUNCEMENTS, AND OTHER</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September 28, 2024 are not necessarily indicative of the results that may be expected for the current fiscal year ending December 28, 2024.</w:t>
      </w:r>
    </w:p>
    <w:p>
      <w:pPr>
        <w:spacing w:after="0" w:line="1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30, 2023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changes to these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 (ASU 2023-07)</w:t>
      </w:r>
    </w:p>
    <w:p>
      <w:pPr>
        <w:spacing w:after="0" w:line="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No. 2023-07, Segment Reporting - Improvements to Reportable Segment Disclosures.</w:t>
      </w:r>
      <w:r>
        <w:rPr>
          <w:rFonts w:ascii="Times New Roman" w:cs="Times New Roman" w:eastAsia="Times New Roman" w:hAnsi="Times New Roman"/>
          <w:sz w:val="18"/>
          <w:szCs w:val="18"/>
          <w:color w:val="auto"/>
        </w:rPr>
        <w:t xml:space="preserve"> This new guidance is designed to improve the disclosures about a public entity’s reportable segments and address requests from investors for more detailed information about a reportable segment’s expenses on an interim and annual basis. ASU 2023-07 is effective for fiscal years beginning after December 15, 2023, and interim periods within fiscal years beginning after December 15, 2024. Public entities must adopt the changes to the segment reporting guidance on a retrospective basis. Early adoption is permitted. The Company is currently evaluating the impact of the adoption of ASU 2023-07 on its disclosures, but does not expect it to have a material impact on its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 (ASU 2023-09)</w:t>
      </w:r>
    </w:p>
    <w:p>
      <w:pPr>
        <w:spacing w:after="0" w:line="9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No. 2023-09, Income Taxes - Improvements to Income Tax Disclosures.</w:t>
      </w:r>
      <w:r>
        <w:rPr>
          <w:rFonts w:ascii="Times New Roman" w:cs="Times New Roman" w:eastAsia="Times New Roman" w:hAnsi="Times New Roman"/>
          <w:sz w:val="18"/>
          <w:szCs w:val="18"/>
          <w:color w:val="auto"/>
        </w:rPr>
        <w:t xml:space="preserve"> This new guidance requires consistent categories and greater disaggregation of information in the rate reconciliation and greater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disaggregation of income taxes paid by jurisdiction. ASU 2023-09 is effective for fiscal years beginning after December 15, 2024. Early adoption is permitted. The Company is currently evaluating the impact of the adoption of ASU 2023-09 on its disclosures, but does not expect it to have a material impact on its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Finance Program</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established a voluntary supply chain finance (“SCF”) program through participating financial institutions. This SCF program enables participating suppliers to accelerate payments for receivables due from the Company by selling them directly to the participating financial institutions at their discretion. As of September 28, 2024, the SCF program has a $70.0 million revolving capacity. We are not a party to the agreements between the participating financial institutions and the suppliers in connection with the SCF program. Payment terms for most of our suppliers are 60 days, regardless of participation in the SCF program. The Company does not provide any guarantees under the SCF program.</w:t>
      </w:r>
    </w:p>
    <w:p>
      <w:pPr>
        <w:spacing w:after="0" w:line="1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amounts payable to the participating financial institution for suppliers who voluntarily participate in the SCF program are included in Accounts payable on our condensed consolidated balance sheets. As of September 28, 2024, December 30, 2023, and September 30, 2023, amounts under the SCF program included in Accounts payable were $14.3 million, $14.8 million, and $16.7 million, respectively. Payments made in connection with the SCF program, like payments of other accounts payable, are reflected as a reduction to our operating cash flow.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9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sells its products directly to consumers (“direct-to-consumer”) and to other retail companies and partners that subsequently sell the products directly to their own retail customers (“wholesale channel”). The Company also earns royalties from certain of its licensees. Disaggregated revenues from these sources for the fiscal periods indicated were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6"/>
                <w:szCs w:val="16"/>
                <w:b w:val="1"/>
                <w:bCs w:val="1"/>
                <w:color w:val="auto"/>
              </w:rPr>
              <w:t>Fiscal quarter ended September 28, 2024</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180" w:type="dxa"/>
            <w:vAlign w:val="bottom"/>
          </w:tcPr>
          <w:p>
            <w:pPr>
              <w:spacing w:after="0"/>
              <w:rPr>
                <w:sz w:val="15"/>
                <w:szCs w:val="15"/>
                <w:color w:val="auto"/>
              </w:rPr>
            </w:pPr>
          </w:p>
        </w:tc>
        <w:tc>
          <w:tcPr>
            <w:tcW w:w="1560" w:type="dxa"/>
            <w:vAlign w:val="bottom"/>
            <w:gridSpan w:val="4"/>
          </w:tcPr>
          <w:p>
            <w:pPr>
              <w:ind w:left="12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67,172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420,159</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298,980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39,325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338,305</w:t>
            </w:r>
          </w:p>
        </w:tc>
      </w:tr>
      <w:tr>
        <w:trPr>
          <w:trHeight w:val="235"/>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106,497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758,464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5,740</w:t>
            </w:r>
          </w:p>
        </w:tc>
      </w:tr>
    </w:tbl>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Three fiscal quarters ended September 28, 2024</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176,583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1,127,460</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756,022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100,908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856,930</w:t>
            </w:r>
          </w:p>
        </w:tc>
      </w:tr>
      <w:tr>
        <w:trPr>
          <w:trHeight w:val="235"/>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277,491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1,984,390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14,959</w:t>
            </w:r>
          </w:p>
        </w:tc>
      </w:tr>
    </w:tbl>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Fiscal quarter ended September 30, 2023</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44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70,675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445,471</w:t>
            </w: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300,338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45,842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346,180</w:t>
            </w:r>
          </w:p>
        </w:tc>
      </w:tr>
      <w:tr>
        <w:trPr>
          <w:trHeight w:val="235"/>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116,517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791,651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5,713</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fiscal quarters ended September 30, 2023</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6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5"/>
                <w:szCs w:val="15"/>
                <w:color w:val="auto"/>
              </w:rPr>
            </w:pPr>
          </w:p>
        </w:tc>
        <w:tc>
          <w:tcPr>
            <w:tcW w:w="14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181,006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1,202,989</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767,194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117,547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884,741</w:t>
            </w:r>
          </w:p>
        </w:tc>
      </w:tr>
      <w:tr>
        <w:trPr>
          <w:trHeight w:val="235"/>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298,553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2,087,730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16,573</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net,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200" w:type="dxa"/>
            <w:vAlign w:val="bottom"/>
          </w:tcPr>
          <w:p>
            <w:pPr>
              <w:spacing w:after="0"/>
              <w:rPr>
                <w:sz w:val="18"/>
                <w:szCs w:val="18"/>
                <w:color w:val="auto"/>
              </w:rPr>
            </w:pP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from wholesale customers,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243,085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239,493</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receivable</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Other receivables</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10,898</w:t>
            </w:r>
          </w:p>
        </w:tc>
      </w:tr>
      <w:tr>
        <w:trPr>
          <w:trHeight w:val="20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receivables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260,352</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196,891</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256,216</w:t>
            </w: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Less: Wholesale accounts receivable reserves</w:t>
            </w:r>
            <w:r>
              <w:rPr>
                <w:rFonts w:ascii="Times New Roman" w:cs="Times New Roman" w:eastAsia="Times New Roman" w:hAnsi="Times New Roman"/>
                <w:sz w:val="21"/>
                <w:szCs w:val="21"/>
                <w:color w:val="auto"/>
                <w:vertAlign w:val="superscript"/>
              </w:rPr>
              <w:t>(2)(3)</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(15,709)</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247,013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183,774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240,507</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140" w:hanging="332"/>
        <w:spacing w:after="0" w:line="301"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tenant allowances, tax, payroll, gift card and other receivables. The balance for the fiscal period ended December 30, 2023 includes a receivable for a $6.9 million court approved settlement in December 2023 related to payment card interchange fees. This payment was received in the first quarter of fiscal 2024.</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chargebacks of $5.0 million, $8.4 million, and $9.0 million for the periods ended September 28, 2024, December 30, 2023, and September 30, 2023, respectively.</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credit losses of $8.3 million, $4.8 million, and $6.7 million for the periods ended September 28, 2024, December 30, 2023, and September 30, 2023,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assets are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20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200" w:type="dxa"/>
            <w:vAlign w:val="bottom"/>
          </w:tcPr>
          <w:p>
            <w:pPr>
              <w:spacing w:after="0"/>
              <w:rPr>
                <w:sz w:val="18"/>
                <w:szCs w:val="18"/>
                <w:color w:val="auto"/>
              </w:rPr>
            </w:pPr>
          </w:p>
        </w:tc>
        <w:tc>
          <w:tcPr>
            <w:tcW w:w="1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19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6"/>
        </w:trPr>
        <w:tc>
          <w:tcPr>
            <w:tcW w:w="51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Unredeemed gift cards</w:t>
            </w:r>
            <w:r>
              <w:rPr>
                <w:rFonts w:ascii="Times New Roman" w:cs="Times New Roman" w:eastAsia="Times New Roman" w:hAnsi="Times New Roman"/>
                <w:sz w:val="21"/>
                <w:szCs w:val="21"/>
                <w:color w:val="auto"/>
                <w:vertAlign w:val="superscript"/>
              </w:rPr>
              <w:t>(1)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23,983</w:t>
            </w:r>
          </w:p>
        </w:tc>
      </w:tr>
      <w:tr>
        <w:trPr>
          <w:trHeight w:val="21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Unredeemed customer loyalty rewards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r>
      <w:tr>
        <w:trPr>
          <w:trHeight w:val="216"/>
        </w:trPr>
        <w:tc>
          <w:tcPr>
            <w:tcW w:w="51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Carter’s credit card - upfront bonus</w:t>
            </w:r>
            <w:r>
              <w:rPr>
                <w:rFonts w:ascii="Times New Roman" w:cs="Times New Roman" w:eastAsia="Times New Roman" w:hAnsi="Times New Roman"/>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35"/>
        </w:trPr>
        <w:tc>
          <w:tcPr>
            <w:tcW w:w="5140" w:type="dxa"/>
            <w:vAlign w:val="bottom"/>
            <w:tcBorders>
              <w:bottom w:val="single" w:sz="8" w:color="CCEEFF"/>
            </w:tcBorders>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 contract liabilities - current</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16"/>
        </w:trPr>
        <w:tc>
          <w:tcPr>
            <w:tcW w:w="51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Contract liabilities - non-current</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10"/>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29,610</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40" w:right="120" w:hanging="332"/>
        <w:spacing w:after="0" w:line="28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quarters of fiscal 2024 and fiscal 2023, the Company recognized revenue of $1.4 million and $1.1 million related to the gift card liability balance that existed at June 29, 2024 and July 1, 2023, respectively. Additionally, during the first three quarters of fiscal 2024 and fiscal 2023, the Company recognized revenue of $7.1 million and $6.4 million related to the gift card liability balance that existed at December 30, 2023 and December 31, 2022, respectively.</w:t>
      </w:r>
    </w:p>
    <w:p>
      <w:pPr>
        <w:spacing w:after="0" w:line="15" w:lineRule="exact"/>
        <w:rPr>
          <w:rFonts w:ascii="Times New Roman" w:cs="Times New Roman" w:eastAsia="Times New Roman" w:hAnsi="Times New Roman"/>
          <w:sz w:val="14"/>
          <w:szCs w:val="14"/>
          <w:color w:val="auto"/>
        </w:rPr>
      </w:pPr>
    </w:p>
    <w:p>
      <w:pPr>
        <w:ind w:left="340" w:right="220" w:hanging="332"/>
        <w:spacing w:after="0" w:line="29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 Other current liabilities on the Company’s condensed consolidated balance sheets.</w:t>
      </w:r>
    </w:p>
    <w:p>
      <w:pPr>
        <w:spacing w:after="0" w:line="109" w:lineRule="exact"/>
        <w:rPr>
          <w:rFonts w:ascii="Times New Roman" w:cs="Times New Roman" w:eastAsia="Times New Roman" w:hAnsi="Times New Roman"/>
          <w:sz w:val="14"/>
          <w:szCs w:val="14"/>
          <w:color w:val="auto"/>
        </w:rPr>
      </w:pPr>
    </w:p>
    <w:p>
      <w:pPr>
        <w:ind w:left="340" w:right="180" w:hanging="332"/>
        <w:spacing w:after="0" w:line="30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non-current portion of the Carter’s credit card upfront bonus and is included within Other long-term liabilities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OTHER CURRENT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current liabilities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16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Unredeemed gift cards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23,983</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17,433</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13,534</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w:t>
            </w:r>
          </w:p>
        </w:tc>
      </w:tr>
      <w:tr>
        <w:trPr>
          <w:trHeight w:val="219"/>
        </w:trPr>
        <w:tc>
          <w:tcPr>
            <w:tcW w:w="5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Accrued bonuses and incentive compensation</w:t>
            </w:r>
            <w:r>
              <w:rPr>
                <w:rFonts w:ascii="Times New Roman" w:cs="Times New Roman" w:eastAsia="Times New Roman" w:hAnsi="Times New Roman"/>
                <w:sz w:val="21"/>
                <w:szCs w:val="21"/>
                <w:color w:val="auto"/>
                <w:vertAlign w:val="superscript"/>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12,184</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26,617</w:t>
            </w:r>
          </w:p>
        </w:tc>
      </w:tr>
      <w:tr>
        <w:trPr>
          <w:trHeight w:val="21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134,344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106,122</w:t>
            </w:r>
          </w:p>
        </w:tc>
      </w:tr>
      <w:tr>
        <w:trPr>
          <w:trHeight w:val="21"/>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driven by lower than forecasted financial performance in fiscal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Long-term debt, net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million 5.625% senior notes due March 15, 2027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issuance-related costs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w:t>
            </w:r>
          </w:p>
        </w:tc>
      </w:tr>
      <w:tr>
        <w:trPr>
          <w:trHeight w:val="212"/>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Senior notes,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497,168</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r>
      <w:tr>
        <w:trPr>
          <w:trHeight w:val="235"/>
        </w:trPr>
        <w:tc>
          <w:tcPr>
            <w:tcW w:w="55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long-term debt,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567,168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28, 2024, the Company had no outstanding borrowings under its secured revolving credit facility, exclusive of $5.7 million of outstanding letters of credit. As of September 28, 2024, there was approximately $844.3 million available for future borrowing. All outstanding borrowings under the Company’s secured revolving credit facility are classified as non-current liabilities on the Company’s condensed consolidated balance sheets because of the contractual repayment terms under the credit facility.</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secured revolving credit facility provides for an aggregate credit line of $850 million which includes a $750 million U.S. dollar facility and a $100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secured revolving credit facility provides for a leverage-based pricing grid which determines an interest rate for borrowings, calculated as the applicable floating benchmark rate plus a credit spread adjustment, if any, plus an amount ranging from 1.125% to 1.625%. As of September 28, 2024, the borrowing rate for an adjusted term Secured Overnight Financing Rate (“SOFR”) loan would have been 6.44%, which includes a leverage-based adjustment of 1.125%. As of September 28, 2024, the Company was in compliance with its financial and other covenants under the secured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as follows: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r>
        <w:rPr>
          <w:rFonts w:ascii="Times New Roman" w:cs="Times New Roman" w:eastAsia="Times New Roman" w:hAnsi="Times New Roman"/>
          <w:sz w:val="21"/>
          <w:szCs w:val="21"/>
          <w:color w:val="auto"/>
          <w:vertAlign w:val="superscript"/>
        </w:rPr>
        <w:t>(1)</w:t>
      </w:r>
    </w:p>
    <w:p>
      <w:pPr>
        <w:ind w:left="20"/>
        <w:spacing w:after="0" w:line="181" w:lineRule="auto"/>
        <w:rPr>
          <w:sz w:val="20"/>
          <w:szCs w:val="20"/>
          <w:color w:val="auto"/>
        </w:rPr>
      </w:pPr>
      <w:r>
        <w:rPr>
          <w:rFonts w:ascii="Times New Roman" w:cs="Times New Roman" w:eastAsia="Times New Roman" w:hAnsi="Times New Roman"/>
          <w:sz w:val="12"/>
          <w:szCs w:val="12"/>
          <w:color w:val="auto"/>
        </w:rPr>
        <w:t>Aggregate cost of shares repurchased (</w:t>
      </w:r>
      <w:r>
        <w:rPr>
          <w:rFonts w:ascii="Times New Roman" w:cs="Times New Roman" w:eastAsia="Times New Roman" w:hAnsi="Times New Roman"/>
          <w:sz w:val="12"/>
          <w:szCs w:val="12"/>
          <w:i w:val="1"/>
          <w:iCs w:val="1"/>
          <w:color w:val="auto"/>
        </w:rPr>
        <w:t>dollars in thousands</w:t>
      </w:r>
      <w:r>
        <w:rPr>
          <w:rFonts w:ascii="Times New Roman" w:cs="Times New Roman" w:eastAsia="Times New Roman" w:hAnsi="Times New Roman"/>
          <w:sz w:val="12"/>
          <w:szCs w:val="12"/>
          <w:color w:val="auto"/>
        </w:rPr>
        <w:t>)</w:t>
      </w:r>
    </w:p>
    <w:p>
      <w:pPr>
        <w:ind w:left="20"/>
        <w:spacing w:after="0"/>
        <w:rPr>
          <w:sz w:val="20"/>
          <w:szCs w:val="20"/>
          <w:color w:val="auto"/>
        </w:rPr>
      </w:pPr>
      <w:r>
        <w:rPr>
          <w:rFonts w:ascii="Times New Roman" w:cs="Times New Roman" w:eastAsia="Times New Roman" w:hAnsi="Times New Roman"/>
          <w:sz w:val="11"/>
          <w:szCs w:val="11"/>
          <w:color w:val="auto"/>
        </w:rPr>
        <w:t>(2)</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Average price per share</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354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 w:type="dxa"/>
            <w:vAlign w:val="bottom"/>
          </w:tcPr>
          <w:p>
            <w:pPr>
              <w:spacing w:after="0"/>
              <w:rPr>
                <w:sz w:val="18"/>
                <w:szCs w:val="18"/>
                <w:color w:val="auto"/>
              </w:rPr>
            </w:pPr>
          </w:p>
        </w:tc>
        <w:tc>
          <w:tcPr>
            <w:tcW w:w="342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1"/>
        </w:trPr>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06"/>
        </w:trPr>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274,535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390,004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736,423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975,358</w:t>
            </w:r>
          </w:p>
        </w:tc>
      </w:tr>
      <w:tr>
        <w:trPr>
          <w:trHeight w:val="324"/>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50,526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67,492</w:t>
            </w: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-483870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-132715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3920" w:space="80"/>
            <w:col w:w="7240"/>
          </w:cols>
          <w:pgMar w:left="320" w:top="360" w:right="339" w:bottom="1440" w:gutter="0" w:footer="0" w:header="0"/>
          <w:type w:val="continuous"/>
        </w:sect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repurchases were made in compliance with all applicable rules and regulations and in accordance with the share repurchase authorizations.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cost of share repurchases and average price paid per share exclude excise tax on share repurchases.</w:t>
      </w:r>
    </w:p>
    <w:p>
      <w:pPr>
        <w:spacing w:after="0" w:line="2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total aggregate remaining capacity under outstanding repurchase authorizations as of September 28, 2024 was approximately $599.0 million, based on settled repurchase transactions. The share repurchase authorizations have no expiration date.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each of the first three quarters of fiscal 2024, the Board of Directors declared, and the Company paid, a cash dividend per common share of $0.80 (for an aggregate cash dividend per common share of $2.40 for the first three quarters of fiscal 2024). Additionally, in each of the first three quarters of fiscal 2023, the Board of Directors declared, and the Company paid, a cash dividend per common share of $0.75 (for an aggregate cash dividend per common share of $2.25 for the first three quarters of fiscal 2023). The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Provisions in the Company’s secured revolving credit facility could have the effect of restricting the Company’s ability to pay cash dividends on, or make future repurchases of, its common stock, as further described in Note 5,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condensed consolidated financial statements</w:t>
      </w:r>
      <w:r>
        <w:rPr>
          <w:rFonts w:ascii="Times New Roman" w:cs="Times New Roman" w:eastAsia="Times New Roman" w:hAnsi="Times New Roman"/>
          <w:sz w:val="18"/>
          <w:szCs w:val="18"/>
          <w:i w:val="1"/>
          <w:i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 w:type="dxa"/>
            <w:vAlign w:val="bottom"/>
          </w:tcPr>
          <w:p>
            <w:pPr>
              <w:spacing w:after="0"/>
              <w:rPr>
                <w:sz w:val="18"/>
                <w:szCs w:val="18"/>
                <w:color w:val="auto"/>
              </w:rPr>
            </w:pPr>
          </w:p>
        </w:tc>
        <w:tc>
          <w:tcPr>
            <w:tcW w:w="332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19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Time-based awards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12,898</w:t>
            </w: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Performance-based awards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Market-based awards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awards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14,912</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cost ratably over the applicable performance periods based on the estimated probability of achievement of its performance targets at the end of each period. During the first three quarters of fiscal 2024, the achievement of performance target estimates related to certain performance-based grants were revised resulting in a reversal of $1.9 million of previously recognized stock-based compensation expense. During the third quarter and first three quarters of fiscal 2023, performance-based grants were revised resulting in a reversal of previously recognized stock-based compensation expense of $1.1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were as follows: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(23,630)</w:t>
            </w:r>
          </w:p>
        </w:tc>
      </w:tr>
      <w:tr>
        <w:trPr>
          <w:trHeight w:val="216"/>
        </w:trPr>
        <w:tc>
          <w:tcPr>
            <w:tcW w:w="52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Pension and post-retirement obligations</w:t>
            </w:r>
            <w:r>
              <w:rPr>
                <w:rFonts w:ascii="Times New Roman" w:cs="Times New Roman" w:eastAsia="Times New Roman" w:hAnsi="Times New Roman"/>
                <w:sz w:val="21"/>
                <w:szCs w:val="21"/>
                <w:color w:val="auto"/>
                <w:vertAlign w:val="superscript"/>
              </w:rPr>
              <w:t>(*)</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(5,512)</w:t>
            </w:r>
          </w:p>
        </w:tc>
      </w:tr>
      <w:tr>
        <w:trPr>
          <w:trHeight w:val="234"/>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taxes of $1.1 million, $1.8 million, and $1.7 million for the period ended September 28, 2024, December 30, 2023, and September 30, 2023, respectively.</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2024 the Company made single-sum payments to certain participants in the frozen OshKosh B’Gosh, Inc. Pension Plan (the “pension plan”), thereby reducing its pension benefit obligations. As a result of the single-sum payout, the Company remeasured the funded status of the pension plan as of August 31, 2024. In the third quarter and first three quarters of fiscal 2024, a gain on pension obligations of $1.5 million (net of income taxes of $0.5 million) was recognized in Accumulated other comprehensive income related to this remeasurement.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the third quarter and first three quarters of fiscal 2024, $0.7 million of deferred losses on pension obligations (net of income taxes of</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$0.2 million) were reclassified from Accumulated other comprehensive loss to Other expense (income), net within the condensed consolidated statement of operations related to the partial settlement of the pension plan. Refer to Note 12,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to the condensed consolidated financial statement.</w:t>
      </w:r>
    </w:p>
    <w:p>
      <w:pPr>
        <w:spacing w:after="0" w:line="15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first three quarters of fiscal 2023, no amounts were reclassified from Accumulated other comprehensive loss to the condensed consolidated statement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condensed consolidated balance sheets, and their aggregate fair values were approximately $19.0 million, $17.3 million, and $16.4 million at September 28, 2024, December 30, 2023, and September 30, 2023,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$0.6 million and $1.7 million for the third quarter and the first three quarters of fiscal 2024, respectively. Gains on the investments in marketable securities were $0.8 million and $1.4 million for the third quarter and the first three quarters of fiscal 2023, respectively. These amounts are included in Other expense (income), net on the Company’s condensed consolidated statement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28, 2024, the Company had no outstanding borrowings under its secured revolving credit facility.</w:t>
      </w:r>
    </w:p>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the Company’s senior notes at September 28, 2024 was approximately $498.1 million. The fair value of these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and Long-Lived Tangible Assets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September 28, 2024, the Company had gross unrecognized income tax benefits of approximately $8.3 million, of which $5.9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Included in the reserves for unrecognized tax benefits at September 28, 2024 is approximately $1.3 million of reserves for which the statute of limitations is expected to expire within the next 12 months. If these tax benefits are ultimately recognized, such recognition, net of federal income taxes, may affect the annual effective income tax rate for fiscal 2024 along with the effective income tax rate in the quarter in which the benefits are recognized.</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third quarter and first three quarters of fiscal 2024 and fiscal 2023. The Company had approximately $1.6 million, $1.5 million, and $2.0 million of interest accrued on uncertain tax positions as of September 28, 2024, December 30, 2023, and September 30,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40" w:type="dxa"/>
            <w:vAlign w:val="bottom"/>
          </w:tcPr>
          <w:p>
            <w:pPr>
              <w:spacing w:after="0"/>
              <w:rPr>
                <w:sz w:val="18"/>
                <w:szCs w:val="18"/>
                <w:color w:val="auto"/>
              </w:rPr>
            </w:pPr>
          </w:p>
        </w:tc>
        <w:tc>
          <w:tcPr>
            <w:tcW w:w="336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4140" w:type="dxa"/>
            <w:vAlign w:val="bottom"/>
            <w:tcBorders>
              <w:top w:val="single" w:sz="8" w:color="CCEEFF"/>
            </w:tcBorders>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Weighted-average number of common and common equivalent</w:t>
            </w:r>
          </w:p>
        </w:tc>
        <w:tc>
          <w:tcPr>
            <w:tcW w:w="1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shares outstanding:</w:t>
            </w:r>
          </w:p>
        </w:tc>
        <w:tc>
          <w:tcPr>
            <w:tcW w:w="28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35,301,131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36,438,403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35,616,875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36,789,140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6"/>
                <w:szCs w:val="16"/>
                <w:color w:val="auto"/>
              </w:rPr>
              <w:t>Diluted number of common and common equivalent</w:t>
            </w:r>
          </w:p>
        </w:tc>
        <w:tc>
          <w:tcPr>
            <w:tcW w:w="12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35,301,750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36,442,284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35,618,200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36,792,921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shares outstanding</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Earnings per share:</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125,990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121,591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gridSpan w:val="3"/>
          </w:tcPr>
          <w:p>
            <w:pPr>
              <w:ind w:left="340"/>
              <w:spacing w:after="0" w:line="162" w:lineRule="exact"/>
              <w:rPr>
                <w:sz w:val="20"/>
                <w:szCs w:val="20"/>
                <w:color w:val="auto"/>
              </w:rPr>
            </w:pPr>
            <w:r>
              <w:rPr>
                <w:rFonts w:ascii="Times New Roman" w:cs="Times New Roman" w:eastAsia="Times New Roman" w:hAnsi="Times New Roman"/>
                <w:sz w:val="16"/>
                <w:szCs w:val="16"/>
                <w:color w:val="auto"/>
              </w:rPr>
              <w:t>Anti-dilutive awards excluded from diluted earnings per</w:t>
            </w:r>
          </w:p>
        </w:tc>
        <w:tc>
          <w:tcPr>
            <w:tcW w:w="1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408,799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460,947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428,325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483,921</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1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share computation</w:t>
            </w:r>
            <w:r>
              <w:rPr>
                <w:rFonts w:ascii="Times New Roman" w:cs="Times New Roman" w:eastAsia="Times New Roman" w:hAnsi="Times New Roman"/>
                <w:sz w:val="21"/>
                <w:szCs w:val="21"/>
                <w:color w:val="auto"/>
                <w:vertAlign w:val="superscript"/>
              </w:rPr>
              <w:t>(*)</w:t>
            </w:r>
          </w:p>
        </w:tc>
        <w:tc>
          <w:tcPr>
            <w:tcW w:w="1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anti-dilutive awards is, in part, due to the related unamortized compensation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EMPLOYEE BENEFIT PLANS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OshKosh B’Gosh Pension Plan</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2024, the Company announced the offering of a single-sum payment option to certain participants in the frozen OshKosh B’Gosh, Inc. Pension Plan (the “pension plan”), which commenced on June 1, 2024 and closed on July 15, 2024. In August 2024, the pension plan paid $6.9 million from pension plan assets to electing participants, thereby reducing its pension benefit obligations. The transaction had no cash impact on the Company but did result in a non-cash pre-tax partial pension settlement charge of $0.9 million, which is included in Other expense (income), net on the Company’s condensed consolidated statement of operations.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the Board of Directors authorized the termination of the pension plan, with an anticipated effective date of November 30, 2024. The Company may be required to make a contribution to fully fund the plan for termination prior to the purchase of a group annuity contract to transfer its remaining liabilities under the pension plan. The contribution amount will depend upon the nature and timing of participant settlements and prevailing market conditions. The Company expects 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recognize a non-cash charge upon settlement of the pension plan’s obligations in the second half of fiscal 2025. The Company has the right to change the effective date of the termination date or revoke the decision to terminate, but it has no current intent to do so.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Status</w:t>
      </w:r>
    </w:p>
    <w:p>
      <w:pPr>
        <w:spacing w:after="0" w:line="108"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As a result of the single-sum payout, the Company remeasured the funded status of its pension plan as of August 31, 2024. The assumptions for net periodic pension cost includes a discount rate of 4.75% through the measurement date and 5.00% thereafter. We expect net periodic pension cost of $0.4 million for fiscal 2024, exclusive of the $0.9 million non-cash pre-tax partial pension settlement charge described above.</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expected rate of return on plan assets is 4.75% through the measurement date and 5.00% thereafter. The fair value of plan assets as of August 31, 2024 was $48.2 million. Plan assets are invested in fixed income securities, which include funds holding corporate bonds of companies from diverse industries and U.S. Treasuries.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for determining the benefit obligation at the measurement date is 5.00%.</w:t>
      </w:r>
    </w:p>
    <w:p>
      <w:pPr>
        <w:spacing w:after="0" w:line="18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Presented below is the reconciliation of changes in the projected benefit obligation and plan assets as a result of this remeasurement and single-sum payment: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For the period ended</w:t>
            </w:r>
          </w:p>
        </w:tc>
      </w:tr>
      <w:tr>
        <w:trPr>
          <w:trHeight w:val="214"/>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August 31, 2024</w:t>
            </w:r>
          </w:p>
        </w:tc>
      </w:tr>
      <w:tr>
        <w:trPr>
          <w:trHeight w:val="198"/>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projected benefit obligation:</w:t>
            </w:r>
          </w:p>
        </w:tc>
        <w:tc>
          <w:tcPr>
            <w:tcW w:w="3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r>
        <w:trPr>
          <w:trHeight w:val="213"/>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benefit obligation at beginning of year</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54,785</w:t>
            </w: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r>
      <w:tr>
        <w:trPr>
          <w:trHeight w:val="213"/>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Actuarial gain</w:t>
            </w: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r>
      <w:tr>
        <w:trPr>
          <w:trHeight w:val="213"/>
        </w:trPr>
        <w:tc>
          <w:tcPr>
            <w:tcW w:w="8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Effect of settlement</w:t>
            </w: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(6,887)</w:t>
            </w:r>
          </w:p>
        </w:tc>
      </w:tr>
      <w:tr>
        <w:trPr>
          <w:trHeight w:val="237"/>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45,256</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3"/>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55,959</w:t>
            </w:r>
          </w:p>
        </w:tc>
      </w:tr>
      <w:tr>
        <w:trPr>
          <w:trHeight w:val="21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13"/>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r>
      <w:tr>
        <w:trPr>
          <w:trHeight w:val="216"/>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settlement</w:t>
            </w:r>
          </w:p>
        </w:tc>
        <w:tc>
          <w:tcPr>
            <w:tcW w:w="3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w:t>
            </w:r>
          </w:p>
        </w:tc>
      </w:tr>
      <w:tr>
        <w:trPr>
          <w:trHeight w:val="212"/>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48,155</w:t>
            </w: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29"/>
        </w:trPr>
        <w:tc>
          <w:tcPr>
            <w:tcW w:w="8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r>
      <w:tr>
        <w:trPr>
          <w:trHeight w:val="216"/>
        </w:trPr>
        <w:tc>
          <w:tcPr>
            <w:tcW w:w="8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Funded status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2,899</w:t>
            </w:r>
          </w:p>
        </w:tc>
      </w:tr>
      <w:tr>
        <w:trPr>
          <w:trHeight w:val="21"/>
        </w:trPr>
        <w:tc>
          <w:tcPr>
            <w:tcW w:w="8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is equal to the projected benefit obligation as of August 31, 2024 because the plan is frozen. The Company does not expect to make any contributions to the pension plan during fiscal 2024 as the plan’s funding exceeds the minimum funding requirements.</w:t>
      </w:r>
    </w:p>
    <w:p>
      <w:pPr>
        <w:spacing w:after="0" w:line="135"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The actuarial gain for the period ended August 31, 2024 was attributable to increased discount rates and the removal of participants electing to receive a single-sum payment from the pension plan. The funded status asset is included in Other assets in the Company’s condensed consolidated balance sheets.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contractual obligations and commitments include obligations associated with leases, the secured revolving credit agreement, senior notes, and employee benefit plans.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for the Company’s reportable segments and unallocated corporate expenses for the periods indicated: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0" w:type="dxa"/>
            <w:vAlign w:val="bottom"/>
          </w:tcPr>
          <w:p>
            <w:pPr>
              <w:spacing w:after="0"/>
              <w:rPr>
                <w:sz w:val="13"/>
                <w:szCs w:val="13"/>
                <w:color w:val="auto"/>
              </w:rPr>
            </w:pPr>
          </w:p>
        </w:tc>
        <w:tc>
          <w:tcPr>
            <w:tcW w:w="13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80" w:type="dxa"/>
            <w:vAlign w:val="bottom"/>
          </w:tcPr>
          <w:p>
            <w:pPr>
              <w:spacing w:after="0"/>
              <w:rPr>
                <w:sz w:val="13"/>
                <w:szCs w:val="13"/>
                <w:color w:val="auto"/>
              </w:rPr>
            </w:pPr>
          </w:p>
        </w:tc>
        <w:tc>
          <w:tcPr>
            <w:tcW w:w="13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3"/>
                <w:szCs w:val="13"/>
                <w:color w:val="auto"/>
              </w:rPr>
            </w:pPr>
          </w:p>
        </w:tc>
        <w:tc>
          <w:tcPr>
            <w:tcW w:w="8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162"/>
        </w:trPr>
        <w:tc>
          <w:tcPr>
            <w:tcW w:w="1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16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28, 2024</w:t>
            </w:r>
          </w:p>
        </w:tc>
        <w:tc>
          <w:tcPr>
            <w:tcW w:w="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30, 2023</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30, 2023</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159"/>
        </w:trPr>
        <w:tc>
          <w:tcPr>
            <w:tcW w:w="1620" w:type="dxa"/>
            <w:vAlign w:val="bottom"/>
            <w:gridSpan w:val="4"/>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U.S. Retail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352,987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374,796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950,877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1,021,983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U.S. Wholesale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298,980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767,194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106,497</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116,517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277,491</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298,553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gridSpan w:val="3"/>
          </w:tcPr>
          <w:p>
            <w:pPr>
              <w:ind w:left="320"/>
              <w:spacing w:after="0" w:line="142" w:lineRule="exact"/>
              <w:rPr>
                <w:sz w:val="20"/>
                <w:szCs w:val="20"/>
                <w:color w:val="auto"/>
              </w:rPr>
            </w:pPr>
            <w:r>
              <w:rPr>
                <w:rFonts w:ascii="Times New Roman" w:cs="Times New Roman" w:eastAsia="Times New Roman" w:hAnsi="Times New Roman"/>
                <w:sz w:val="16"/>
                <w:szCs w:val="16"/>
                <w:color w:val="auto"/>
              </w:rPr>
              <w:t>Consolidated net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758,464</w:t>
            </w:r>
          </w:p>
        </w:tc>
        <w:tc>
          <w:tcPr>
            <w:tcW w:w="8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791,651</w:t>
            </w:r>
          </w:p>
        </w:tc>
        <w:tc>
          <w:tcPr>
            <w:tcW w:w="10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1,984,390</w:t>
            </w:r>
          </w:p>
        </w:tc>
        <w:tc>
          <w:tcPr>
            <w:tcW w:w="8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2,087,730</w:t>
            </w:r>
          </w:p>
        </w:tc>
        <w:tc>
          <w:tcPr>
            <w:tcW w:w="10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sales</w:t>
            </w:r>
          </w:p>
        </w:tc>
        <w:tc>
          <w:tcPr>
            <w:tcW w:w="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162"/>
        </w:trPr>
        <w:tc>
          <w:tcPr>
            <w:tcW w:w="1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0" w:type="dxa"/>
            <w:vAlign w:val="bottom"/>
          </w:tcPr>
          <w:p>
            <w:pPr>
              <w:spacing w:after="0"/>
              <w:rPr>
                <w:sz w:val="1"/>
                <w:szCs w:val="1"/>
                <w:color w:val="auto"/>
              </w:rPr>
            </w:pPr>
          </w:p>
        </w:tc>
      </w:tr>
      <w:tr>
        <w:trPr>
          <w:trHeight w:val="176"/>
        </w:trPr>
        <w:tc>
          <w:tcPr>
            <w:tcW w:w="16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U.S. Retail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27,309</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59,681</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U.S. Wholesale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63,127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3"/>
          </w:tcPr>
          <w:p>
            <w:pPr>
              <w:ind w:left="100"/>
              <w:spacing w:after="0" w:line="216" w:lineRule="exact"/>
              <w:rPr>
                <w:sz w:val="20"/>
                <w:szCs w:val="20"/>
                <w:color w:val="auto"/>
              </w:rPr>
            </w:pPr>
            <w:r>
              <w:rPr>
                <w:rFonts w:ascii="Times New Roman" w:cs="Times New Roman" w:eastAsia="Times New Roman" w:hAnsi="Times New Roman"/>
                <w:sz w:val="16"/>
                <w:szCs w:val="16"/>
                <w:color w:val="auto"/>
              </w:rPr>
              <w:t>Corporate expenses</w:t>
            </w:r>
            <w:r>
              <w:rPr>
                <w:rFonts w:ascii="Times New Roman" w:cs="Times New Roman" w:eastAsia="Times New Roman" w:hAnsi="Times New Roman"/>
                <w:sz w:val="21"/>
                <w:szCs w:val="21"/>
                <w:color w:val="auto"/>
                <w:vertAlign w:val="superscript"/>
              </w:rPr>
              <w:t>(*)</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(23,633)</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10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(33,634)</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10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(68,796)</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104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(85,983)</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ind w:left="320"/>
              <w:spacing w:after="0" w:line="142" w:lineRule="exact"/>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77,040</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93,430</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171,528</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187,345</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500" w:right="560" w:hanging="492"/>
        <w:spacing w:after="0" w:line="302" w:lineRule="auto"/>
        <w:tabs>
          <w:tab w:leader="none" w:pos="4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160" w:type="dxa"/>
            <w:vAlign w:val="bottom"/>
          </w:tcPr>
          <w:p>
            <w:pPr>
              <w:spacing w:after="0"/>
              <w:rPr>
                <w:sz w:val="18"/>
                <w:szCs w:val="18"/>
                <w:color w:val="auto"/>
              </w:rPr>
            </w:pPr>
          </w:p>
        </w:tc>
        <w:tc>
          <w:tcPr>
            <w:tcW w:w="4180" w:type="dxa"/>
            <w:vAlign w:val="bottom"/>
            <w:gridSpan w:val="8"/>
          </w:tcPr>
          <w:p>
            <w:pPr>
              <w:ind w:left="540"/>
              <w:spacing w:after="0"/>
              <w:rPr>
                <w:sz w:val="20"/>
                <w:szCs w:val="20"/>
                <w:color w:val="auto"/>
              </w:rPr>
            </w:pPr>
            <w:r>
              <w:rPr>
                <w:rFonts w:ascii="Times New Roman" w:cs="Times New Roman" w:eastAsia="Times New Roman" w:hAnsi="Times New Roman"/>
                <w:sz w:val="16"/>
                <w:szCs w:val="16"/>
                <w:b w:val="1"/>
                <w:bCs w:val="1"/>
                <w:color w:val="auto"/>
              </w:rPr>
              <w:t>Fiscal quarter ended September 30, 2023</w:t>
            </w:r>
          </w:p>
        </w:tc>
        <w:tc>
          <w:tcPr>
            <w:tcW w:w="180" w:type="dxa"/>
            <w:vAlign w:val="bottom"/>
          </w:tcPr>
          <w:p>
            <w:pPr>
              <w:spacing w:after="0"/>
              <w:rPr>
                <w:sz w:val="18"/>
                <w:szCs w:val="18"/>
                <w:color w:val="auto"/>
              </w:rPr>
            </w:pPr>
          </w:p>
        </w:tc>
        <w:tc>
          <w:tcPr>
            <w:tcW w:w="4160" w:type="dxa"/>
            <w:vAlign w:val="bottom"/>
            <w:gridSpan w:val="7"/>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fiscal quarters ended September 30, 2023</w:t>
            </w:r>
          </w:p>
        </w:tc>
      </w:tr>
      <w:tr>
        <w:trPr>
          <w:trHeight w:val="175"/>
        </w:trPr>
        <w:tc>
          <w:tcPr>
            <w:tcW w:w="20" w:type="dxa"/>
            <w:vAlign w:val="bottom"/>
          </w:tcPr>
          <w:p>
            <w:pPr>
              <w:spacing w:after="0"/>
              <w:rPr>
                <w:sz w:val="15"/>
                <w:szCs w:val="15"/>
                <w:color w:val="auto"/>
              </w:rPr>
            </w:pPr>
          </w:p>
        </w:tc>
        <w:tc>
          <w:tcPr>
            <w:tcW w:w="2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Charges:</w:t>
            </w: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3"/>
          </w:tcPr>
          <w:p>
            <w:pPr>
              <w:jc w:val="right"/>
              <w:ind w:right="439"/>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1380" w:type="dxa"/>
            <w:vAlign w:val="bottom"/>
            <w:tcBorders>
              <w:top w:val="single" w:sz="8" w:color="auto"/>
            </w:tcBorders>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Organizational restructuring</w:t>
            </w:r>
            <w:r>
              <w:rPr>
                <w:rFonts w:ascii="Times New Roman" w:cs="Times New Roman" w:eastAsia="Times New Roman" w:hAnsi="Times New Roman"/>
                <w:sz w:val="21"/>
                <w:szCs w:val="21"/>
                <w:color w:val="auto"/>
                <w:vertAlign w:val="superscript"/>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bl>
    <w:p>
      <w:pPr>
        <w:spacing w:after="0" w:line="126" w:lineRule="exact"/>
        <w:rPr>
          <w:sz w:val="20"/>
          <w:szCs w:val="20"/>
          <w:color w:val="auto"/>
        </w:rPr>
      </w:pPr>
    </w:p>
    <w:p>
      <w:pPr>
        <w:ind w:left="500" w:right="20" w:hanging="492"/>
        <w:spacing w:after="0" w:line="282" w:lineRule="auto"/>
        <w:tabs>
          <w:tab w:leader="none" w:pos="4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charges for organizational restructuring and related corporate office lease amendment actions. Additionally, the third fiscal quarter and first three fiscal quarters ended September 30, 2023 include a corporate charge of $1.5 million and $4.1 million, respectively, related to organizational restructuring and related corporate office lease amendment actions.</w:t>
      </w:r>
    </w:p>
    <w:p>
      <w:pPr>
        <w:spacing w:after="0" w:line="135" w:lineRule="exact"/>
        <w:rPr>
          <w:sz w:val="20"/>
          <w:szCs w:val="20"/>
          <w:color w:val="auto"/>
        </w:rPr>
      </w:pPr>
    </w:p>
    <w:p>
      <w:pPr>
        <w:ind w:right="1200"/>
        <w:spacing w:after="0" w:line="362"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10-Q. These risks and uncertainties include, but are not limited to, the factors disclosed in Part I, Item 1A. “Risk Factors” of the Company’s Annual Report on Form 10-K for the fiscal year ended December 30, 2023, and otherwise in our reports and filings with the Securities and Exchange Commission, as well as the following factors: risks related to the 2024 U.S. presidential election; risks related to public health crises; changes in global economic and financial conditions, and the resulting impact on consumer confidence and consumer spending, as well as other changes in consumer discretionary spending habits; continued inflationary pressures with respect to labor and raw materials and global supply chain constraints that have had, and could continue to have, an effect on freight, transit, and other costs; risks related to geopolitical conflict, including ongoing geopolitical challenges between the United States and China, the ongoing hostilities in Ukraine, Israel, and the Red Sea region, acts of terrorism, mass casualty events, social unrest, civil disturbance or disobedience; risks related to a potential shutdown of the U.S. government; financial difficulties for one or more of our major customers; an overall decrease in consumer spending, including, but not limited to, decreases in birth rates; our products not being accepted in the marketplace and our failure to manage our inventory; increased competition in the marketplace; diminished value of our brands; the failure to protect our intellectual property; the failure to comply with applicable quality standards or regulations; unseasonable or extreme weather conditions; pending and threatened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lawsuits; a breach of our information technology systems and the loss of personal data; increased margin pressures, including increased cost of materials and labor and our inability to successfully increase prices to offset these increased costs; our foreign sourcing arrangements; disruptions in our supply chain, including increased transportation and freight costs; the management and expansion of our business domestically and internationally; the acquisition and integration of other brands and businesses; changes in our tax obligations, including additional customs, duties or tariffs; fluctuations in foreign currency exchange rates; risks associated with corporate responsibility issues; our ability to achieve our forecasted financial results for the fiscal year; our continued ability to declare and pay a dividend and conduct share repurchases in future periods; our planned opening and closing of stores.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Quarterly Report on Form 10-Q does not constitute an admission by the Company or any other person that the events or circumstances described in such statement are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We also own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a leading young children’s lifestyle brand, </w:t>
      </w:r>
      <w:r>
        <w:rPr>
          <w:rFonts w:ascii="Times New Roman" w:cs="Times New Roman" w:eastAsia="Times New Roman" w:hAnsi="Times New Roman"/>
          <w:sz w:val="18"/>
          <w:szCs w:val="18"/>
          <w:i w:val="1"/>
          <w:iCs w:val="1"/>
          <w:color w:val="auto"/>
        </w:rPr>
        <w:t>Little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Planet</w:t>
      </w:r>
      <w:r>
        <w:rPr>
          <w:rFonts w:ascii="Times New Roman" w:cs="Times New Roman" w:eastAsia="Times New Roman" w:hAnsi="Times New Roman"/>
          <w:sz w:val="18"/>
          <w:szCs w:val="18"/>
          <w:color w:val="auto"/>
        </w:rPr>
        <w:t>, a brand focused on organic fabrics and sustainable materials, and exclusive</w:t>
      </w:r>
      <w:r>
        <w:rPr>
          <w:rFonts w:ascii="Times New Roman" w:cs="Times New Roman" w:eastAsia="Times New Roman" w:hAnsi="Times New Roman"/>
          <w:sz w:val="18"/>
          <w:szCs w:val="18"/>
          <w:i w:val="1"/>
          <w:iCs w:val="1"/>
          <w:color w:val="auto"/>
        </w:rPr>
        <w:t xml:space="preserve"> Carter’s </w:t>
      </w:r>
      <w:r>
        <w:rPr>
          <w:rFonts w:ascii="Times New Roman" w:cs="Times New Roman" w:eastAsia="Times New Roman" w:hAnsi="Times New Roman"/>
          <w:sz w:val="18"/>
          <w:szCs w:val="18"/>
          <w:color w:val="auto"/>
        </w:rPr>
        <w:t>brands developed for Amazon, Target, and Walmart.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Established in 1865, our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 is recognized and trusted by consumers for high-quality apparel and accessories for children in sizes newborn to 14.</w:t>
      </w:r>
    </w:p>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in 2005.</w:t>
      </w:r>
    </w:p>
    <w:p>
      <w:pPr>
        <w:spacing w:after="0" w:line="118"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2003,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rethinks, reenergizes, and reimagines durable necessities to create higher value, superior quality, and top-performing products for parents, babies, and toddlers. We acquired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in 2017.</w:t>
      </w:r>
    </w:p>
    <w:p>
      <w:pPr>
        <w:spacing w:after="0" w:line="131"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color w:val="auto"/>
        </w:rPr>
        <w:t xml:space="preserve">Launched in 2021, the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13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Walmart;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Target, 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available on Amazon.</w:t>
      </w:r>
    </w:p>
    <w:p>
      <w:pPr>
        <w:spacing w:after="0" w:line="12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mission is to serve the needs of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Our multichannel, global business model, which includes retail stores, eCommerce, and wholesale distribution capabilities, as well as omni-channel capabilities in the United States and Canada, enables us to reach a broad range of consumers around the world. As of September 28, 2024, our channels included 1,039 company-owned retail stores in North America, eCommerce websites, approximately 19,350 wholesale locations in North America, as well as our international wholesale accounts and licensees who operate in over 1,100 locations outside of North America in over 90 countries.</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2023 fiscal year ended December 30,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or Anticipated Trends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Factors and Consumer Demand</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Macroeconomic factors, including persistent inflationary pressures on families with young children, increased interest rates, increased consumer debt levels, decreased savings rates, and geopolitical unrest continue to create a complex and challenging retail environment. These macroeconomic factors have had and may continue to have a negative impact on consumer sentiment and consumer demand for our products. In part due to these macroeconomic factors, our business has experienced a shift in consumer demand from the retail channel to the mass channel. As consumers face financial pressures, U.S. Wholesale has benefited from consumers choosing the ease of one-stop shopping available through the mass channel. Additionally, we have observed increased promotional activity across the retail industry, which may negatively impact our financial results, including revenue and operating margins in the future.</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taken actions to mitigate the impact of decreased consumer demand, including strengthening our product offerings through a focus on style and value, increasing our mix of premium price offerings, including through our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and our </w:t>
      </w:r>
      <w:r>
        <w:rPr>
          <w:rFonts w:ascii="Times New Roman" w:cs="Times New Roman" w:eastAsia="Times New Roman" w:hAnsi="Times New Roman"/>
          <w:sz w:val="18"/>
          <w:szCs w:val="18"/>
          <w:i w:val="1"/>
          <w:iCs w:val="1"/>
          <w:color w:val="auto"/>
        </w:rPr>
        <w:t>PurelySoft</w:t>
      </w:r>
      <w:r>
        <w:rPr>
          <w:rFonts w:ascii="Times New Roman" w:cs="Times New Roman" w:eastAsia="Times New Roman" w:hAnsi="Times New Roman"/>
          <w:sz w:val="18"/>
          <w:szCs w:val="18"/>
          <w:color w:val="auto"/>
        </w:rPr>
        <w:t xml:space="preserve"> collection, optimizing our fleet of retail stores, improving our marketing effectiveness to drive traffic, including through the relaunch of our loyalty program in the second quarter of fiscal 2024, and investing in our exclusive wholesale brands, our international omnichannel capabilities, and the talent in our organization.</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in the third quarter of fiscal 2024, we announced a planned investment of $50.0 million in the second half of fiscal 2024 to strengthen the value proposition of our direct-to-consumer product offerings and to improve customer acquisition, customer retention, and brand awareness. This consists of an investment of $40.0 million to lower prices on select products to be more competitive and to increase clearance velocity on prior season goods and an investment of $10.0 million in brand marketing. We believe these investments, along with better in-store and online shopping experiences, led to improvement in U.S. Retail conversion rates, transactions, unit volume, and new customer acquisition in the third quarter of fiscal 2024. We currently expect to spend a total of $60.0 million on these investments in the second half of fiscal 2024, with the incremental $10.0 million directed towards our investment in pricing.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disruption of container shipping traffic through the Red Sea has affected transit times and shipping costs for our inventory from our Asia manufacturers beginning in fiscal 2024. The adverse impact of the disruptions in the region, including additional transportation fees to re-route these shipments, were approximately $1.0 million and $6.0 million in the third quarter and the first three quarters of fiscal 2024, respectively. We believe these issues could result in additional costs of approximately $0.5 million to $1.0 million for the remainder of fiscal 2024. However, if these hostilities continue or escalate, our business and results of operations could be materially adversely affected.</w:t>
      </w:r>
    </w:p>
    <w:p>
      <w:pPr>
        <w:spacing w:after="0" w:line="1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as a result of capacity shortages with some of our carriers in Asia, we incurred approximately $4.0 million in additional transportation costs driven by surcharges on shipments and increased market spot rates associated with the use of non-contractual carriers in the third quarter of fiscal 2024. We are estimating an additional $2.0 million to $3.0 million of such transportation costs through the end of fiscal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these additional costs, we expect our freight input costs for fiscal 2024 to be favorable to those incurred in fiscal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Fiscal Quarter 2024 Financial 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comparisons are to the third quarter of fiscal 2023:</w:t>
      </w:r>
    </w:p>
    <w:p>
      <w:pPr>
        <w:spacing w:after="0" w:line="9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decreased $33.2 million, or 4.2%, to $758.5 million, driven by lower U.S. Retail sales.</w:t>
      </w:r>
    </w:p>
    <w:p>
      <w:pPr>
        <w:spacing w:after="0" w:line="63" w:lineRule="exact"/>
        <w:rPr>
          <w:rFonts w:ascii="Times New Roman" w:cs="Times New Roman" w:eastAsia="Times New Roman" w:hAnsi="Times New Roman"/>
          <w:sz w:val="18"/>
          <w:szCs w:val="18"/>
          <w:color w:val="auto"/>
        </w:rPr>
      </w:pPr>
    </w:p>
    <w:p>
      <w:pPr>
        <w:ind w:left="1300" w:right="60" w:hanging="320"/>
        <w:spacing w:after="0" w:line="258" w:lineRule="auto"/>
        <w:tabs>
          <w:tab w:leader="none" w:pos="1296" w:val="left"/>
        </w:tabs>
        <w:numPr>
          <w:ilvl w:val="1"/>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Traffic and demand in our U.S. Retail businesses decreased, in part due to ongoing macroeconomic headwinds negatively impacting families with young children including inflationary pressures, increased interest rates, increased consumer debt levels, decreased savings rates, and geopolitical unrest. However, U.S. Retail saw improvement in demand around Labor Day, which we believe reflects the positive impact of our investment in pricing and brand marketing. U.S. Retail comparable net sales decreased 7.1%. The effects of macroeconomic headwinds may continue to negatively impact our financial results in the remainder of fiscal 2024.</w:t>
      </w:r>
    </w:p>
    <w:p>
      <w:pPr>
        <w:spacing w:after="0" w:line="19" w:lineRule="exact"/>
        <w:rPr>
          <w:rFonts w:ascii="Times New Roman" w:cs="Times New Roman" w:eastAsia="Times New Roman" w:hAnsi="Times New Roman"/>
          <w:sz w:val="18"/>
          <w:szCs w:val="18"/>
          <w:b w:val="1"/>
          <w:bCs w:val="1"/>
          <w:i w:val="1"/>
          <w:iCs w:val="1"/>
          <w:color w:val="auto"/>
        </w:rPr>
      </w:pPr>
    </w:p>
    <w:p>
      <w:pPr>
        <w:ind w:left="1300" w:hanging="320"/>
        <w:spacing w:after="0" w:line="261"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continue to experience growth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in our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We believe we will see continued growth with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in the future due to consumer demand trends in the mass channel. We have meaningful growth planned for the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as we expand product assortment and distribution. While we saw sales growth in retail stores in Mexico, this growth was largely offset by movements in foreign currency exchange rates.</w:t>
      </w:r>
    </w:p>
    <w:p>
      <w:pPr>
        <w:spacing w:after="0" w:line="6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decreased $20.4 million, or 5.4%, to $356.0 million. Consolidated gross margin decreased 60 bps to 46.9%, reflecting in part our investments in our pricing strategies.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decreased $16.4 million, or 17.5%, to $77.0 million driven by decreased net sales. Operating margin decreased 160 bps to 10.2% driven by fixed cost deleverage on decreased net sales and investments in our retail stores.</w:t>
      </w:r>
    </w:p>
    <w:p>
      <w:pPr>
        <w:spacing w:after="0" w:line="26"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decreased $7.8 million, or 11.8%, to $58.3 million due to the factors discussed above and a non-cash partial pension settlement charge of $0.9 million, partially offset by a decrease in our income tax provision of $6.8 million, an increase in interest income of $1.3 million, and a decrease in interest expense of $1.2 million.</w:t>
      </w:r>
    </w:p>
    <w:p>
      <w:pPr>
        <w:spacing w:after="0" w:line="5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common share decreased $0.16, or 9.0%, to $1.62, and adjusted diluted net income per common share decreased $0.20, or 10.9%, to $1.64.</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$13.3 million, or 2.1%, to $607.4 million, due to decreased “pack and hold” inventory and decreased days of supply.</w:t>
      </w:r>
    </w:p>
    <w:p>
      <w:pPr>
        <w:spacing w:after="0" w:line="90"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6"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We have continued to invest in the optimization of our fleet of U.S. Retail stores, including through opening new retail stores, developing new store formats, and remodeling existing store locations. During the third quarter of fiscal 2024, we opened 11 stores and closed 5 stores in the United States. We are projecting approximately 14 store openings and 6 store closures in the remainder of fiscal 2024.</w:t>
      </w:r>
    </w:p>
    <w:p>
      <w:pPr>
        <w:spacing w:after="0" w:line="54" w:lineRule="exact"/>
        <w:rPr>
          <w:rFonts w:ascii="Times New Roman" w:cs="Times New Roman" w:eastAsia="Times New Roman" w:hAnsi="Times New Roman"/>
          <w:sz w:val="14"/>
          <w:szCs w:val="14"/>
          <w:b w:val="1"/>
          <w:bCs w:val="1"/>
          <w:color w:val="auto"/>
        </w:rPr>
      </w:pPr>
    </w:p>
    <w:p>
      <w:pPr>
        <w:jc w:val="both"/>
        <w:ind w:left="660" w:right="2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financial position and available liquidity, we returned $45.6 million to our shareholders, comprised of $28.8 million in cash dividends and $16.7 million in share repurchases in the third quarter of fiscal 2024. For the first three quarters of fiscal 2024, we returned $137.9 million to our shareholders, comprised of $87.3 million in cash dividends and $50.5 million in share repurchases.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FISCAL QUARTER ENDED SEPTEMBER 28, 2024 COMPARED TO THIRD FISCAL QUARTER ENDED SEPTEMBER 30, 2023</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All percentages shown in the below table and the discussion that follows have been calculated using unrounded numbers.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gridSpan w:val="5"/>
          </w:tcPr>
          <w:p>
            <w:pPr>
              <w:ind w:left="1040"/>
              <w:spacing w:after="0"/>
              <w:rPr>
                <w:sz w:val="20"/>
                <w:szCs w:val="20"/>
                <w:color w:val="auto"/>
              </w:rPr>
            </w:pPr>
            <w:r>
              <w:rPr>
                <w:rFonts w:ascii="Times New Roman" w:cs="Times New Roman" w:eastAsia="Times New Roman" w:hAnsi="Times New Roman"/>
                <w:sz w:val="15"/>
                <w:szCs w:val="15"/>
                <w:b w:val="1"/>
                <w:bCs w:val="1"/>
                <w:color w:val="auto"/>
              </w:rPr>
              <w:t>Fiscal quarter ended</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 except per share data)</w:t>
            </w:r>
          </w:p>
        </w:tc>
        <w:tc>
          <w:tcPr>
            <w:tcW w:w="2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28, 2024</w:t>
            </w: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 / bps Change</w:t>
            </w:r>
          </w:p>
        </w:tc>
      </w:tr>
      <w:tr>
        <w:trPr>
          <w:trHeight w:val="19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758,464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791,651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(33,187)</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0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402,450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415,254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(12,804)</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9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356,014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376,397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(20,383)</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202"/>
        </w:trPr>
        <w:tc>
          <w:tcPr>
            <w:tcW w:w="4040" w:type="dxa"/>
            <w:vAlign w:val="bottom"/>
          </w:tcPr>
          <w:p>
            <w:pPr>
              <w:ind w:left="220"/>
              <w:spacing w:after="0"/>
              <w:rPr>
                <w:sz w:val="20"/>
                <w:szCs w:val="20"/>
                <w:color w:val="auto"/>
              </w:rPr>
            </w:pPr>
            <w:r>
              <w:rPr>
                <w:rFonts w:ascii="Times New Roman" w:cs="Times New Roman" w:eastAsia="Times New Roman" w:hAnsi="Times New Roman"/>
                <w:sz w:val="15"/>
                <w:szCs w:val="15"/>
                <w:i w:val="1"/>
                <w:iCs w:val="1"/>
                <w:color w:val="auto"/>
              </w:rPr>
              <w:t>Gross profit as % of consolidated net sales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46.9 %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47.5 %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(60) bps</w:t>
            </w: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Royalty income, net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5,740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5,713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0.5 %</w:t>
            </w:r>
          </w:p>
        </w:tc>
      </w:tr>
      <w:tr>
        <w:trPr>
          <w:trHeight w:val="202"/>
        </w:trPr>
        <w:tc>
          <w:tcPr>
            <w:tcW w:w="4040" w:type="dxa"/>
            <w:vAlign w:val="bottom"/>
          </w:tcPr>
          <w:p>
            <w:pPr>
              <w:ind w:left="220"/>
              <w:spacing w:after="0"/>
              <w:rPr>
                <w:sz w:val="20"/>
                <w:szCs w:val="20"/>
                <w:color w:val="auto"/>
              </w:rPr>
            </w:pPr>
            <w:r>
              <w:rPr>
                <w:rFonts w:ascii="Times New Roman" w:cs="Times New Roman" w:eastAsia="Times New Roman" w:hAnsi="Times New Roman"/>
                <w:sz w:val="15"/>
                <w:szCs w:val="15"/>
                <w:i w:val="1"/>
                <w:iCs w:val="1"/>
                <w:color w:val="auto"/>
              </w:rPr>
              <w:t>Royalty income as % of consolidated net sales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0.8 %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0.7 %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10 bps</w:t>
            </w: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284,714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288,680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(3,966)</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2"/>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i w:val="1"/>
                <w:iCs w:val="1"/>
                <w:color w:val="auto"/>
              </w:rPr>
              <w:t>SG&amp;A expenses as % of consolidated net sales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37.5 %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36.5 %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100 bps</w:t>
            </w:r>
          </w:p>
        </w:tc>
      </w:tr>
      <w:tr>
        <w:trPr>
          <w:trHeight w:val="19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77,040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93,430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(16,390)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r>
      <w:tr>
        <w:trPr>
          <w:trHeight w:val="202"/>
        </w:trPr>
        <w:tc>
          <w:tcPr>
            <w:tcW w:w="4040" w:type="dxa"/>
            <w:vAlign w:val="bottom"/>
          </w:tcPr>
          <w:p>
            <w:pPr>
              <w:ind w:left="220"/>
              <w:spacing w:after="0"/>
              <w:rPr>
                <w:sz w:val="20"/>
                <w:szCs w:val="20"/>
                <w:color w:val="auto"/>
              </w:rPr>
            </w:pPr>
            <w:r>
              <w:rPr>
                <w:rFonts w:ascii="Times New Roman" w:cs="Times New Roman" w:eastAsia="Times New Roman" w:hAnsi="Times New Roman"/>
                <w:sz w:val="15"/>
                <w:szCs w:val="15"/>
                <w:i w:val="1"/>
                <w:iCs w:val="1"/>
                <w:color w:val="auto"/>
              </w:rPr>
              <w:t>Operating income as % of consolidated net sales</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10.2 %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11.8 %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(160) bps</w:t>
            </w: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7,381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8,615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(1,234)</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200" w:type="dxa"/>
            <w:vAlign w:val="bottom"/>
          </w:tcPr>
          <w:p>
            <w:pPr>
              <w:spacing w:after="0"/>
              <w:rPr>
                <w:sz w:val="17"/>
                <w:szCs w:val="17"/>
                <w:color w:val="auto"/>
              </w:rPr>
            </w:pPr>
          </w:p>
        </w:tc>
        <w:tc>
          <w:tcPr>
            <w:tcW w:w="16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(2,370)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(1,064)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(1,306)</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&gt;100%</w:t>
            </w: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 (income), net</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1,299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507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792</w:t>
            </w: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&gt;100%</w:t>
            </w:r>
          </w:p>
        </w:tc>
      </w:tr>
      <w:tr>
        <w:trPr>
          <w:trHeight w:val="194"/>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200" w:type="dxa"/>
            <w:vAlign w:val="bottom"/>
          </w:tcPr>
          <w:p>
            <w:pPr>
              <w:spacing w:after="0"/>
              <w:rPr>
                <w:sz w:val="16"/>
                <w:szCs w:val="16"/>
                <w:color w:val="auto"/>
              </w:rPr>
            </w:pPr>
          </w:p>
        </w:tc>
        <w:tc>
          <w:tcPr>
            <w:tcW w:w="16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70,730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85,372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(14,642)</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provision</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12,410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19,245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(6,835)</w:t>
            </w: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w:t>
            </w:r>
          </w:p>
        </w:tc>
      </w:tr>
      <w:tr>
        <w:trPr>
          <w:trHeight w:val="196"/>
        </w:trPr>
        <w:tc>
          <w:tcPr>
            <w:tcW w:w="4040" w:type="dxa"/>
            <w:vAlign w:val="bottom"/>
            <w:tcBorders>
              <w:bottom w:val="single" w:sz="8" w:color="CCEEFF"/>
            </w:tcBorders>
          </w:tcPr>
          <w:p>
            <w:pPr>
              <w:ind w:left="220"/>
              <w:spacing w:after="0" w:line="196" w:lineRule="exact"/>
              <w:rPr>
                <w:sz w:val="20"/>
                <w:szCs w:val="20"/>
                <w:color w:val="auto"/>
              </w:rPr>
            </w:pPr>
            <w:r>
              <w:rPr>
                <w:rFonts w:ascii="Times New Roman" w:cs="Times New Roman" w:eastAsia="Times New Roman" w:hAnsi="Times New Roman"/>
                <w:sz w:val="15"/>
                <w:szCs w:val="15"/>
                <w:i w:val="1"/>
                <w:iCs w:val="1"/>
                <w:color w:val="auto"/>
              </w:rPr>
              <w:t>Effective tax rate</w:t>
            </w:r>
            <w:r>
              <w:rPr>
                <w:rFonts w:ascii="Times New Roman" w:cs="Times New Roman" w:eastAsia="Times New Roman" w:hAnsi="Times New Roman"/>
                <w:sz w:val="19"/>
                <w:szCs w:val="19"/>
                <w:i w:val="1"/>
                <w:iCs w:val="1"/>
                <w:color w:val="auto"/>
                <w:vertAlign w:val="superscript"/>
              </w:rPr>
              <w:t>(*)</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17.5 %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22.5 %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(500) bps</w:t>
            </w:r>
          </w:p>
        </w:tc>
      </w:tr>
      <w:tr>
        <w:trPr>
          <w:trHeight w:val="22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58,320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66,127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(7,807)</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net income per common share</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net income per common share</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1.62</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1.78</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 declared and paid per common share</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0.05</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6.7 %</w:t>
            </w:r>
          </w:p>
        </w:tc>
      </w:tr>
    </w:tbl>
    <w:p>
      <w:pPr>
        <w:spacing w:after="0" w:line="12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Percentage changes that are not considered meaningful are denoted with “nm”.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Consolidated net sales decreased $33.2 million, or 4.2%, to $758.5 million. This decrease in net sales was driven by decreased traffic and demand in our U.S. Retail businesses, decreased average selling prices per unit, decreased sales of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to wholesale customers, decreased demand in Canada, and changes in the timing of wholesale shipments to our international partners. These decreases were partially offset by increased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in the U.S. and increased sales in retail stores in Mexico. Units sold increased in the low-single digits driven by U.S. Wholesale. Average selling prices per unit decreased mid-single digits due to our investments in our pricing strategies previously mentioned. Changes in foreign currency exchange rates used for translation had an unfavorable effect on our consolidated net sales of approximately $3.1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Consolidated gross profit decreased $20.4 million, or 5.4%, to $356.0 million and consolidated gross margin decreased 60 bps to 46.9%. The decrease in consolidated gross profit was primarily driven by decreased net sales. The decrease in gross margin was driven by a benefit in excess inventory provisions in the third quarter of fiscal 2023 that did not reoccur in the third quarter of fiscal 2024, decreased average selling prices per unit mentioned above, and an increase in the mix of U.S. Wholesale net sales, including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which have a lower contribution to gross margin than our U.S. Retail segment. These factors were partially offset by lower average cost per unit sold and decreased sales to off-price wholesale channel customers. Average cost per unit sold decreased mid-single digits, driven by lower product input costs, partially offset by increased freight surcharges and costs to re-route our product around the Red Sea. We expect to experience decreased product input costs for the remainder of fiscal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Consolidated SG&amp;A expenses decreased $4.0 million, or 1.4%, to $284.7 million and increased as a percentage of consolidated net sales by approximately 100 bps to 37.5%. This increase in SG&amp;A rate was driven by fixed cost deleverage on decreased sales, investments in our brand marketing and retail stores, increased distribution costs, and increased transportation costs, partially offset by decreased performance-based compensation expense and decreased consulting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$16.4 million, or 17.5%, to $77.0 million and decreased as a percentage of net sales by approximately 160 bps to 10.2%, primarily due to the factors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interest expense decreased $1.2 million, or 14.3%, to $7.4 million. Weighted-average borrowings for the third quarter of fiscal 2024 were</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$500.0 million at an effective interest rate of 6.12%, compared to weighted-average borrowings for the third quarter of fiscal 2023 of $535.0 million at an effective interest rate of 6.13%. The decrease in weighted-average borrowings was attributable to decreased borrowings under our secured revolving credit facility.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interest income increased $1.3 million to $2.4 million due to increased cash balances during the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10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Consolidated other expense (income), net increased $0.8 million to $1.3 million primarily due to a non-cash partial pension settlement charge of $0.9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consolidated income tax provision decreased $6.8 million, or 35.5%, to $12.4 million and the effective tax rate decreased 500 bps to 17.5%. The decrease in the effective tax rate was attributable to a favorable resolution of prior period tax items, as well as due to the mix of earnings in our revised full year outlook. This outlook reflects an expectation for a lower proportion of income generated in the United States than the prior year, which is a higher tax rate relative to some of our international jurisdictions.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net income decreased $7.8 million, or 11.8%, to $58.3 million, primarily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Third Quarter of Fiscal 2024 compared to Third Quarter of Fiscal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and operating income, by segment, for the third quarter of fiscal 2024 and the third quarter of fiscal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3"/>
                <w:szCs w:val="13"/>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4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3"/>
                <w:szCs w:val="13"/>
                <w:color w:val="auto"/>
              </w:rPr>
            </w:pPr>
          </w:p>
        </w:tc>
        <w:tc>
          <w:tcPr>
            <w:tcW w:w="1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540" w:type="dxa"/>
            <w:vAlign w:val="bottom"/>
            <w:gridSpan w:val="3"/>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352,987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374,796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300,338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106,497</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116,517</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758,464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791,651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sales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27,309</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47,983</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63,127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65,702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580" w:type="dxa"/>
            <w:vAlign w:val="bottom"/>
          </w:tcPr>
          <w:p>
            <w:pPr>
              <w:spacing w:after="0"/>
              <w:rPr>
                <w:sz w:val="18"/>
                <w:szCs w:val="18"/>
                <w:color w:val="auto"/>
              </w:rPr>
            </w:pPr>
          </w:p>
        </w:tc>
        <w:tc>
          <w:tcPr>
            <w:tcW w:w="10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10,237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13,379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8"/>
              </w:rPr>
              <w:t>(23,633)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8"/>
              </w:rPr>
              <w:t>(33,634)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2"/>
        </w:trPr>
        <w:tc>
          <w:tcPr>
            <w:tcW w:w="2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w w:val="99"/>
              </w:rPr>
              <w:t>77,040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93,430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 Metrics</w:t>
      </w:r>
    </w:p>
    <w:p>
      <w:pPr>
        <w:spacing w:after="0" w:line="10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3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comparable sales metrics may not be comparable to those of other retailers.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U.S. Retail segment net sales decreased $21.8 million, or 5.8%, to $353.0 million. The decrease in net sales was driven by lower traffic and demand in our retail stores and in our eCommerce channels, in part due to ongoing macroeconomic headwinds negatively impacting families with young children and decreased average selling prices per unit. These factors were partially offset by sales contribution of our new retail stores. Additionally, U.S. Retail saw improvement in demand around Labor Day, which we believe reflects the positive impact of our investments in pricing and brand marketing. Average selling prices per unit decreased mid-single digits and units sold were consistent with the third quarter of fiscal 2023, driven by our investments in our pricing strategies previously mentioned.</w:t>
      </w:r>
    </w:p>
    <w:p>
      <w:pPr>
        <w:spacing w:after="0" w:line="14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Comparable net sales, including retail store and eCommerce, decreased 7.1%, showing an improvement over the first two quarters of fiscal 2024, when comparable net sales decreased 9.2%. As of September 28, 2024, we operated 795 retail stores in the U.S. compared to 792 as of December 30, 2023, and 768 as of September 30, 2023.</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U.S. Retail segment operating income decreased $20.7 million, or 43.1%, to $27.3 million, primarily due to a decrease in gross profit of $15.3 million and an increase in SG&amp;A expenses of $5.7 million. Operating margin decreased 510 bps to 7.7%. The primary drivers of the decrease in operating margin were a 60 bps decrease in gross margin and a 460 bps increase in SG&amp;A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rate. The decrease in gross margin was driven by a benefit in excess inventory provisions in the third quarter of fiscal 2023 that did not reoccur in the third quarter of fiscal 2024 and decreased average selling prices per unit mentioned above, partially offset by decreased average cost per unit sold. Average cost per unit sold decreased mid-single digits due lower product input costs, partially offset by increased inbound freight costs. The increase in SG&amp;A rate was driven by fixed cost deleverage on decreased net sales, investments in our brand marketing and retail stores, increased retail store employee compensation costs, and increased transportation costs, partially offset by decreased performance-based compensation expense.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U.S. Wholesale segment net sales decreased $1.4 million, or 0.5%, to $299.0 million, driven by lower seasonal demand for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decreased sales to off-price wholesale channel customers as a result of our lower excess inventory levels, unfavorable timing of wholesale shipments, and decreased average selling prices per unit, partially offset by growth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our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Units sold increased low-single digits, while average selling prices per unit decreased low-single digits.</w:t>
      </w:r>
    </w:p>
    <w:p>
      <w:pPr>
        <w:spacing w:after="0" w:line="1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U.S. Wholesale segment operating income decreased $2.6 million, or 3.9%, to $63.1 million, primarily due to a decrease in gross profit of $1.7 million and an increase in SG&amp;A expenses of $0.6 million. Operating margin decreased 80 bps to 21.1%. The primary drivers of the decrease in operating margin were a 40 bps decrease in gross margin and a 30 bps increase in SG&amp;A rate. The decrease in gross margin was driven by decreased average selling prices per unit mentioned above and a benefit in excess inventory provisions in the third quarter of fiscal 2023 that did not reoccur in the third quarter of fiscal 2024, partially offset by decreased average cost per unit sold and decreased off-price wholesale channel sales. Average cost per unit sold decreased mid-single digits due to decreased product input costs partially offset by increased inbound freight costs. The increase in the SG&amp;A rate was driven by fixed cost deleverage on decreased sales, increased distribution costs, and investments in brand marketing, partially offset by decreased performance-based compensation expense.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International segment net sales decreased $10.0 million, or 8.6%, to $106.5 million. Changes in foreign currency exchange rates, primarily between the U.S. dollar and the Mexican Peso, had a $3.1 million unfavorable effect on International segment net sales. The decrease in net sales was driven by decreased net sales in Canada, decreased demand from our international partners, and decreased average selling prices per unit, partially offset by growth in sales in our retail stores in Mexico. Units sold and average selling prices per unit both decreased mid-single digits.</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Canadian comparable net sales, including retail stores and eCommerce, decreased 6.8%, driven by decreased traffic in our retail stores and eCommerce channels as a result of macroeconomic headwinds and a slower start to cooler weather apparel sales. As of September 28, 2024, we operated 188 stores and 56 stores in Canada and Mexico, respectively. As of December 30, 2023, we operated 188 and 54 stores in Canada and Mexico, respectively. As of September 30, 2023, we operated 188 and 53 stores in Canada and Mexico, respectively.</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International segment operating income decreased $3.1 million, or 23.5%, to $10.2 million, primarily due to a decrease in gross profit of $3.4 million, partially offset by a decrease in SG&amp;A expenses of $0.3 million. Operating margin decreased 190 bps to 9.6%, primarily due to a 310 bps increase in the SG&amp;A rate, partially offset by a 120 bps increase in gross margin. The increase in gross margin was due to decreased average cost per unit sold, partially offset by decreased average selling prices per unit mentioned above. Average cost per unit sold decreased high-single digits due to decreased product input costs. The increase in the SG&amp;A rate was driven by fixed cost deleverage on decreased sales and increased bad debt expense, partially offset by decreased performance-based compensation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13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Unallocated corporate expenses decreased $10.0 million, or 29.7%, to $23.6 million and unallocated corporate expenses, as a percentage of consolidated net sales, decreased 110 bps to 3.1%. The decrease as a percentage of consolidated net sales was driven by decreased performance-based compensation expense, organizational restructuring costs, and consulting costs, partially offset by fixed cost deleverage on decreased sales and increased charitable donations.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FISCAL QUARTERS ENDED SEPTEMBER 28, 2024 COMPARED TO THREE FISCAL QUARTERS ENDED SEPTEMBER 30, 2023</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All percentages shown in the below table and the discussion that follows have been calculated using unrounded numbers.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4"/>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 bps Change</w:t>
            </w:r>
          </w:p>
        </w:tc>
      </w:tr>
      <w:tr>
        <w:trPr>
          <w:trHeight w:val="21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1,984,390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2,087,730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1,030,249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1,109,970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(79,721)</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954,141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977,760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48.1 %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130 bps</w:t>
            </w:r>
          </w:p>
        </w:tc>
      </w:tr>
      <w:tr>
        <w:trPr>
          <w:trHeight w:val="21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16,573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4"/>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Royalty income, net as % of consolidated net sales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1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797,572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806,988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40.2 %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38.7 %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150 bps</w:t>
            </w:r>
          </w:p>
        </w:tc>
      </w:tr>
      <w:tr>
        <w:trPr>
          <w:trHeight w:val="21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171,528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187,345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4"/>
        </w:trPr>
        <w:tc>
          <w:tcPr>
            <w:tcW w:w="40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 bps</w:t>
            </w:r>
          </w:p>
        </w:tc>
      </w:tr>
      <w:tr>
        <w:trPr>
          <w:trHeight w:val="21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155,039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164,290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38,300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9"/>
        </w:trPr>
        <w:tc>
          <w:tcPr>
            <w:tcW w:w="4020" w:type="dxa"/>
            <w:vAlign w:val="bottom"/>
            <w:tcBorders>
              <w:bottom w:val="single" w:sz="8" w:color="CCEEFF"/>
            </w:tcBorders>
          </w:tcPr>
          <w:p>
            <w:pPr>
              <w:ind w:left="220"/>
              <w:spacing w:after="0" w:line="210" w:lineRule="exact"/>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20.0 %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23.3 %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(330) bps</w:t>
            </w:r>
          </w:p>
        </w:tc>
      </w:tr>
      <w:tr>
        <w:trPr>
          <w:trHeight w:val="23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123,992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125,990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r>
    </w:tbl>
    <w:p>
      <w:pPr>
        <w:spacing w:after="0" w:line="126"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Percentage changes that are not considered meaningful are denoted with “nm”.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Consolidated net sales decreased $103.3 million, or 4.9%, to $1.98 billion. The decrease in net sales was driven by decreased traffic and demand in our U.S. Retail businesses, decreased sales of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to wholesale customers, decreased sales to off-price wholesale channel customers as a result of our lower excess inventory levels, decreased demand in our International businesses, and decreased average selling prices per unit. These decreases were partially offset by increased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growth from our retail stores in Mexico. Average selling prices per unit decreased mid-single digits and units sold decreased low-single digits. Changes in foreign currency exchange rates used for translation had an unfavorable effect on our consolidated net sales of approximately $1.5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Consolidated gross profit decreased $23.6 million, or 2.4%, to $954.1 million and consolidated gross margin increased 130 bps to 48.1%. The decrease in consolidated gross profit was driven by decreased net sales. The increase in gross margin was driven by lower average cost per unit sold and decreased sales to off-price wholesale channel customers. Average cost per unit sold decreased high-single digits, driven by lower ocean freight rates and product input costs. These factors were partially offset by a benefit in excess inventory provisions in the first three quarters of fiscal 2023 that did not reoccur in the first three quarters of fiscal 2024, decreased average selling prices per unit mentioned above, and an increase in the mix of U.S. Wholesale net sales.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royalty income decreased $1.6 million, or 9.7%, to $15.0 million, driven by decreased wholesale customer demand.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Consolidated SG&amp;A expenses decreased $9.4 million, or 1.2%, to $797.6 million and increased as a percentage of consolidated net sales by 150 bps to 40.2%. The increase in SG&amp;A rate was driven by fixed cost deleverage on decreased sales and investments in our brand marketing and retail stores, partially offset by decreased performance-based compensation expense and decreased consulting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$15.8 million, or 8.4%, to $171.5 million and decreased as a percentage of net sales by approximately 40 bps to 8.6% primarily due to the factors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Consolidated interest expense decreased $3.2 million, or 12.1%, to $23.2 million. Weighted-average borrowings for the first three quarters of fiscal 2024 were $500.0 million at an effective interest rate of 6.13%, compared to weighted-average borrowings for the first three quarters of fiscal 2023 of $556.8 million at an effective interest rate of 6.17%. The decrease in weighted-average borrowings was attributable to decreased borrowings under our secured revolving credit facility.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interest income increased $5.9 million to $8.6 million due to increased cash balances during the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Consolidated other expense (income), net increased $2.5 million to $2.0 million due to a non-cash partial pension settlement charge of $0.9 million and unfavorable changes in foreign currency exchange rates, primarily between the U.S. dollar and the Canadian dollar and the Mexican Peso.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Consolidated income tax provision decreased $7.3 million, or 18.9%, to $31.0 million and the effective tax rate decreased 330 bps to 20.0%. The decrease in the effective tax rate was due to our revised full year outlook, which reflects an expectation for a lower proportion of income generated in the United States that the prior year, where the tax rate is lower relative to some of our international jurisdictions.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income decreased $2.0 million, or 1.6%, to $124.0 million, primarily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0"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First Three Quarters of Fiscal 2024 compared to First Three Quarters of Fiscal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and operating income, by segment, for the first three quarters of fiscal 2024 and fiscal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0" w:type="dxa"/>
            <w:vAlign w:val="bottom"/>
          </w:tcPr>
          <w:p>
            <w:pPr>
              <w:spacing w:after="0"/>
              <w:rPr>
                <w:sz w:val="13"/>
                <w:szCs w:val="13"/>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4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500" w:type="dxa"/>
            <w:vAlign w:val="bottom"/>
            <w:gridSpan w:val="3"/>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950,877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47.9 %</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1,021,983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(71,106)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767,194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277,491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298,553</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(21,062)</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Consolidated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1,984,390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2,087,730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sales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sales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Retail</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59,681</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103,132</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Wholesale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162,662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1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2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171,528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(15,817)</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U.S. Retail segment net sales decreased $71.1 million, or 7.0%, to $950.9 million. The decrease in net sales was driven by lower traffic in our eCommerce channels and in our retail stores, in part due to ongoing macroeconomic headwinds negatively impacting families with young children and decreased average selling prices per unit. These factors were partially offset by sales contribution of our new retail stores. Average selling prices per unit decreased mid-single digits due to investments in our pricing and an increased mix of clearance sales. Units sold decreased mid-single digits. Comparable net sales, including retail store and eCommerce, decreased 8.5% driven by the factors mentioned above.</w:t>
      </w:r>
    </w:p>
    <w:p>
      <w:pPr>
        <w:spacing w:after="0" w:line="14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U.S. Retail segment operating income decreased $43.5 million, or 42.1%, to $59.7 million, primarily due to a decrease in gross profit of $39.6 million and an increase in SG&amp;A expenses of $2.7 million. Operating margin decreased 380 bps to 6.3%, primarily due to a 410 bps increase in SG&amp;A rate, partially offset by a 40 bps increase in gross margin. The increase in gross margin was due to decreased average cost per unit sold, partially offset by a benefit in excess inventory provisions in the first three quarters of fiscal 2023 that did not reoccur in the first three quarters of fiscal 2024, and decreased average selling prices per unit mentioned above. Average cost per unit sold decreased mid-single digits due to decreased inbound freight rates and product input costs. The increase in the SG&amp;A rate was driven by fixed cost deleverage on decreased net sales, investments in brand marketing and our retail stores, increased retail store employee compensation costs, and increased transportation costs, partially offset by decreased performance-based compensation expense.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U.S. Wholesale segment net sales decreased $11.2 million, or 1.5%, to $756.0 million, driven by lower seasonal demand of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decreased sales to off-price wholesale channel customers as a result of our lower excess inventory levels, and decreased average selling prices per unit. These factors were partially offset by increased sales of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our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Average selling prices per unit decreased mid-single digits due to investments in our pricing, while units sold increased low-single digits.</w:t>
      </w:r>
    </w:p>
    <w:p>
      <w:pPr>
        <w:spacing w:after="0" w:line="1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U.S. Wholesale segment operating income increased $15.7 million, or 10.7%, to $162.7 million, primarily due to an increase in gross profit of $15.6 million and a decrease in SG&amp;A expenses of $0.1 million. Operating margin increased 230 bps to 21.5%. The drivers of the increase in operating margin were a 250 bps increase in gross margin, partially offset by a 20 bps increase in SG&amp;A rate. The increase in gross margin was driven by decreased average cost per unit sold, partially offset by a benefit in excess inventory provisions in the first three quarters of fiscal 2023 that did not reoccur in the first three quarters of fiscal 2024, and decreased average selling prices per unit mentioned above. Average cost per unit sold decreased high-single digits due to decreased ocean freight rates and product input costs. The increase in the SG&amp;A rate was driven by fixed cost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deleverage on decreased sales and increased investments in brand marketing, partially offset by decreased transportation costs and decreased performance-based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International segment net sales decreased $21.1 million, or 7.1%, to $277.5 million. Changes in foreign currency exchange rates, primarily between the U.S. dollar and the Canadian dollar, had a $1.5 million unfavorable effect on International segment net sales. The decrease in net sales was driven by decreased net sales in Canada, decreased demand from our international partners, and decreased average selling prices per unit. These decreases were partially offset by growth in sales in our retail stores in Mexico. Units sold decreased mid-single digits. Average selling prices per unit decreased low-single digits due to investments in our pricing strategies.</w:t>
      </w:r>
    </w:p>
    <w:p>
      <w:pPr>
        <w:spacing w:after="0" w:line="14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Canadian comparable net sales, including retail store and eCommerce, decreased 6.8% driven by decreased traffic in our eCommerce channel and in our retail stores as a result of macroeconomic headwinds.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International segment operating income decreased $5.2 million, or 22.5%, to $18.0 million, primarily due to an increase in SG&amp;A expenses of $5.1 million, partially offset by an increase in gross profit of $0.4 million. Operating margin decreased 130 bps to 6.5% driven by a 470 bps increase in the SG&amp;A rate, partially offset by a 360 bps increase in gross margin. The increase in gross margin was due to decreased average cost per unit sold. Average cost per unit sold decreased high-single digits due to decreased ocean freight rates and product input costs. The increase in the SG&amp;A rate was due to fixed cost deleverage on decreased sales, increased bad debt expense, and increased retail store employee compensation costs, partially offset by decreased performance-based compensation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Unallocated corporate expenses decreased $17.2 million, or 20.0%, to $68.8 million and unallocated corporate expenses, as a percentage of consolidated net sales, decreased 60 bps to 3.5%. The decrease as a percentage of consolidated net sales was driven by organizational restructuring charges in the first three quarters of fiscal 2023 that did not reoccur in the first three quarters of fiscal 2024, decreased consulting costs, and decreased performance-based compensation expense, partially offset by fixed cost deleverage on decreased sales.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substitution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Diluted Net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Diluted Net</w:t>
            </w:r>
          </w:p>
        </w:tc>
        <w:tc>
          <w:tcPr>
            <w:tcW w:w="0" w:type="dxa"/>
            <w:vAlign w:val="bottom"/>
          </w:tcPr>
          <w:p>
            <w:pPr>
              <w:spacing w:after="0"/>
              <w:rPr>
                <w:sz w:val="1"/>
                <w:szCs w:val="1"/>
                <w:color w:val="auto"/>
              </w:rPr>
            </w:pPr>
          </w:p>
        </w:tc>
      </w:tr>
      <w:tr>
        <w:trPr>
          <w:trHeight w:val="162"/>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w:t>
            </w:r>
          </w:p>
        </w:tc>
        <w:tc>
          <w:tcPr>
            <w:tcW w:w="10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 Net</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40" w:type="dxa"/>
            <w:vAlign w:val="bottom"/>
            <w:tcBorders>
              <w:right w:val="single" w:sz="8" w:color="auto"/>
            </w:tcBorders>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Income per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 Net</w:t>
            </w: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9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Income per</w:t>
            </w:r>
          </w:p>
        </w:tc>
        <w:tc>
          <w:tcPr>
            <w:tcW w:w="0" w:type="dxa"/>
            <w:vAlign w:val="bottom"/>
          </w:tcPr>
          <w:p>
            <w:pPr>
              <w:spacing w:after="0"/>
              <w:rPr>
                <w:sz w:val="1"/>
                <w:szCs w:val="1"/>
                <w:color w:val="auto"/>
              </w:rPr>
            </w:pPr>
          </w:p>
        </w:tc>
      </w:tr>
      <w:tr>
        <w:trPr>
          <w:trHeight w:val="162"/>
        </w:trPr>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214"/>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earnings per share)</w:t>
            </w:r>
          </w:p>
        </w:tc>
        <w:tc>
          <w:tcPr>
            <w:tcW w:w="1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Taxes</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Taxes</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11"/>
        </w:trPr>
        <w:tc>
          <w:tcPr>
            <w:tcW w:w="1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14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93.4</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Partial pension plan</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settlement</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Organizational</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restructuring</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10.2 %</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12.2 %</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68.4</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 non-cash partial pension settlement charge.</w:t>
      </w:r>
    </w:p>
    <w:p>
      <w:pPr>
        <w:spacing w:after="0" w:line="68" w:lineRule="exact"/>
        <w:rPr>
          <w:rFonts w:ascii="Times New Roman" w:cs="Times New Roman" w:eastAsia="Times New Roman" w:hAnsi="Times New Roman"/>
          <w:sz w:val="14"/>
          <w:szCs w:val="14"/>
          <w:color w:val="auto"/>
        </w:rPr>
      </w:pPr>
    </w:p>
    <w:p>
      <w:pPr>
        <w:ind w:left="340" w:right="4920" w:hanging="332"/>
        <w:spacing w:after="0" w:line="382"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Relates to charges for organizational restructuring and related corporate office lease amendment actions. </w:t>
      </w:r>
      <w:r>
        <w:rPr>
          <w:rFonts w:ascii="Times New Roman" w:cs="Times New Roman" w:eastAsia="Times New Roman" w:hAnsi="Times New Roman"/>
          <w:sz w:val="14"/>
          <w:szCs w:val="14"/>
          <w:i w:val="1"/>
          <w:iCs w:val="1"/>
          <w:color w:val="auto"/>
        </w:rPr>
        <w:t>Note: Results may not be additive due to rounding.</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fiscal quarters ended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28, 2024</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Diluted Net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Diluted Net</w:t>
            </w:r>
          </w:p>
        </w:tc>
        <w:tc>
          <w:tcPr>
            <w:tcW w:w="0" w:type="dxa"/>
            <w:vAlign w:val="bottom"/>
          </w:tcPr>
          <w:p>
            <w:pPr>
              <w:spacing w:after="0"/>
              <w:rPr>
                <w:sz w:val="1"/>
                <w:szCs w:val="1"/>
                <w:color w:val="auto"/>
              </w:rPr>
            </w:pPr>
          </w:p>
        </w:tc>
      </w:tr>
      <w:tr>
        <w:trPr>
          <w:trHeight w:val="162"/>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w:t>
            </w:r>
          </w:p>
        </w:tc>
        <w:tc>
          <w:tcPr>
            <w:tcW w:w="12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 Net</w:t>
            </w:r>
          </w:p>
        </w:tc>
        <w:tc>
          <w:tcPr>
            <w:tcW w:w="120" w:type="dxa"/>
            <w:vAlign w:val="bottom"/>
          </w:tcPr>
          <w:p>
            <w:pPr>
              <w:spacing w:after="0"/>
              <w:rPr>
                <w:sz w:val="14"/>
                <w:szCs w:val="1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40" w:type="dxa"/>
            <w:vAlign w:val="bottom"/>
            <w:tcBorders>
              <w:right w:val="single" w:sz="8" w:color="auto"/>
            </w:tcBorders>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Income per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 Net</w:t>
            </w:r>
          </w:p>
        </w:tc>
        <w:tc>
          <w:tcPr>
            <w:tcW w:w="140" w:type="dxa"/>
            <w:vAlign w:val="bottom"/>
          </w:tcPr>
          <w:p>
            <w:pPr>
              <w:spacing w:after="0"/>
              <w:rPr>
                <w:sz w:val="14"/>
                <w:szCs w:val="14"/>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4"/>
                <w:szCs w:val="1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w:t>
            </w:r>
          </w:p>
        </w:tc>
        <w:tc>
          <w:tcPr>
            <w:tcW w:w="9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Income per</w:t>
            </w:r>
          </w:p>
        </w:tc>
        <w:tc>
          <w:tcPr>
            <w:tcW w:w="0" w:type="dxa"/>
            <w:vAlign w:val="bottom"/>
          </w:tcPr>
          <w:p>
            <w:pPr>
              <w:spacing w:after="0"/>
              <w:rPr>
                <w:sz w:val="1"/>
                <w:szCs w:val="1"/>
                <w:color w:val="auto"/>
              </w:rPr>
            </w:pPr>
          </w:p>
        </w:tc>
      </w:tr>
      <w:tr>
        <w:trPr>
          <w:trHeight w:val="162"/>
        </w:trPr>
        <w:tc>
          <w:tcPr>
            <w:tcW w:w="1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earnings per share)</w:t>
            </w:r>
          </w:p>
        </w:tc>
        <w:tc>
          <w:tcPr>
            <w:tcW w:w="12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Taxes</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4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Taxes</w:t>
            </w: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8"/>
                <w:szCs w:val="18"/>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11"/>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171.5</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w:t>
            </w:r>
          </w:p>
        </w:tc>
        <w:tc>
          <w:tcPr>
            <w:tcW w:w="14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187.3</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0" w:type="dxa"/>
            <w:vAlign w:val="bottom"/>
          </w:tcPr>
          <w:p>
            <w:pPr>
              <w:spacing w:after="0"/>
              <w:rPr>
                <w:sz w:val="1"/>
                <w:szCs w:val="1"/>
                <w:color w:val="auto"/>
              </w:rPr>
            </w:pPr>
          </w:p>
        </w:tc>
      </w:tr>
      <w:tr>
        <w:trPr>
          <w:trHeight w:val="162"/>
        </w:trPr>
        <w:tc>
          <w:tcPr>
            <w:tcW w:w="1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Partial pension plan</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settlement</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Organizational</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restructuring</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8.6 %</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3.43</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9.2 %</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 non-cash partial pension settlement charge.</w:t>
      </w:r>
    </w:p>
    <w:p>
      <w:pPr>
        <w:spacing w:after="0" w:line="55" w:lineRule="exact"/>
        <w:rPr>
          <w:rFonts w:ascii="Times New Roman" w:cs="Times New Roman" w:eastAsia="Times New Roman" w:hAnsi="Times New Roman"/>
          <w:sz w:val="14"/>
          <w:szCs w:val="14"/>
          <w:color w:val="auto"/>
        </w:rPr>
      </w:pPr>
    </w:p>
    <w:p>
      <w:pPr>
        <w:ind w:left="340" w:right="4920" w:hanging="332"/>
        <w:spacing w:after="0" w:line="382"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Relates to charges for organizational restructuring and related corporate office lease amendment actions. </w:t>
      </w:r>
      <w:r>
        <w:rPr>
          <w:rFonts w:ascii="Times New Roman" w:cs="Times New Roman" w:eastAsia="Times New Roman" w:hAnsi="Times New Roman"/>
          <w:sz w:val="14"/>
          <w:szCs w:val="14"/>
          <w:i w:val="1"/>
          <w:iCs w:val="1"/>
          <w:color w:val="auto"/>
        </w:rPr>
        <w:t>Note: Results may not be additive due to rounding.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ongoing cash needs are primarily for working capital,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are sufficient to meet our cash requirements for at least the next twelve months. However, these sources of liquidity may be affected by events described in the “Forward-Looking Statements” section of this Form 10-Q, including, but not limited to, our risk factors discussed under the heading “Risk Factors” in our most recently filed Annual Report on Form 10-K and in other reports filed with the Securities and Exchange Commission from time to time.</w:t>
      </w:r>
    </w:p>
    <w:p>
      <w:pPr>
        <w:spacing w:after="0" w:line="14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discussed under the heading “Known or Anticipated Trends” in this Quarterly Report on Form 10-Q and in our most recently filed Annual Report on Form 10-K, inflationary pressures and declining consumer sentiment have had and may continue to have a negative impact on consumer demand for our products and on our financial results in fiscal 2024. We cannot predict the timing and amount of such impact.</w:t>
      </w:r>
    </w:p>
    <w:p>
      <w:pPr>
        <w:spacing w:after="0" w:line="1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September 28, 2024, we had approximately $175.5 million of cash and cash equivalents held at major financial institutions, including approximately $72.1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accounts receivable at September 28, 2024 were $247.0 million compared to $240.5 million at September 30, 2023 and $183.8 million at December 30, 2023. The overall increase of $6.5 million, or 2.7%, at September 28, 2024 compared to September 30, 2023 primarily reflects the timing of wholesale customer shipments and associated payments. Due to the seasonal nature of our operations, the net accounts receivable balance at September 28, 2024 is not comparable to the net accounts receivable balance at December 30, 2023.</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Inventories at September 28, 2024 were $607.4 million compared to $620.7 million at September 30, 2023 and $537.1 million at December 30, 2023. The decrease of $13.3 million, or 2.1%, at September 28, 2024 compared to September 30, 2023 was driven by decreased “pack and hold” inventory and decreased days of supply, partially offset by increased in-transit inventory due to the disruption of container shipping traffic through the Red Sea. Due to the seasonal nature of our operations, the inventory balance at September 28, 2024 is not comparable to the inventories balance at December 30, 2023.</w:t>
      </w:r>
    </w:p>
    <w:p>
      <w:pPr>
        <w:spacing w:after="0" w:line="13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lease assets at September 28, 2024 were $560.2 million compared to $506.0 million at September 30, 2023 and $528.4 million at December 30, 2023. The increase in operating lease assets compared to September 30, 2023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December 30, 2023 was driven by the renewal of a contract with a third-party logistics provider in California for warehousing and distribution purposes and investments in our retail store fleet.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Accounts payable at September 28, 2024 were $273.9 million compared to $222.2 million at September 30, 2023 and $242.1 million at December 30, 2023. The increase of $51.7 million, or 23.3%, at September 28, 2024 compared to September 30, 2023 was driven by the timing of payments for purchases of inventory. Due to the seasonal nature of our operations, the accounts payable balance at September 28, 2024 is not comparable to the accounts payable balance at December 30,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$11.3 million for the first three quarters of fiscal 2024 compared to net cash provided by operating activities of $205.8 million in the first three quarters of fiscal 2023. Our cash flow provided by operating activities is driven by net income and changes in our working capital. The decrease in operating cash flow was driven by smaller reductions in inventory balances due to the sell through of a large portion of our “pack and hold” inventory in fiscal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$39.6 million for the first three quarters of fiscal 2024 compared to $42.5 million in the first three quarters of fiscal 2023. The decrease in net cash used in investing activities was driven by decreased capital expenditures. Capital expenditures in the first three quarters of fiscal 2024 was driven by U.S. and international retail store openings and remodels and investments in our distribution facilities.</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$65.0 million in capital expenditures in fiscal 2024, which primarily relates to U.S. and international retail store openings and remodels, investments in our distribution facilities, and strategic information technology initiatives.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$145.1 million in the first three quarters of fiscal 2024 compared to $206.6 million in the first three quarters of fiscal 2023. This change in cash flow from financing activities was primarily driven by payments on our secured revolving credit facility in the first three quarters of fiscal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28, 2024, we had no outstanding borrowings under our secured revolving credit facility, exclusive of $5.7 million of outstanding letters of credit. As of September 28, 2024, there was approximately $844.3 million available for future borrowing. Any outstanding borrowings under our secured revolving credit facility are classified as non-current liabilities on our condensed consolidated balance sheets due to contractual repayment terms under the credit facility. However, these repayment terms also allow us to repay some or all of the outstanding borrowings at any time.</w:t>
      </w:r>
    </w:p>
    <w:p>
      <w:pPr>
        <w:spacing w:after="0" w:line="15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secured revolving credit facility provides for a leverage-based pricing grid which determines an interest rate for borrowings, calculated as the applicable floating benchmark rate plus a credit spread adjustment, if any, plus an amount ranging from 1.125% to 1.625%. As of September 28, 2024, the borrowing rate for an adjusted term Secured Overnight Financing Rate (“SOFR”) loan would have been 6.44%, which includes a leverage-based adjustment of 1.125%. As of September 28, 2024, the Company was in compliance with its financial and other covenants under the secured revolving credit facility.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September 28, 2024, the Company had outstanding $500.0 million principal amount of senior notes, bearing interest at a rate of 5.625% per annum, and scheduled to mature on March 15, 2027. On our condensed consolidated balance sheets, the $500.0 million of outstanding senior notes as of September 28, 2024 is reported net of $2.1 million of unamortized issuance-related debt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of the first three quarters of fiscal 2024, the Board of Directors declared, and the Company paid, a cash dividend per common share of $0.80 (for an aggregate cash dividend per common share of $2.40 for the first three quarters of fiscal 2024). Additionally, in each of the first three quarters of fiscal 2023, the Board of Directors declared, and the Company paid, a cash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per common share of $0.75 (for an aggregate cash dividend per common share of $2.25 for the first three quarters of fiscal 2023).</w:t>
      </w:r>
    </w:p>
    <w:p>
      <w:pPr>
        <w:spacing w:after="0" w:line="18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Provisions in our secured revolving credit facility could have the effect of restricting our ability to pay cash dividends on, or make future repurchases of, our common stock, as further described in Note 5,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0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the first three quarters of fiscal 2024, we repurchased and retired 736,423 shares in open market transactions for approximately $50.5 million, at an average price of $68.61 per share. In the first three quarters of fiscal 2023, we repurchased and retired 975,358 shares in open market transactions for approximately $67.5 million, at an average price of $69.20 per share.</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total remaining capacity under outstanding repurchase authorizations as of September 28, 2024 was approximately $599.0 million, based on settled repurchase transactions. The share repurchase authorizations have no expiration dates.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paused share repurchases during the third quarter of fiscal 2024. 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and other factors.</w:t>
      </w:r>
    </w:p>
    <w:p>
      <w:pPr>
        <w:spacing w:after="0" w:line="15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light of the share repurchases and dividends paid in the first three quarters of fiscal 2024, along with our projected remaining dividend payments this year, we expect the cumulative distribution of capital through share repurchases and dividends to represent somewhat more than 100% of our projected fiscal 2024 free cash flow, a non-GAAP measure the Company defines as operating cash flow minus capital expenditures.</w:t>
      </w:r>
    </w:p>
    <w:p>
      <w:pPr>
        <w:spacing w:after="0" w:line="13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do not reconcile forward-looking free cash flow to its most directly comparable GAAP measure because we cannot predict with reasonable certainty the ultimate outcome of certain components of such reconciliation that are not within our control due to factors describe below, or others that may arise, without unreasonable effort. For these reasons, we are unable to assess the probable significance of the unavailable information, which could materially impact the amount of future operating cash flows, the most directly comparable GAAP metric, to free cash flow.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under the heading “Critical Accounting Policies and Estimates” in Item 7 of our most recent Annual Report on Form 10-K for the 2023 fiscal year ended December 30, 2023.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other indefinite-lived intangible assets,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1" w:name="page32"/>
    <w:bookmarkEnd w:id="31"/>
    <w:p>
      <w:pPr>
        <w:ind w:right="4060"/>
        <w:spacing w:after="0" w:line="362"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3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foreign subsidiaries typically record sales denominated in currencies other than the U.S. dollar, which are then translated into U.S. dollars using weighted-average exchange rates. Changes in foreign currency exchange rates used for translation in the third quarter of fiscal 2024, as compared to the third quarter of fiscal 2023, had an unfavorable effect on our consolidated net sales of approximately $3.1 million. Changes in foreign currency exchange rates used for translation in the first three quarters of fiscal 2024, as compared to the first three quarters of fiscal 2023, had an unfavorable effect on our consolidated net sales of approximately $1.5 million.</w:t>
      </w:r>
    </w:p>
    <w:p>
      <w:pPr>
        <w:spacing w:after="0" w:line="1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condensed consolidated statement of operations, these gains and losses are recorded within Other expense (income),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secured revolving credit facility, which carries variable interest rates. As of September 28, 2024, there were no variable rate borrowings outstanding under the secured revolving credit facility. As a result, the impact of a hypothetical 100 bps increase in the effective interest rate would not result in material interest expense over a 12-month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September 28,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September 28, 2024 that have materially affected, or which are reasonably likely to materially affect, Internal Control.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that materially affected, or were likely to materially affect, such control over financial reporting during the fiscal quarter ended September 28,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9" w:right="4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2023 fiscal year ended December 30,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third quarter of fiscal 2024:</w:t>
      </w:r>
    </w:p>
    <w:p>
      <w:pPr>
        <w:spacing w:after="0" w:line="14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Approximate dollar</w:t>
      </w:r>
    </w:p>
    <w:p>
      <w:pPr>
        <w:spacing w:after="0" w:line="25" w:lineRule="exact"/>
        <w:rPr>
          <w:sz w:val="20"/>
          <w:szCs w:val="20"/>
          <w:color w:val="auto"/>
        </w:rPr>
      </w:pPr>
    </w:p>
    <w:p>
      <w:pPr>
        <w:jc w:val="right"/>
        <w:ind w:right="160"/>
        <w:spacing w:after="0"/>
        <w:tabs>
          <w:tab w:leader="none" w:pos="1440" w:val="left"/>
        </w:tabs>
        <w:rPr>
          <w:sz w:val="20"/>
          <w:szCs w:val="20"/>
          <w:color w:val="auto"/>
        </w:rPr>
      </w:pPr>
      <w:r>
        <w:rPr>
          <w:rFonts w:ascii="Times New Roman" w:cs="Times New Roman" w:eastAsia="Times New Roman" w:hAnsi="Times New Roman"/>
          <w:sz w:val="16"/>
          <w:szCs w:val="16"/>
          <w:b w:val="1"/>
          <w:bCs w:val="1"/>
          <w:color w:val="auto"/>
        </w:rPr>
        <w:t>Total number of shares</w:t>
      </w:r>
      <w:r>
        <w:rPr>
          <w:sz w:val="20"/>
          <w:szCs w:val="20"/>
          <w:color w:val="auto"/>
        </w:rPr>
        <w:tab/>
      </w:r>
      <w:r>
        <w:rPr>
          <w:rFonts w:ascii="Times New Roman" w:cs="Times New Roman" w:eastAsia="Times New Roman" w:hAnsi="Times New Roman"/>
          <w:sz w:val="16"/>
          <w:szCs w:val="16"/>
          <w:b w:val="1"/>
          <w:bCs w:val="1"/>
          <w:color w:val="auto"/>
        </w:rPr>
        <w:t>value of shares that</w:t>
      </w:r>
    </w:p>
    <w:p>
      <w:pPr>
        <w:sectPr>
          <w:pgSz w:w="11900" w:h="16838" w:orient="portrait"/>
          <w:cols w:equalWidth="0" w:num="1">
            <w:col w:w="11240"/>
          </w:cols>
          <w:pgMar w:left="320" w:top="1265" w:right="339" w:bottom="1440" w:gutter="0" w:footer="0" w:header="0"/>
        </w:sect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June 30, 2024 through July 27, 2024</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July 28, 2024 through August 24, 2024</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August 25, 2024 through September 28, 2024</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3"/>
                <w:szCs w:val="13"/>
                <w:color w:val="auto"/>
              </w:rPr>
            </w:pPr>
          </w:p>
        </w:tc>
        <w:tc>
          <w:tcPr>
            <w:tcW w:w="16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178"/>
        </w:trPr>
        <w:tc>
          <w:tcPr>
            <w:tcW w:w="164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5"/>
                <w:szCs w:val="15"/>
                <w:color w:val="auto"/>
              </w:rPr>
            </w:pPr>
          </w:p>
        </w:tc>
        <w:tc>
          <w:tcPr>
            <w:tcW w:w="176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ind w:right="99"/>
              <w:spacing w:after="0" w:line="178" w:lineRule="exact"/>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57"/>
        </w:trPr>
        <w:tc>
          <w:tcPr>
            <w:tcW w:w="1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w:t>
            </w:r>
            <w:r>
              <w:rPr>
                <w:rFonts w:ascii="Times New Roman" w:cs="Times New Roman" w:eastAsia="Times New Roman" w:hAnsi="Times New Roman"/>
                <w:sz w:val="21"/>
                <w:szCs w:val="21"/>
                <w:b w:val="1"/>
                <w:bCs w:val="1"/>
                <w:color w:val="auto"/>
                <w:vertAlign w:val="superscript"/>
              </w:rPr>
              <w:t>(2)</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programs</w:t>
            </w:r>
            <w:r>
              <w:rPr>
                <w:rFonts w:ascii="Times New Roman" w:cs="Times New Roman" w:eastAsia="Times New Roman" w:hAnsi="Times New Roman"/>
                <w:sz w:val="21"/>
                <w:szCs w:val="21"/>
                <w:b w:val="1"/>
                <w:bCs w:val="1"/>
                <w:color w:val="auto"/>
                <w:vertAlign w:val="superscript"/>
              </w:rPr>
              <w:t>(4)</w:t>
            </w:r>
          </w:p>
        </w:tc>
      </w:tr>
      <w:tr>
        <w:trPr>
          <w:trHeight w:val="204"/>
        </w:trPr>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203,655</w:t>
            </w:r>
          </w:p>
        </w:tc>
        <w:tc>
          <w:tcPr>
            <w:tcW w:w="100" w:type="dxa"/>
            <w:vAlign w:val="bottom"/>
          </w:tcPr>
          <w:p>
            <w:pPr>
              <w:spacing w:after="0"/>
              <w:rPr>
                <w:sz w:val="17"/>
                <w:szCs w:val="17"/>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61.62</w:t>
            </w:r>
          </w:p>
        </w:tc>
        <w:tc>
          <w:tcPr>
            <w:tcW w:w="120" w:type="dxa"/>
            <w:vAlign w:val="bottom"/>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203,655</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603,165,291</w:t>
            </w:r>
          </w:p>
        </w:tc>
      </w:tr>
      <w:tr>
        <w:trPr>
          <w:trHeight w:val="378"/>
        </w:trPr>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73,067</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598,966,271</w:t>
            </w:r>
          </w:p>
        </w:tc>
      </w:tr>
      <w:tr>
        <w:trPr>
          <w:trHeight w:val="378"/>
        </w:trPr>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598,966,271</w:t>
            </w:r>
          </w:p>
        </w:tc>
      </w:tr>
      <w:tr>
        <w:trPr>
          <w:trHeight w:val="168"/>
        </w:trPr>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7"/>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274,535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-659130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-419735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-179070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-908050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640" w:space="720"/>
            <w:col w:w="6880"/>
          </w:cols>
          <w:pgMar w:left="320" w:top="1265" w:right="339" w:bottom="1440" w:gutter="0" w:footer="0" w:header="0"/>
          <w:type w:val="continuous"/>
        </w:sectPr>
      </w:pPr>
    </w:p>
    <w:p>
      <w:pPr>
        <w:ind w:left="340" w:right="280" w:hanging="332"/>
        <w:spacing w:after="0" w:line="28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our common stock surrendered by our employees to satisfy required tax withholding upon the vesting of restricted stock awards. There were 2,187 shares surrendered between July 28, 2024 and August 24, 2024.</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price paid per share excludes excise tax on share repurchases imposed as part of the Inflation Reduction Act of 2022.</w:t>
      </w:r>
    </w:p>
    <w:p>
      <w:pPr>
        <w:spacing w:after="0" w:line="68" w:lineRule="exact"/>
        <w:rPr>
          <w:rFonts w:ascii="Times New Roman" w:cs="Times New Roman" w:eastAsia="Times New Roman" w:hAnsi="Times New Roman"/>
          <w:sz w:val="14"/>
          <w:szCs w:val="14"/>
          <w:color w:val="auto"/>
        </w:rPr>
      </w:pPr>
    </w:p>
    <w:p>
      <w:pPr>
        <w:jc w:val="both"/>
        <w:ind w:left="340" w:right="520" w:hanging="332"/>
        <w:spacing w:after="0" w:line="30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purchases during the third quarter of fiscal 2024 were made in compliance with all applicable rules and regulations and in accordance with the share repurchase authorizations described in Note 6, Common Stock, to our accompanying unaudited condensed consolidated financial statements included in Part I. Item 1 of this Quarterly Report on Form 10-Q.</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share repurchase authorizations approved by our Board of Directors. The share repurchase authorizations have no expiration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28, 2024, none of the Company’s directors or officers, as defined in Section 16 of the Exchange Act, adopted,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96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8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4"/>
                <w:szCs w:val="14"/>
                <w:color w:val="auto"/>
              </w:rPr>
            </w:pPr>
          </w:p>
        </w:tc>
        <w:tc>
          <w:tcPr>
            <w:tcW w:w="98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Filed Herewith</w:t>
            </w:r>
          </w:p>
        </w:tc>
        <w:tc>
          <w:tcPr>
            <w:tcW w:w="0" w:type="dxa"/>
            <w:vAlign w:val="bottom"/>
          </w:tcPr>
          <w:p>
            <w:pPr>
              <w:spacing w:after="0"/>
              <w:rPr>
                <w:sz w:val="1"/>
                <w:szCs w:val="1"/>
                <w:color w:val="auto"/>
              </w:rPr>
            </w:pPr>
          </w:p>
        </w:tc>
      </w:tr>
      <w:tr>
        <w:trPr>
          <w:trHeight w:val="214"/>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80" w:type="dxa"/>
            <w:vAlign w:val="bottom"/>
            <w:gridSpan w:val="5"/>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52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60" w:type="dxa"/>
            <w:vAlign w:val="bottom"/>
            <w:tcBorders>
              <w:top w:val="single" w:sz="8" w:color="auto"/>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400" w:type="dxa"/>
            <w:vAlign w:val="bottom"/>
            <w:tcBorders>
              <w:top w:val="single" w:sz="8" w:color="auto"/>
              <w:bottom w:val="single" w:sz="8" w:color="0000FF"/>
            </w:tcBorders>
            <w:gridSpan w:val="4"/>
            <w:shd w:val="clear" w:color="auto" w:fill="CCEEFF"/>
          </w:tcPr>
          <w:p>
            <w:pPr>
              <w:spacing w:after="0" w:line="171"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Amended and Restated Certificate of Incorporation of Carter’s, Inc.</w:t>
              </w:r>
            </w:hyperlink>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6"/>
              </w:rPr>
              <w:t>8-K</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rPr>
              <w:t>May 23, 2017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5"/>
                <w:szCs w:val="15"/>
                <w:color w:val="auto"/>
              </w:rPr>
            </w:pPr>
          </w:p>
        </w:tc>
        <w:tc>
          <w:tcPr>
            <w:tcW w:w="5660" w:type="dxa"/>
            <w:vAlign w:val="bottom"/>
            <w:gridSpan w:val="7"/>
          </w:tcPr>
          <w:p>
            <w:pPr>
              <w:ind w:left="20"/>
              <w:spacing w:after="0" w:line="175"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Amended and Restated By-Laws of Carter’s, Inc.</w:t>
              </w:r>
            </w:hyperlink>
          </w:p>
        </w:tc>
        <w:tc>
          <w:tcPr>
            <w:tcW w:w="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gridSpan w:val="2"/>
          </w:tcPr>
          <w:p>
            <w:pPr>
              <w:jc w:val="center"/>
              <w:ind w:left="39"/>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Pr>
          <w:p>
            <w:pPr>
              <w:spacing w:after="0"/>
              <w:rPr>
                <w:sz w:val="15"/>
                <w:szCs w:val="15"/>
                <w:color w:val="auto"/>
              </w:rPr>
            </w:pPr>
          </w:p>
        </w:tc>
        <w:tc>
          <w:tcPr>
            <w:tcW w:w="152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color w:val="auto"/>
              </w:rPr>
              <w:t>August 18, 2023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160" w:type="dxa"/>
            <w:vAlign w:val="bottom"/>
            <w:tcBorders>
              <w:bottom w:val="single" w:sz="8" w:color="0000FF"/>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Rule 13a-15(e)/15d-15(e) and 13a-15(f)/15d-15(f) Certification.</w:t>
            </w:r>
          </w:p>
        </w:tc>
        <w:tc>
          <w:tcPr>
            <w:tcW w:w="148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76"/>
        </w:trPr>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15"/>
                <w:szCs w:val="15"/>
                <w:color w:val="auto"/>
              </w:rPr>
            </w:pPr>
          </w:p>
        </w:tc>
        <w:tc>
          <w:tcPr>
            <w:tcW w:w="5660" w:type="dxa"/>
            <w:vAlign w:val="bottom"/>
            <w:gridSpan w:val="7"/>
          </w:tcPr>
          <w:p>
            <w:pPr>
              <w:ind w:left="20"/>
              <w:spacing w:after="0" w:line="175" w:lineRule="exact"/>
              <w:rPr>
                <w:sz w:val="20"/>
                <w:szCs w:val="20"/>
                <w:color w:val="auto"/>
              </w:rPr>
            </w:pPr>
            <w:r>
              <w:rPr>
                <w:rFonts w:ascii="Times New Roman" w:cs="Times New Roman" w:eastAsia="Times New Roman" w:hAnsi="Times New Roman"/>
                <w:sz w:val="16"/>
                <w:szCs w:val="16"/>
                <w:color w:val="0000FF"/>
              </w:rPr>
              <w:t>Rule 13a-15(e)/15d-15(e) and 13a-15(f)/15d-15(f) Certification.</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Section 1350 Certification.</w:t>
            </w:r>
          </w:p>
        </w:tc>
        <w:tc>
          <w:tcPr>
            <w:tcW w:w="3880" w:type="dxa"/>
            <w:vAlign w:val="bottom"/>
            <w:tcBorders>
              <w:bottom w:val="single" w:sz="8" w:color="CCEEFF"/>
            </w:tcBorders>
            <w:gridSpan w:val="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62"/>
        </w:trPr>
        <w:tc>
          <w:tcPr>
            <w:tcW w:w="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5660" w:type="dxa"/>
            <w:vAlign w:val="bottom"/>
            <w:gridSpan w:val="7"/>
          </w:tcPr>
          <w:p>
            <w:pPr>
              <w:ind w:left="2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instant document does not appear in the Interactive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Data File because its XBRL tags are embedded within the Inline XBRL document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101.SCH</w:t>
            </w:r>
          </w:p>
        </w:tc>
        <w:tc>
          <w:tcPr>
            <w:tcW w:w="5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3"/>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5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5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3"/>
        </w:trPr>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5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5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0"/>
        </w:trPr>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18"/>
                <w:szCs w:val="18"/>
                <w:color w:val="auto"/>
              </w:rPr>
            </w:pPr>
          </w:p>
        </w:tc>
        <w:tc>
          <w:tcPr>
            <w:tcW w:w="5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The cover page from this Current Report on Form 10-Q formatted as Inline XBRL</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5" w:name="page36"/>
    <w:bookmarkEnd w:id="35"/>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tabs>
          <w:tab w:leader="none" w:pos="6160" w:val="left"/>
        </w:tabs>
        <w:rPr>
          <w:sz w:val="20"/>
          <w:szCs w:val="20"/>
          <w:color w:val="auto"/>
        </w:rPr>
      </w:pPr>
      <w:r>
        <w:rPr>
          <w:rFonts w:ascii="Times New Roman" w:cs="Times New Roman" w:eastAsia="Times New Roman" w:hAnsi="Times New Roman"/>
          <w:sz w:val="16"/>
          <w:szCs w:val="16"/>
          <w:color w:val="auto"/>
        </w:rPr>
        <w:t>October 25, 2024</w:t>
      </w:r>
      <w:r>
        <w:rPr>
          <w:sz w:val="20"/>
          <w:szCs w:val="20"/>
          <w:color w:val="auto"/>
        </w:rPr>
        <w:tab/>
      </w: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37465</wp:posOffset>
            </wp:positionV>
            <wp:extent cx="25971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color w:val="auto"/>
        </w:rPr>
        <w:t>Michael D. Casey</w:t>
      </w:r>
    </w:p>
    <w:p>
      <w:pPr>
        <w:spacing w:after="0" w:line="30"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Chairman, Chief Executive Officer &amp; President</w:t>
      </w:r>
    </w:p>
    <w:p>
      <w:pPr>
        <w:spacing w:after="0" w:line="7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tabs>
          <w:tab w:leader="none" w:pos="5800" w:val="left"/>
        </w:tabs>
        <w:rPr>
          <w:sz w:val="20"/>
          <w:szCs w:val="20"/>
          <w:color w:val="auto"/>
        </w:rPr>
      </w:pPr>
      <w:r>
        <w:rPr>
          <w:rFonts w:ascii="Times New Roman" w:cs="Times New Roman" w:eastAsia="Times New Roman" w:hAnsi="Times New Roman"/>
          <w:sz w:val="16"/>
          <w:szCs w:val="16"/>
          <w:color w:val="auto"/>
        </w:rPr>
        <w:t>October 25, 2024</w:t>
      </w:r>
      <w:r>
        <w:rPr>
          <w:sz w:val="20"/>
          <w:szCs w:val="20"/>
          <w:color w:val="auto"/>
        </w:rPr>
        <w:tab/>
      </w:r>
      <w:r>
        <w:rPr>
          <w:rFonts w:ascii="Times New Roman" w:cs="Times New Roman" w:eastAsia="Times New Roman" w:hAnsi="Times New Roman"/>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37465</wp:posOffset>
            </wp:positionV>
            <wp:extent cx="25971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30"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Senior Executive Vice President,</w:t>
      </w:r>
    </w:p>
    <w:p>
      <w:pPr>
        <w:spacing w:after="0" w:line="7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Chief Financial Officer &amp; Chief Operating Officer</w:t>
      </w:r>
    </w:p>
    <w:p>
      <w:pPr>
        <w:spacing w:after="0" w:line="7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(Principal Financial &amp;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280"/>
          </w:cols>
          <w:pgMar w:left="320" w:top="1440" w:right="12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640"/>
        <w:spacing w:after="0"/>
        <w:tabs>
          <w:tab w:leader="none" w:pos="6880" w:val="left"/>
        </w:tabs>
        <w:rPr>
          <w:sz w:val="20"/>
          <w:szCs w:val="20"/>
          <w:color w:val="auto"/>
        </w:rPr>
      </w:pPr>
      <w:r>
        <w:rPr>
          <w:rFonts w:ascii="Times New Roman" w:cs="Times New Roman" w:eastAsia="Times New Roman" w:hAnsi="Times New Roman"/>
          <w:sz w:val="18"/>
          <w:szCs w:val="18"/>
          <w:color w:val="auto"/>
        </w:rPr>
        <w:t>October 25, 2024</w:t>
      </w:r>
      <w:r>
        <w:rPr>
          <w:sz w:val="20"/>
          <w:szCs w:val="20"/>
          <w:color w:val="auto"/>
        </w:rPr>
        <w:tab/>
      </w:r>
      <w:r>
        <w:rPr>
          <w:rFonts w:ascii="Times New Roman" w:cs="Times New Roman" w:eastAsia="Times New Roman" w:hAnsi="Times New Roman"/>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22542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254250"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Chairman, Chief Executive Officer &amp; President</w:t>
      </w:r>
    </w:p>
    <w:p>
      <w:pPr>
        <w:sectPr>
          <w:pgSz w:w="11900" w:h="16838" w:orient="portrait"/>
          <w:cols w:equalWidth="0" w:num="1">
            <w:col w:w="11240"/>
          </w:cols>
          <w:pgMar w:left="320" w:top="113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860"/>
        <w:spacing w:after="0"/>
        <w:tabs>
          <w:tab w:leader="none" w:pos="6320" w:val="left"/>
        </w:tabs>
        <w:rPr>
          <w:sz w:val="20"/>
          <w:szCs w:val="20"/>
          <w:color w:val="auto"/>
        </w:rPr>
      </w:pPr>
      <w:r>
        <w:rPr>
          <w:rFonts w:ascii="Times New Roman" w:cs="Times New Roman" w:eastAsia="Times New Roman" w:hAnsi="Times New Roman"/>
          <w:sz w:val="18"/>
          <w:szCs w:val="18"/>
          <w:color w:val="auto"/>
        </w:rPr>
        <w:t>October 25, 2024</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1774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Senior Executive Vice President, Chief</w:t>
      </w:r>
    </w:p>
    <w:p>
      <w:pPr>
        <w:ind w:left="6080"/>
        <w:spacing w:after="0"/>
        <w:rPr>
          <w:sz w:val="20"/>
          <w:szCs w:val="20"/>
          <w:color w:val="auto"/>
        </w:rPr>
      </w:pPr>
      <w:r>
        <w:rPr>
          <w:rFonts w:ascii="Times New Roman" w:cs="Times New Roman" w:eastAsia="Times New Roman" w:hAnsi="Times New Roman"/>
          <w:sz w:val="18"/>
          <w:szCs w:val="18"/>
          <w:color w:val="auto"/>
        </w:rPr>
        <w:t>Financial Officer &amp; Chief Operating Officer</w:t>
      </w:r>
    </w:p>
    <w:p>
      <w:pPr>
        <w:sectPr>
          <w:pgSz w:w="11900" w:h="16838" w:orient="portrait"/>
          <w:cols w:equalWidth="0" w:num="1">
            <w:col w:w="11240"/>
          </w:cols>
          <w:pgMar w:left="320" w:top="101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September 28, 2024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86" w:lineRule="exact"/>
        <w:rPr>
          <w:sz w:val="20"/>
          <w:szCs w:val="20"/>
          <w:color w:val="auto"/>
        </w:rPr>
      </w:pPr>
    </w:p>
    <w:p>
      <w:pPr>
        <w:ind w:left="1700"/>
        <w:spacing w:after="0"/>
        <w:tabs>
          <w:tab w:leader="none" w:pos="6460" w:val="left"/>
        </w:tabs>
        <w:rPr>
          <w:sz w:val="20"/>
          <w:szCs w:val="20"/>
          <w:color w:val="auto"/>
        </w:rPr>
      </w:pPr>
      <w:r>
        <w:rPr>
          <w:rFonts w:ascii="Times New Roman" w:cs="Times New Roman" w:eastAsia="Times New Roman" w:hAnsi="Times New Roman"/>
          <w:sz w:val="18"/>
          <w:szCs w:val="18"/>
          <w:color w:val="auto"/>
        </w:rPr>
        <w:t>October 25, 2024</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154305</wp:posOffset>
            </wp:positionV>
            <wp:extent cx="27171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color w:val="auto"/>
        </w:rPr>
        <w:t>Chairman, 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40"/>
        <w:spacing w:after="0"/>
        <w:tabs>
          <w:tab w:leader="none" w:pos="6120" w:val="left"/>
        </w:tabs>
        <w:rPr>
          <w:sz w:val="20"/>
          <w:szCs w:val="20"/>
          <w:color w:val="auto"/>
        </w:rPr>
      </w:pPr>
      <w:r>
        <w:rPr>
          <w:rFonts w:ascii="Times New Roman" w:cs="Times New Roman" w:eastAsia="Times New Roman" w:hAnsi="Times New Roman"/>
          <w:sz w:val="18"/>
          <w:szCs w:val="18"/>
          <w:i w:val="1"/>
          <w:iCs w:val="1"/>
          <w:color w:val="auto"/>
        </w:rPr>
        <w:t>October 25, 2024</w:t>
      </w:r>
      <w:r>
        <w:rPr>
          <w:sz w:val="20"/>
          <w:szCs w:val="20"/>
          <w:color w:val="auto"/>
        </w:rPr>
        <w:tab/>
      </w:r>
      <w:r>
        <w:rPr>
          <w:rFonts w:ascii="Times New Roman" w:cs="Times New Roman" w:eastAsia="Times New Roman" w:hAnsi="Times New Roman"/>
          <w:sz w:val="17"/>
          <w:szCs w:val="17"/>
          <w:i w:val="1"/>
          <w:iCs w:val="1"/>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155575</wp:posOffset>
            </wp:positionV>
            <wp:extent cx="27946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Chief Financial Officer &amp;</w:t>
      </w:r>
    </w:p>
    <w:p>
      <w:pPr>
        <w:ind w:left="656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firstLine="177"/>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0" Type="http://schemas.openxmlformats.org/officeDocument/2006/relationships/hyperlink" Target="https://www.sec.gov/Archives/edgar/data/1060822/000119312517179483/d400342dex31.htm" TargetMode="External"/><Relationship Id="rId51" Type="http://schemas.openxmlformats.org/officeDocument/2006/relationships/hyperlink" Target="https://www.sec.gov/Archives/edgar/data/1060822/000106082223000140/exhibit3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2024-10-25T11:22:41Z</dcterms:created>
  <dcterms:modified xsi:type="dcterms:W3CDTF">2024-10-25T11:22:41Z</dcterms:modified>
</cp:coreProperties>
</file>