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jc w:val="center"/>
        <w:ind w:left="4100" w:right="1300" w:hanging="2771"/>
        <w:spacing w:after="0" w:line="307" w:lineRule="auto"/>
        <w:tabs>
          <w:tab w:leader="none" w:pos="1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30, 2024</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2" w:lineRule="exact"/>
        <w:rPr>
          <w:sz w:val="24"/>
          <w:szCs w:val="24"/>
          <w:color w:val="auto"/>
        </w:rPr>
      </w:pPr>
    </w:p>
    <w:p>
      <w:pPr>
        <w:ind w:left="1700" w:hanging="406"/>
        <w:spacing w:after="0"/>
        <w:tabs>
          <w:tab w:leader="none" w:pos="1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bl>
      <w:tblPr>
        <w:tblLayout w:type="fixed"/>
        <w:tblInd w:w="3960" w:type="dxa"/>
        <w:tblCellMar>
          <w:top w:w="0" w:type="dxa"/>
          <w:left w:w="0" w:type="dxa"/>
          <w:bottom w:w="0" w:type="dxa"/>
          <w:right w:w="0" w:type="dxa"/>
        </w:tblCellMar>
      </w:tblPr>
      <w:tr>
        <w:trPr>
          <w:trHeight w:val="168"/>
        </w:trPr>
        <w:tc>
          <w:tcPr>
            <w:tcW w:w="232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to</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451"/>
        </w:trPr>
        <w:tc>
          <w:tcPr>
            <w:tcW w:w="33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w w:val="97"/>
              </w:rPr>
              <w:t>Commission file number: 001-31829</w:t>
            </w:r>
          </w:p>
        </w:tc>
      </w:tr>
    </w:tbl>
    <w:p>
      <w:pPr>
        <w:spacing w:after="0" w:line="1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15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053" w:right="359" w:bottom="1440" w:gutter="0" w:footer="0" w:header="0"/>
        </w:sectPr>
      </w:pPr>
    </w:p>
    <w:p>
      <w:pPr>
        <w:spacing w:after="0" w:line="174"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13-3912933</w:t>
      </w:r>
    </w:p>
    <w:p>
      <w:pPr>
        <w:spacing w:after="0" w:line="200" w:lineRule="exact"/>
        <w:rPr>
          <w:sz w:val="24"/>
          <w:szCs w:val="24"/>
          <w:color w:val="auto"/>
        </w:rPr>
      </w:pPr>
    </w:p>
    <w:p>
      <w:pPr>
        <w:sectPr>
          <w:pgSz w:w="11900" w:h="16838" w:orient="portrait"/>
          <w:cols w:equalWidth="0" w:num="2">
            <w:col w:w="7080" w:space="720"/>
            <w:col w:w="3420"/>
          </w:cols>
          <w:pgMar w:left="320" w:top="1053" w:right="359" w:bottom="1440" w:gutter="0" w:footer="0" w:header="0"/>
          <w:type w:val="continuous"/>
        </w:sectPr>
      </w:pPr>
    </w:p>
    <w:p>
      <w:pPr>
        <w:spacing w:after="0" w:line="50"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59" w:lineRule="exact"/>
        <w:rPr>
          <w:sz w:val="24"/>
          <w:szCs w:val="24"/>
          <w:color w:val="auto"/>
        </w:rPr>
      </w:pPr>
    </w:p>
    <w:p>
      <w:pPr>
        <w:sectPr>
          <w:pgSz w:w="11900" w:h="16838" w:orient="portrait"/>
          <w:cols w:equalWidth="0" w:num="2">
            <w:col w:w="6300" w:space="720"/>
            <w:col w:w="4200"/>
          </w:cols>
          <w:pgMar w:left="320" w:top="1053" w:right="35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6"/>
          <w:szCs w:val="16"/>
          <w:color w:val="auto"/>
        </w:rPr>
        <w:t>incorporation or organization)</w:t>
      </w:r>
    </w:p>
    <w:p>
      <w:pPr>
        <w:sectPr>
          <w:pgSz w:w="11900" w:h="16838" w:orient="portrait"/>
          <w:cols w:equalWidth="0" w:num="1">
            <w:col w:w="11220"/>
          </w:cols>
          <w:pgMar w:left="320" w:top="1053" w:right="359" w:bottom="1440" w:gutter="0" w:footer="0" w:header="0"/>
          <w:type w:val="continuous"/>
        </w:sect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50" w:type="dxa"/>
        <w:tblCellMar>
          <w:top w:w="0" w:type="dxa"/>
          <w:left w:w="0" w:type="dxa"/>
          <w:bottom w:w="0" w:type="dxa"/>
          <w:right w:w="0" w:type="dxa"/>
        </w:tblCellMar>
      </w:tblPr>
      <w:tr>
        <w:trPr>
          <w:trHeight w:val="250"/>
        </w:trPr>
        <w:tc>
          <w:tcPr>
            <w:tcW w:w="5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7"/>
        </w:trPr>
        <w:tc>
          <w:tcPr>
            <w:tcW w:w="5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CRI</w:t>
            </w: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71"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08"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p>
    <w:p>
      <w:pPr>
        <w:spacing w:after="0" w:line="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98"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19, 2024, there were 36,498,558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6643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1" w:name="page2"/>
    <w:bookmarkEnd w:id="1"/>
    <w:p>
      <w:pPr>
        <w:jc w:val="center"/>
        <w:ind w:left="1600"/>
        <w:spacing w:after="0"/>
        <w:rPr>
          <w:sz w:val="20"/>
          <w:szCs w:val="20"/>
          <w:color w:val="auto"/>
        </w:rPr>
      </w:pPr>
      <w:r>
        <w:rPr>
          <w:rFonts w:ascii="Times New Roman" w:cs="Times New Roman" w:eastAsia="Times New Roman" w:hAnsi="Times New Roman"/>
          <w:sz w:val="20"/>
          <w:szCs w:val="20"/>
          <w:b w:val="1"/>
          <w:bCs w:val="1"/>
          <w:color w:val="auto"/>
        </w:rPr>
        <w:t>CARTER’S, INC.</w:t>
      </w:r>
    </w:p>
    <w:p>
      <w:pPr>
        <w:spacing w:after="0" w:line="189"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0" w:lineRule="exact"/>
        <w:rPr>
          <w:sz w:val="20"/>
          <w:szCs w:val="20"/>
          <w:color w:val="auto"/>
        </w:rPr>
      </w:pPr>
    </w:p>
    <w:p>
      <w:pPr>
        <w:ind w:left="620"/>
        <w:spacing w:after="0"/>
        <w:tabs>
          <w:tab w:leader="none" w:pos="1660" w:val="left"/>
        </w:tabs>
        <w:rPr>
          <w:sz w:val="20"/>
          <w:szCs w:val="20"/>
          <w:color w:val="auto"/>
        </w:rPr>
      </w:pPr>
      <w:r>
        <w:rPr>
          <w:rFonts w:ascii="Times New Roman" w:cs="Times New Roman" w:eastAsia="Times New Roman" w:hAnsi="Times New Roman"/>
          <w:sz w:val="16"/>
          <w:szCs w:val="16"/>
          <w:u w:val="single" w:color="auto"/>
          <w:color w:val="0000FF"/>
        </w:rPr>
        <w:t>Item 1.</w:t>
      </w:r>
      <w:r>
        <w:rPr>
          <w:sz w:val="20"/>
          <w:szCs w:val="20"/>
          <w:color w:val="auto"/>
        </w:rPr>
        <w:tab/>
      </w:r>
      <w:r>
        <w:rPr>
          <w:rFonts w:ascii="Times New Roman" w:cs="Times New Roman" w:eastAsia="Times New Roman" w:hAnsi="Times New Roman"/>
          <w:sz w:val="16"/>
          <w:szCs w:val="16"/>
          <w:u w:val="single" w:color="auto"/>
          <w:color w:val="0000FF"/>
        </w:rPr>
        <w:t>Financial Statements</w:t>
      </w:r>
    </w:p>
    <w:p>
      <w:pPr>
        <w:spacing w:after="0" w:line="5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u w:val="single" w:color="auto"/>
          <w:color w:val="0000FF"/>
        </w:rPr>
        <w:t>Unaudited Condensed Consolidated Balance Sheets as of March 30, 2024, December 30, 2023, and April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39" w:lineRule="exact"/>
        <w:rPr>
          <w:sz w:val="20"/>
          <w:szCs w:val="20"/>
          <w:color w:val="auto"/>
        </w:rPr>
      </w:pPr>
    </w:p>
    <w:p>
      <w:pPr>
        <w:ind w:left="1680" w:right="280"/>
        <w:spacing w:after="0" w:line="290" w:lineRule="auto"/>
        <w:rPr>
          <w:sz w:val="20"/>
          <w:szCs w:val="20"/>
          <w:color w:val="auto"/>
        </w:rPr>
      </w:pPr>
      <w:r>
        <w:rPr>
          <w:rFonts w:ascii="Times New Roman" w:cs="Times New Roman" w:eastAsia="Times New Roman" w:hAnsi="Times New Roman"/>
          <w:sz w:val="16"/>
          <w:szCs w:val="16"/>
          <w:u w:val="single" w:color="auto"/>
          <w:color w:val="0000FF"/>
        </w:rPr>
        <w:t>Unaudited Condensed Consolidated Statements of Operations for the fiscal quarter ended March 30, 2024 and April 1, 2023</w:t>
      </w:r>
    </w:p>
    <w:p>
      <w:pPr>
        <w:spacing w:after="0" w:line="1" w:lineRule="exact"/>
        <w:rPr>
          <w:sz w:val="20"/>
          <w:szCs w:val="20"/>
          <w:color w:val="auto"/>
        </w:rPr>
      </w:pPr>
    </w:p>
    <w:p>
      <w:pPr>
        <w:ind w:left="1680"/>
        <w:spacing w:after="0" w:line="290" w:lineRule="auto"/>
        <w:rPr>
          <w:sz w:val="20"/>
          <w:szCs w:val="20"/>
          <w:color w:val="auto"/>
        </w:rPr>
      </w:pPr>
      <w:r>
        <w:rPr>
          <w:rFonts w:ascii="Times New Roman" w:cs="Times New Roman" w:eastAsia="Times New Roman" w:hAnsi="Times New Roman"/>
          <w:sz w:val="16"/>
          <w:szCs w:val="16"/>
          <w:u w:val="single" w:color="auto"/>
          <w:color w:val="0000FF"/>
        </w:rPr>
        <w:t>Unaudited Condensed Consolidated Statements of Comprehensive Income for the fiscal quarter ended March 30, 2024 and April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ind w:left="1680" w:right="40"/>
        <w:spacing w:after="0" w:line="290" w:lineRule="auto"/>
        <w:rPr>
          <w:sz w:val="20"/>
          <w:szCs w:val="20"/>
          <w:color w:val="auto"/>
        </w:rPr>
      </w:pPr>
      <w:r>
        <w:rPr>
          <w:rFonts w:ascii="Times New Roman" w:cs="Times New Roman" w:eastAsia="Times New Roman" w:hAnsi="Times New Roman"/>
          <w:sz w:val="16"/>
          <w:szCs w:val="16"/>
          <w:u w:val="single" w:color="auto"/>
          <w:color w:val="0000FF"/>
        </w:rPr>
        <w:t>Unaudited Condensed Consolidated Statements of Changes in Shareholders’ Equity for the fiscal quarter ended March 30, 2024 and April 1, 2023</w:t>
      </w:r>
    </w:p>
    <w:p>
      <w:pPr>
        <w:spacing w:after="0" w:line="1" w:lineRule="exact"/>
        <w:rPr>
          <w:sz w:val="20"/>
          <w:szCs w:val="20"/>
          <w:color w:val="auto"/>
        </w:rPr>
      </w:pPr>
    </w:p>
    <w:p>
      <w:pPr>
        <w:ind w:left="1680" w:right="240"/>
        <w:spacing w:after="0" w:line="290" w:lineRule="auto"/>
        <w:rPr>
          <w:sz w:val="20"/>
          <w:szCs w:val="20"/>
          <w:color w:val="auto"/>
        </w:rPr>
      </w:pPr>
      <w:r>
        <w:rPr>
          <w:rFonts w:ascii="Times New Roman" w:cs="Times New Roman" w:eastAsia="Times New Roman" w:hAnsi="Times New Roman"/>
          <w:sz w:val="16"/>
          <w:szCs w:val="16"/>
          <w:u w:val="single" w:color="auto"/>
          <w:color w:val="0000FF"/>
        </w:rPr>
        <w:t>Unaudited Condensed Consolidated Statements of Cash Flows for the fiscal quarter ended March 30, 2024 and April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6"/>
          <w:szCs w:val="16"/>
          <w:u w:val="single" w:color="auto"/>
          <w:color w:val="0000FF"/>
        </w:rPr>
        <w:t>Notes to the Unaudited Condensed Consolidated Financial Statements</w:t>
      </w:r>
    </w:p>
    <w:p>
      <w:pPr>
        <w:spacing w:after="0" w:line="59" w:lineRule="exact"/>
        <w:rPr>
          <w:sz w:val="20"/>
          <w:szCs w:val="20"/>
          <w:color w:val="auto"/>
        </w:rPr>
      </w:pPr>
    </w:p>
    <w:p>
      <w:pPr>
        <w:ind w:left="620"/>
        <w:spacing w:after="0"/>
        <w:tabs>
          <w:tab w:leader="none" w:pos="1660" w:val="left"/>
        </w:tabs>
        <w:rPr>
          <w:sz w:val="20"/>
          <w:szCs w:val="20"/>
          <w:color w:val="auto"/>
        </w:rPr>
      </w:pPr>
      <w:r>
        <w:rPr>
          <w:rFonts w:ascii="Times New Roman" w:cs="Times New Roman" w:eastAsia="Times New Roman" w:hAnsi="Times New Roman"/>
          <w:sz w:val="16"/>
          <w:szCs w:val="16"/>
          <w:u w:val="single" w:color="auto"/>
          <w:color w:val="0000FF"/>
        </w:rPr>
        <w:t>Item 2.</w:t>
      </w:r>
      <w:r>
        <w:rPr>
          <w:sz w:val="20"/>
          <w:szCs w:val="20"/>
          <w:color w:val="auto"/>
        </w:rPr>
        <w:tab/>
      </w:r>
      <w:r>
        <w:rPr>
          <w:rFonts w:ascii="Times New Roman" w:cs="Times New Roman" w:eastAsia="Times New Roman" w:hAnsi="Times New Roman"/>
          <w:sz w:val="16"/>
          <w:szCs w:val="16"/>
          <w:u w:val="single" w:color="auto"/>
          <w:color w:val="0000FF"/>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20"/>
        <w:spacing w:after="0"/>
        <w:tabs>
          <w:tab w:leader="none" w:pos="1660" w:val="left"/>
        </w:tabs>
        <w:rPr>
          <w:sz w:val="20"/>
          <w:szCs w:val="20"/>
          <w:color w:val="auto"/>
        </w:rPr>
      </w:pPr>
      <w:r>
        <w:rPr>
          <w:rFonts w:ascii="Times New Roman" w:cs="Times New Roman" w:eastAsia="Times New Roman" w:hAnsi="Times New Roman"/>
          <w:sz w:val="16"/>
          <w:szCs w:val="16"/>
          <w:u w:val="single" w:color="auto"/>
          <w:color w:val="0000FF"/>
        </w:rPr>
        <w:t>Item 3.</w:t>
      </w:r>
      <w:r>
        <w:rPr>
          <w:sz w:val="20"/>
          <w:szCs w:val="20"/>
          <w:color w:val="auto"/>
        </w:rPr>
        <w:tab/>
      </w:r>
      <w:r>
        <w:rPr>
          <w:rFonts w:ascii="Times New Roman" w:cs="Times New Roman" w:eastAsia="Times New Roman" w:hAnsi="Times New Roman"/>
          <w:sz w:val="16"/>
          <w:szCs w:val="16"/>
          <w:u w:val="single" w:color="auto"/>
          <w:color w:val="0000FF"/>
        </w:rPr>
        <w:t>Quantitative and Qualitative Disclosures about Market Risk</w:t>
      </w:r>
    </w:p>
    <w:p>
      <w:pPr>
        <w:spacing w:after="0" w:line="59" w:lineRule="exact"/>
        <w:rPr>
          <w:sz w:val="20"/>
          <w:szCs w:val="20"/>
          <w:color w:val="auto"/>
        </w:rPr>
      </w:pPr>
    </w:p>
    <w:p>
      <w:pPr>
        <w:ind w:left="620"/>
        <w:spacing w:after="0"/>
        <w:tabs>
          <w:tab w:leader="none" w:pos="1660" w:val="left"/>
        </w:tabs>
        <w:rPr>
          <w:sz w:val="20"/>
          <w:szCs w:val="20"/>
          <w:color w:val="auto"/>
        </w:rPr>
      </w:pPr>
      <w:r>
        <w:rPr>
          <w:rFonts w:ascii="Times New Roman" w:cs="Times New Roman" w:eastAsia="Times New Roman" w:hAnsi="Times New Roman"/>
          <w:sz w:val="16"/>
          <w:szCs w:val="16"/>
          <w:u w:val="single" w:color="auto"/>
          <w:color w:val="0000FF"/>
        </w:rPr>
        <w:t>Item 4.</w:t>
      </w:r>
      <w:r>
        <w:rPr>
          <w:sz w:val="20"/>
          <w:szCs w:val="20"/>
          <w:color w:val="auto"/>
        </w:rPr>
        <w:tab/>
      </w:r>
      <w:r>
        <w:rPr>
          <w:rFonts w:ascii="Times New Roman" w:cs="Times New Roman" w:eastAsia="Times New Roman" w:hAnsi="Times New Roman"/>
          <w:sz w:val="16"/>
          <w:szCs w:val="16"/>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161290</wp:posOffset>
            </wp:positionV>
            <wp:extent cx="9944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1</w:t>
      </w:r>
    </w:p>
    <w:p>
      <w:pPr>
        <w:spacing w:after="0" w:line="1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2</w:t>
      </w:r>
    </w:p>
    <w:p>
      <w:pPr>
        <w:spacing w:after="0" w:line="26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u w:val="single" w:color="auto"/>
          <w:color w:val="0000FF"/>
        </w:rPr>
        <w:t>3</w:t>
      </w:r>
    </w:p>
    <w:p>
      <w:pPr>
        <w:spacing w:after="0" w:line="26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u w:val="single" w:color="auto"/>
          <w:color w:val="0000FF"/>
        </w:rPr>
        <w:t>4</w:t>
      </w:r>
    </w:p>
    <w:p>
      <w:pPr>
        <w:spacing w:after="0" w:line="2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5</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6</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0000FF"/>
        </w:rPr>
        <w:t>13</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0000FF"/>
        </w:rPr>
        <w:t>22</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0000FF"/>
        </w:rPr>
        <w:t>22</w:t>
      </w:r>
    </w:p>
    <w:p>
      <w:pPr>
        <w:spacing w:after="0" w:line="105" w:lineRule="exact"/>
        <w:rPr>
          <w:sz w:val="20"/>
          <w:szCs w:val="20"/>
          <w:color w:val="auto"/>
        </w:rPr>
      </w:pPr>
    </w:p>
    <w:p>
      <w:pPr>
        <w:sectPr>
          <w:pgSz w:w="11900" w:h="16838" w:orient="portrait"/>
          <w:cols w:equalWidth="0" w:num="2">
            <w:col w:w="9640" w:space="620"/>
            <w:col w:w="980"/>
          </w:cols>
          <w:pgMar w:left="320" w:top="81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Other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0000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w w:val="96"/>
              </w:rPr>
              <w:t>Item 1.</w:t>
            </w:r>
          </w:p>
        </w:tc>
        <w:tc>
          <w:tcPr>
            <w:tcW w:w="600" w:type="dxa"/>
            <w:vAlign w:val="bottom"/>
            <w:tcBorders>
              <w:bottom w:val="single" w:sz="8" w:color="CCEEFF"/>
            </w:tcBorders>
            <w:gridSpan w:val="2"/>
            <w:shd w:val="clear" w:color="auto" w:fill="CCEEFF"/>
          </w:tcPr>
          <w:p>
            <w:pPr>
              <w:spacing w:after="0"/>
              <w:rPr>
                <w:sz w:val="19"/>
                <w:szCs w:val="19"/>
                <w:color w:val="auto"/>
              </w:rPr>
            </w:pPr>
          </w:p>
        </w:tc>
        <w:tc>
          <w:tcPr>
            <w:tcW w:w="1200" w:type="dxa"/>
            <w:vAlign w:val="bottom"/>
            <w:tcBorders>
              <w:bottom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7500" w:type="dxa"/>
            <w:vAlign w:val="bottom"/>
            <w:tcBorders>
              <w:bottom w:val="single" w:sz="8" w:color="CCEEFF"/>
            </w:tcBorders>
            <w:gridSpan w:val="4"/>
            <w:shd w:val="clear" w:color="auto" w:fill="CCEEFF"/>
          </w:tcPr>
          <w:p>
            <w:pPr>
              <w:spacing w:after="0"/>
              <w:rPr>
                <w:sz w:val="19"/>
                <w:szCs w:val="19"/>
                <w:color w:val="auto"/>
              </w:rPr>
            </w:pPr>
          </w:p>
        </w:tc>
        <w:tc>
          <w:tcPr>
            <w:tcW w:w="16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w w:val="87"/>
              </w:rPr>
              <w:t>23</w:t>
            </w:r>
          </w:p>
        </w:tc>
        <w:tc>
          <w:tcPr>
            <w:tcW w:w="70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1A.</w:t>
            </w:r>
          </w:p>
        </w:tc>
        <w:tc>
          <w:tcPr>
            <w:tcW w:w="8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86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0000FF"/>
                <w:w w:val="87"/>
              </w:rPr>
              <w:t>23</w:t>
            </w: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w w:val="96"/>
              </w:rPr>
              <w:t>Item 2.</w:t>
            </w:r>
          </w:p>
        </w:tc>
        <w:tc>
          <w:tcPr>
            <w:tcW w:w="600" w:type="dxa"/>
            <w:vAlign w:val="bottom"/>
            <w:gridSpan w:val="2"/>
            <w:shd w:val="clear" w:color="auto" w:fill="CCEEFF"/>
          </w:tcPr>
          <w:p>
            <w:pPr>
              <w:spacing w:after="0"/>
              <w:rPr>
                <w:sz w:val="19"/>
                <w:szCs w:val="19"/>
                <w:color w:val="auto"/>
              </w:rPr>
            </w:pPr>
          </w:p>
        </w:tc>
        <w:tc>
          <w:tcPr>
            <w:tcW w:w="8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23</w:t>
            </w:r>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96"/>
              </w:rPr>
              <w:t>Item 3.</w:t>
            </w:r>
          </w:p>
        </w:tc>
        <w:tc>
          <w:tcPr>
            <w:tcW w:w="600" w:type="dxa"/>
            <w:vAlign w:val="bottom"/>
            <w:tcBorders>
              <w:top w:val="single" w:sz="8" w:color="CCEEFF"/>
            </w:tcBorders>
            <w:gridSpan w:val="2"/>
          </w:tcPr>
          <w:p>
            <w:pPr>
              <w:spacing w:after="0"/>
              <w:rPr>
                <w:sz w:val="16"/>
                <w:szCs w:val="16"/>
                <w:color w:val="auto"/>
              </w:rPr>
            </w:pPr>
          </w:p>
        </w:tc>
        <w:tc>
          <w:tcPr>
            <w:tcW w:w="39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4800" w:type="dxa"/>
            <w:vAlign w:val="bottom"/>
            <w:tcBorders>
              <w:top w:val="single" w:sz="8" w:color="CCEEFF"/>
            </w:tcBorders>
          </w:tcPr>
          <w:p>
            <w:pPr>
              <w:spacing w:after="0"/>
              <w:rPr>
                <w:sz w:val="16"/>
                <w:szCs w:val="16"/>
                <w:color w:val="auto"/>
              </w:rPr>
            </w:pPr>
          </w:p>
        </w:tc>
        <w:tc>
          <w:tcPr>
            <w:tcW w:w="1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23</w:t>
            </w:r>
          </w:p>
        </w:tc>
        <w:tc>
          <w:tcPr>
            <w:tcW w:w="700" w:type="dxa"/>
            <w:vAlign w:val="bottom"/>
            <w:tcBorders>
              <w:top w:val="single" w:sz="8" w:color="CCEEFF"/>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w w:val="96"/>
              </w:rPr>
              <w:t>Item 4.</w:t>
            </w:r>
          </w:p>
        </w:tc>
        <w:tc>
          <w:tcPr>
            <w:tcW w:w="600" w:type="dxa"/>
            <w:vAlign w:val="bottom"/>
            <w:gridSpan w:val="2"/>
            <w:shd w:val="clear" w:color="auto" w:fill="CCEEFF"/>
          </w:tcPr>
          <w:p>
            <w:pPr>
              <w:spacing w:after="0"/>
              <w:rPr>
                <w:sz w:val="19"/>
                <w:szCs w:val="19"/>
                <w:color w:val="auto"/>
              </w:rPr>
            </w:pPr>
          </w:p>
        </w:tc>
        <w:tc>
          <w:tcPr>
            <w:tcW w:w="8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23</w:t>
            </w:r>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96"/>
              </w:rPr>
              <w:t>Item 5.</w:t>
            </w:r>
          </w:p>
        </w:tc>
        <w:tc>
          <w:tcPr>
            <w:tcW w:w="600" w:type="dxa"/>
            <w:vAlign w:val="bottom"/>
            <w:tcBorders>
              <w:top w:val="single" w:sz="8" w:color="CCEEFF"/>
            </w:tcBorders>
            <w:gridSpan w:val="2"/>
          </w:tcPr>
          <w:p>
            <w:pPr>
              <w:spacing w:after="0"/>
              <w:rPr>
                <w:sz w:val="16"/>
                <w:szCs w:val="16"/>
                <w:color w:val="auto"/>
              </w:rPr>
            </w:pPr>
          </w:p>
        </w:tc>
        <w:tc>
          <w:tcPr>
            <w:tcW w:w="15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7120" w:type="dxa"/>
            <w:vAlign w:val="bottom"/>
            <w:tcBorders>
              <w:top w:val="single" w:sz="8" w:color="CCEEFF"/>
            </w:tcBorders>
            <w:gridSpan w:val="3"/>
          </w:tcPr>
          <w:p>
            <w:pPr>
              <w:spacing w:after="0"/>
              <w:rPr>
                <w:sz w:val="16"/>
                <w:szCs w:val="16"/>
                <w:color w:val="auto"/>
              </w:rPr>
            </w:pPr>
          </w:p>
        </w:tc>
        <w:tc>
          <w:tcPr>
            <w:tcW w:w="1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23</w:t>
            </w:r>
          </w:p>
        </w:tc>
        <w:tc>
          <w:tcPr>
            <w:tcW w:w="700" w:type="dxa"/>
            <w:vAlign w:val="bottom"/>
            <w:tcBorders>
              <w:top w:val="single" w:sz="8" w:color="CCEEFF"/>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0000FF"/>
                <w:w w:val="96"/>
              </w:rPr>
              <w:t>Item 6.</w:t>
            </w:r>
          </w:p>
        </w:tc>
        <w:tc>
          <w:tcPr>
            <w:tcW w:w="8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Exhibits</w:t>
            </w: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24</w:t>
            </w: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860" w:type="dxa"/>
            <w:vAlign w:val="bottom"/>
            <w:tcBorders>
              <w:top w:val="single" w:sz="8" w:color="CCEEFF"/>
            </w:tcBorders>
          </w:tcPr>
          <w:p>
            <w:pPr>
              <w:spacing w:after="0"/>
              <w:rPr>
                <w:sz w:val="4"/>
                <w:szCs w:val="4"/>
                <w:color w:val="auto"/>
              </w:rPr>
            </w:pPr>
          </w:p>
        </w:tc>
        <w:tc>
          <w:tcPr>
            <w:tcW w:w="4800" w:type="dxa"/>
            <w:vAlign w:val="bottom"/>
            <w:tcBorders>
              <w:top w:val="single" w:sz="8" w:color="CCEE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66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25</w:t>
            </w: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860" w:type="dxa"/>
            <w:vAlign w:val="bottom"/>
            <w:tcBorders>
              <w:top w:val="single" w:sz="8" w:color="CCEEFF"/>
            </w:tcBorders>
          </w:tcPr>
          <w:p>
            <w:pPr>
              <w:spacing w:after="0"/>
              <w:rPr>
                <w:sz w:val="4"/>
                <w:szCs w:val="4"/>
                <w:color w:val="auto"/>
              </w:rPr>
            </w:pPr>
          </w:p>
        </w:tc>
        <w:tc>
          <w:tcPr>
            <w:tcW w:w="4800" w:type="dxa"/>
            <w:vAlign w:val="bottom"/>
            <w:tcBorders>
              <w:top w:val="single" w:sz="8" w:color="CCEE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660" w:type="dxa"/>
            <w:vAlign w:val="bottom"/>
            <w:gridSpan w:val="5"/>
            <w:shd w:val="clear" w:color="auto" w:fill="CCEEFF"/>
          </w:tcPr>
          <w:p>
            <w:pPr>
              <w:jc w:val="right"/>
              <w:ind w:right="600"/>
              <w:spacing w:after="0" w:line="202" w:lineRule="exact"/>
              <w:rPr>
                <w:sz w:val="20"/>
                <w:szCs w:val="20"/>
                <w:color w:val="auto"/>
              </w:rPr>
            </w:pPr>
            <w:r>
              <w:rPr>
                <w:rFonts w:ascii="Times New Roman" w:cs="Times New Roman" w:eastAsia="Times New Roman" w:hAnsi="Times New Roman"/>
                <w:sz w:val="18"/>
                <w:szCs w:val="18"/>
                <w:b w:val="1"/>
                <w:bCs w:val="1"/>
                <w:color w:val="0000FF"/>
                <w:w w:val="99"/>
              </w:rPr>
              <w:t>Certifications</w:t>
            </w: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1154"/>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860" w:type="dxa"/>
            <w:vAlign w:val="bottom"/>
            <w:tcBorders>
              <w:top w:val="single" w:sz="8" w:color="CCEEFF"/>
              <w:bottom w:val="single" w:sz="8" w:color="9A9A9A"/>
            </w:tcBorders>
          </w:tcPr>
          <w:p>
            <w:pPr>
              <w:spacing w:after="0"/>
              <w:rPr>
                <w:sz w:val="24"/>
                <w:szCs w:val="24"/>
                <w:color w:val="auto"/>
              </w:rPr>
            </w:pPr>
          </w:p>
        </w:tc>
        <w:tc>
          <w:tcPr>
            <w:tcW w:w="480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8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280" w:type="dxa"/>
            <w:vAlign w:val="bottom"/>
          </w:tcPr>
          <w:p>
            <w:pPr>
              <w:spacing w:after="0"/>
              <w:rPr>
                <w:sz w:val="19"/>
                <w:szCs w:val="19"/>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1, 2023</w:t>
            </w: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157,685</w:t>
            </w:r>
          </w:p>
        </w:tc>
      </w:tr>
      <w:tr>
        <w:trPr>
          <w:trHeight w:val="202"/>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$5,159, $4,754, and</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$7,425, respectively</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223,939</w:t>
            </w:r>
          </w:p>
        </w:tc>
      </w:tr>
      <w:tr>
        <w:trPr>
          <w:trHeight w:val="212"/>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Finished goods inventories, net of inventory reserves of $11,018, $8,990, and</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43"/>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$18,076, respectively</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537,125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613,921</w:t>
            </w:r>
          </w:p>
        </w:tc>
      </w:tr>
      <w:tr>
        <w:trPr>
          <w:trHeight w:val="237"/>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51,775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29,131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47,173</w:t>
            </w:r>
          </w:p>
        </w:tc>
      </w:tr>
      <w:tr>
        <w:trPr>
          <w:trHeight w:val="243"/>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1,016,787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1,101,243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1,042,718</w:t>
            </w:r>
          </w:p>
        </w:tc>
      </w:tr>
      <w:tr>
        <w:trPr>
          <w:trHeight w:val="202"/>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$628,627,</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$615,907, and $577,183, respectively</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180,383</w:t>
            </w:r>
          </w:p>
        </w:tc>
      </w:tr>
      <w:tr>
        <w:trPr>
          <w:trHeight w:val="2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528,407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494,969</w:t>
            </w: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 net</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298,331</w:t>
            </w:r>
          </w:p>
        </w:tc>
      </w:tr>
      <w:tr>
        <w:trPr>
          <w:trHeight w:val="2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210,537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209,601</w:t>
            </w: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29,801</w:t>
            </w:r>
          </w:p>
        </w:tc>
      </w:tr>
      <w:tr>
        <w:trPr>
          <w:trHeight w:val="24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27,524</w:t>
            </w:r>
          </w:p>
        </w:tc>
      </w:tr>
      <w:tr>
        <w:trPr>
          <w:trHeight w:val="243"/>
        </w:trPr>
        <w:tc>
          <w:tcPr>
            <w:tcW w:w="5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2,285,518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2,378,613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2,283,327</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29"/>
        </w:trPr>
        <w:tc>
          <w:tcPr>
            <w:tcW w:w="5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242,149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180,181</w:t>
            </w:r>
          </w:p>
        </w:tc>
      </w:tr>
      <w:tr>
        <w:trPr>
          <w:trHeight w:val="253"/>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135,369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139,350</w:t>
            </w:r>
          </w:p>
        </w:tc>
      </w:tr>
      <w:tr>
        <w:trPr>
          <w:trHeight w:val="237"/>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94,361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134,344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91,104</w:t>
            </w:r>
          </w:p>
        </w:tc>
      </w:tr>
      <w:tr>
        <w:trPr>
          <w:trHeight w:val="243"/>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511,862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410,635</w:t>
            </w: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576,803</w:t>
            </w:r>
          </w:p>
        </w:tc>
      </w:tr>
      <w:tr>
        <w:trPr>
          <w:trHeight w:val="2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46,090</w:t>
            </w: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417,012</w:t>
            </w:r>
          </w:p>
        </w:tc>
      </w:tr>
      <w:tr>
        <w:trPr>
          <w:trHeight w:val="24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34,894</w:t>
            </w:r>
          </w:p>
        </w:tc>
      </w:tr>
      <w:tr>
        <w:trPr>
          <w:trHeight w:val="233"/>
        </w:trPr>
        <w:tc>
          <w:tcPr>
            <w:tcW w:w="5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1,444,165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1,533,363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1,485,434</w:t>
            </w:r>
          </w:p>
        </w:tc>
      </w:tr>
      <w:tr>
        <w:trPr>
          <w:trHeight w:val="172"/>
        </w:trPr>
        <w:tc>
          <w:tcPr>
            <w:tcW w:w="5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 Note 13</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72"/>
        </w:trPr>
        <w:tc>
          <w:tcPr>
            <w:tcW w:w="5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par value $0.01 per share;100,000 shares authorized; none issued</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 outstanding</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voting; par value $0.01 per share; 150,000,000 shares authorized;</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9"/>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36,600,032, 36,551,221, and 37,799,251 shares issued and outstanding,</w:t>
            </w: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(30,412)</w:t>
            </w:r>
          </w:p>
        </w:tc>
      </w:tr>
      <w:tr>
        <w:trPr>
          <w:trHeight w:val="24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866,654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868,799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827,927</w:t>
            </w:r>
          </w:p>
        </w:tc>
      </w:tr>
      <w:tr>
        <w:trPr>
          <w:trHeight w:val="236"/>
        </w:trPr>
        <w:tc>
          <w:tcPr>
            <w:tcW w:w="54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841,353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845,250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797,893</w:t>
            </w:r>
          </w:p>
        </w:tc>
      </w:tr>
      <w:tr>
        <w:trPr>
          <w:trHeight w:val="268"/>
        </w:trPr>
        <w:tc>
          <w:tcPr>
            <w:tcW w:w="5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2,285,518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2,378,613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2,283,327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40"/>
          </w:cols>
          <w:pgMar w:left="320" w:top="819"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36"/>
        </w:trPr>
        <w:tc>
          <w:tcPr>
            <w:tcW w:w="7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80" w:type="dxa"/>
            <w:vAlign w:val="bottom"/>
          </w:tcPr>
          <w:p>
            <w:pPr>
              <w:spacing w:after="0"/>
              <w:rPr>
                <w:sz w:val="20"/>
                <w:szCs w:val="20"/>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1, 2023</w:t>
            </w:r>
          </w:p>
        </w:tc>
      </w:tr>
      <w:tr>
        <w:trPr>
          <w:trHeight w:val="24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661,492</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695,880</w:t>
            </w:r>
          </w:p>
        </w:tc>
      </w:tr>
      <w:tr>
        <w:trPr>
          <w:trHeight w:val="23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346,302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386,413</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315,190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309,467</w:t>
            </w: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6,519</w:t>
            </w:r>
          </w:p>
        </w:tc>
      </w:tr>
      <w:tr>
        <w:trPr>
          <w:trHeight w:val="24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265,371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259,632</w:t>
            </w: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56,354</w:t>
            </w:r>
          </w:p>
        </w:tc>
      </w:tr>
      <w:tr>
        <w:trPr>
          <w:trHeight w:val="25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9,644</w:t>
            </w: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4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47,668</w:t>
            </w:r>
          </w:p>
        </w:tc>
      </w:tr>
      <w:tr>
        <w:trPr>
          <w:trHeight w:val="24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11,672</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38,033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35,996</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29"/>
        </w:trPr>
        <w:tc>
          <w:tcPr>
            <w:tcW w:w="7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r>
      <w:tr>
        <w:trPr>
          <w:trHeight w:val="25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0.95</w:t>
            </w:r>
          </w:p>
        </w:tc>
      </w:tr>
      <w:tr>
        <w:trPr>
          <w:trHeight w:val="22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r>
    </w:tbl>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37"/>
        </w:trPr>
        <w:tc>
          <w:tcPr>
            <w:tcW w:w="7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80" w:type="dxa"/>
            <w:vAlign w:val="bottom"/>
          </w:tcPr>
          <w:p>
            <w:pPr>
              <w:spacing w:after="0"/>
              <w:rPr>
                <w:sz w:val="20"/>
                <w:szCs w:val="20"/>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1, 2023</w:t>
            </w:r>
          </w:p>
        </w:tc>
      </w:tr>
      <w:tr>
        <w:trPr>
          <w:trHeight w:val="24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38,033</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35,996</w:t>
            </w: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(1,752)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36,281</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39,922</w:t>
            </w:r>
          </w:p>
        </w:tc>
      </w:tr>
      <w:tr>
        <w:trPr>
          <w:trHeight w:val="21"/>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89"/>
        </w:trPr>
        <w:tc>
          <w:tcPr>
            <w:tcW w:w="33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shareholders’</w:t>
            </w:r>
          </w:p>
        </w:tc>
      </w:tr>
      <w:tr>
        <w:trPr>
          <w:trHeight w:val="239"/>
        </w:trPr>
        <w:tc>
          <w:tcPr>
            <w:tcW w:w="33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300" w:type="dxa"/>
            <w:vAlign w:val="bottom"/>
          </w:tcPr>
          <w:p>
            <w:pPr>
              <w:spacing w:after="0"/>
              <w:rPr>
                <w:sz w:val="20"/>
                <w:szCs w:val="20"/>
                <w:color w:val="auto"/>
              </w:rPr>
            </w:pPr>
          </w:p>
        </w:tc>
        <w:tc>
          <w:tcPr>
            <w:tcW w:w="8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w:t>
            </w:r>
          </w:p>
        </w:tc>
        <w:tc>
          <w:tcPr>
            <w:tcW w:w="10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0"/>
                <w:szCs w:val="20"/>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equity</w:t>
            </w:r>
          </w:p>
        </w:tc>
      </w:tr>
      <w:tr>
        <w:trPr>
          <w:trHeight w:val="24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37,692,132</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w:t>
            </w:r>
          </w:p>
        </w:tc>
        <w:tc>
          <w:tcPr>
            <w:tcW w:w="1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830,370</w:t>
            </w:r>
          </w:p>
        </w:tc>
        <w:tc>
          <w:tcPr>
            <w:tcW w:w="1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796,409</w:t>
            </w: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w:t>
            </w: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(9,586)</w:t>
            </w:r>
          </w:p>
        </w:tc>
      </w:tr>
      <w:tr>
        <w:trPr>
          <w:trHeight w:val="21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and paid of $0.75 per</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(28,483)</w:t>
            </w: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39,922</w:t>
            </w:r>
          </w:p>
        </w:tc>
      </w:tr>
      <w:tr>
        <w:trPr>
          <w:trHeight w:val="24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37,799,251</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827,927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797,893</w:t>
            </w:r>
          </w:p>
        </w:tc>
      </w:tr>
      <w:tr>
        <w:trPr>
          <w:trHeight w:val="20"/>
        </w:trPr>
        <w:tc>
          <w:tcPr>
            <w:tcW w:w="3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89"/>
        </w:trPr>
        <w:tc>
          <w:tcPr>
            <w:tcW w:w="33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shareholders’</w:t>
            </w:r>
          </w:p>
        </w:tc>
      </w:tr>
      <w:tr>
        <w:trPr>
          <w:trHeight w:val="239"/>
        </w:trPr>
        <w:tc>
          <w:tcPr>
            <w:tcW w:w="33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300" w:type="dxa"/>
            <w:vAlign w:val="bottom"/>
          </w:tcPr>
          <w:p>
            <w:pPr>
              <w:spacing w:after="0"/>
              <w:rPr>
                <w:sz w:val="20"/>
                <w:szCs w:val="20"/>
                <w:color w:val="auto"/>
              </w:rPr>
            </w:pPr>
          </w:p>
        </w:tc>
        <w:tc>
          <w:tcPr>
            <w:tcW w:w="8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w:t>
            </w:r>
          </w:p>
        </w:tc>
        <w:tc>
          <w:tcPr>
            <w:tcW w:w="10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0"/>
                <w:szCs w:val="20"/>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equity</w:t>
            </w:r>
          </w:p>
        </w:tc>
      </w:tr>
      <w:tr>
        <w:trPr>
          <w:trHeight w:val="24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30, 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36,551,221</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1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868,799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845,250</w:t>
            </w: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1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(7,378)</w:t>
            </w: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w:t>
            </w:r>
          </w:p>
        </w:tc>
      </w:tr>
      <w:tr>
        <w:trPr>
          <w:trHeight w:val="21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and paid of $0.80 per</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(29,338)</w:t>
            </w:r>
          </w:p>
        </w:tc>
      </w:tr>
      <w:tr>
        <w:trPr>
          <w:trHeight w:val="237"/>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38,033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36,281</w:t>
            </w: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30,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36,600,032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866,654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841,353</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19"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37"/>
        </w:trPr>
        <w:tc>
          <w:tcPr>
            <w:tcW w:w="7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80" w:type="dxa"/>
            <w:vAlign w:val="bottom"/>
          </w:tcPr>
          <w:p>
            <w:pPr>
              <w:spacing w:after="0"/>
              <w:rPr>
                <w:sz w:val="20"/>
                <w:szCs w:val="20"/>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1, 2023</w:t>
            </w:r>
          </w:p>
        </w:tc>
      </w:tr>
      <w:tr>
        <w:trPr>
          <w:trHeight w:val="229"/>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35,996</w:t>
            </w:r>
          </w:p>
        </w:tc>
      </w:tr>
      <w:tr>
        <w:trPr>
          <w:trHeight w:val="25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 activities:</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14,799</w:t>
            </w:r>
          </w:p>
        </w:tc>
      </w:tr>
      <w:tr>
        <w:trPr>
          <w:trHeight w:val="25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(recoveries of) excess and obsolete inventory, net</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r>
      <w:tr>
        <w:trPr>
          <w:trHeight w:val="25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partial termination of corporate lease</w:t>
            </w:r>
          </w:p>
        </w:tc>
        <w:tc>
          <w:tcPr>
            <w:tcW w:w="2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w:t>
            </w: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asset impairments and loss on disposal of property, plant and equipment, net of recoveries</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w:t>
            </w:r>
          </w:p>
        </w:tc>
      </w:tr>
      <w:tr>
        <w:trPr>
          <w:trHeight w:val="25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w:t>
            </w:r>
          </w:p>
        </w:tc>
      </w:tr>
      <w:tr>
        <w:trPr>
          <w:trHeight w:val="25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foreign currency exchange loss (gain), net</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Provisions for doubtful accounts receivable from customers</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5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3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w:t>
            </w:r>
          </w:p>
        </w:tc>
      </w:tr>
      <w:tr>
        <w:trPr>
          <w:trHeight w:val="25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changes in operating assets and liabilities:</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7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(24,944)</w:t>
            </w:r>
          </w:p>
        </w:tc>
      </w:tr>
      <w:tr>
        <w:trPr>
          <w:trHeight w:val="253"/>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134,147</w:t>
            </w:r>
          </w:p>
        </w:tc>
      </w:tr>
      <w:tr>
        <w:trPr>
          <w:trHeight w:val="233"/>
        </w:trPr>
        <w:tc>
          <w:tcPr>
            <w:tcW w:w="7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(12,678)</w:t>
            </w:r>
          </w:p>
        </w:tc>
      </w:tr>
      <w:tr>
        <w:trPr>
          <w:trHeight w:val="246"/>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(112,401)</w:t>
            </w:r>
          </w:p>
        </w:tc>
      </w:tr>
      <w:tr>
        <w:trPr>
          <w:trHeight w:val="236"/>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42,197</w:t>
            </w:r>
          </w:p>
        </w:tc>
      </w:tr>
      <w:tr>
        <w:trPr>
          <w:trHeight w:val="149"/>
        </w:trPr>
        <w:tc>
          <w:tcPr>
            <w:tcW w:w="7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(13,827)</w:t>
            </w:r>
          </w:p>
        </w:tc>
      </w:tr>
      <w:tr>
        <w:trPr>
          <w:trHeight w:val="237"/>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(13,827)</w:t>
            </w:r>
          </w:p>
        </w:tc>
      </w:tr>
      <w:tr>
        <w:trPr>
          <w:trHeight w:val="148"/>
        </w:trPr>
        <w:tc>
          <w:tcPr>
            <w:tcW w:w="7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secured revolving credit facility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r>
      <w:tr>
        <w:trPr>
          <w:trHeight w:val="23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(9,586)</w:t>
            </w:r>
          </w:p>
        </w:tc>
      </w:tr>
      <w:tr>
        <w:trPr>
          <w:trHeight w:val="25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(28,483)</w:t>
            </w:r>
          </w:p>
        </w:tc>
      </w:tr>
      <w:tr>
        <w:trPr>
          <w:trHeight w:val="23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Withholdings from vesting of restricted stock</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(4,776)</w:t>
            </w:r>
          </w:p>
        </w:tc>
      </w:tr>
      <w:tr>
        <w:trPr>
          <w:trHeight w:val="24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36"/>
        </w:trPr>
        <w:tc>
          <w:tcPr>
            <w:tcW w:w="74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(45,348)</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(82,762)</w:t>
            </w:r>
          </w:p>
        </w:tc>
      </w:tr>
      <w:tr>
        <w:trPr>
          <w:trHeight w:val="149"/>
        </w:trPr>
        <w:tc>
          <w:tcPr>
            <w:tcW w:w="7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23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effect of exchange rate changes on cash and cash equivalents</w:t>
            </w: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(83,638)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(54,063)</w:t>
            </w:r>
          </w:p>
        </w:tc>
      </w:tr>
      <w:tr>
        <w:trPr>
          <w:trHeight w:val="23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351,213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211,748</w:t>
            </w: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157,685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Carter’s, Inc. and its wholly owned subsidiaries (collectively, the “Company”) design, source, and market branded childrenswear under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OshKosh B’gosh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Skip Hop, Child of Mine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Just One You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Simple Joys, Little Planet, </w:t>
      </w:r>
      <w:r>
        <w:rPr>
          <w:rFonts w:ascii="Times New Roman" w:cs="Times New Roman" w:eastAsia="Times New Roman" w:hAnsi="Times New Roman"/>
          <w:sz w:val="18"/>
          <w:szCs w:val="18"/>
          <w:color w:val="auto"/>
        </w:rPr>
        <w:t>and other brands. The Company’s products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sourced through contractual arrangements with manufacturers worldwide for wholesale distribution to leading department stores, national chains, and specialty retailers domestically and internationally and for sale in the Company’s retail stores and eCommerce sites that market its brand name merchandise and other licensed products manufactured by other companies.</w:t>
      </w:r>
    </w:p>
    <w:p>
      <w:pPr>
        <w:spacing w:after="0" w:line="156"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color w:val="auto"/>
        </w:rPr>
        <w:t xml:space="preserve">Our trademarks that are referred to in this Quarterly Report on Form 10-Q, including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Little Planet </w:t>
      </w:r>
      <w:r>
        <w:rPr>
          <w:rFonts w:ascii="Times New Roman" w:cs="Times New Roman" w:eastAsia="Times New Roman" w:hAnsi="Times New Roman"/>
          <w:sz w:val="18"/>
          <w:szCs w:val="18"/>
          <w:color w:val="auto"/>
        </w:rPr>
        <w:t>and other brands, many of which are registered in the United States and in over 100 other countries and territories, are each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of one or more subsidiaries of Carter’s,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RECENT ACCOUNTING PRONOUNCEMENTS, AND OTHER</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U.S. Securities and Exchange Commission (the “SEC”). All intercompany transactions and balances have been eliminated in consolidation.</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fiscal quarter ended March 30, 2024 are not necessarily indicative of the results that may be expected for the current fiscal year ending December 28, 2024.</w:t>
      </w:r>
    </w:p>
    <w:p>
      <w:pPr>
        <w:spacing w:after="0" w:line="14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spacing w:after="0" w:line="1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30, 2023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changes to these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 (ASU 2023-07)</w:t>
      </w:r>
    </w:p>
    <w:p>
      <w:pPr>
        <w:spacing w:after="0" w:line="9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No. 2023-07, Segment Reporting - Improvements to Reportable Segment Disclosures.</w:t>
      </w:r>
      <w:r>
        <w:rPr>
          <w:rFonts w:ascii="Times New Roman" w:cs="Times New Roman" w:eastAsia="Times New Roman" w:hAnsi="Times New Roman"/>
          <w:sz w:val="18"/>
          <w:szCs w:val="18"/>
          <w:color w:val="auto"/>
        </w:rPr>
        <w:t xml:space="preserve"> This new guidance is designed to improve the disclosures about a public entity’s reportable segments and address requests from investors for more detailed information about a reportable segment’s expenses on an interim and annual basis. ASU 2023-07 is effective for fiscal years beginning after December 15, 2023, and interim periods within fiscal years beginning after December 15, 2024. Public entities must adopt the changes to the segment reporting guidance on a retrospective basis. Early adoption is permitted. The Company is currently evaluating the impact of this amendment on its consolidated financial statements but does not expect the effect of the adoption of ASU 2023-07 to be material.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 (ASU 2023-09)</w:t>
      </w:r>
    </w:p>
    <w:p>
      <w:pPr>
        <w:spacing w:after="0" w:line="9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No. 2023-09, Income Taxes - Improvements to Income Tax Disclosures.</w:t>
      </w:r>
      <w:r>
        <w:rPr>
          <w:rFonts w:ascii="Times New Roman" w:cs="Times New Roman" w:eastAsia="Times New Roman" w:hAnsi="Times New Roman"/>
          <w:sz w:val="18"/>
          <w:szCs w:val="18"/>
          <w:color w:val="auto"/>
        </w:rPr>
        <w:t xml:space="preserve"> This new guidance requires consistent categories and greater disaggregation of information in the rate reconciliation and greater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disaggregation of income taxes paid by jurisdiction. ASU 2023-09 is effective for fiscal years beginning after December 15, 2024. Early adoption is permitted. The Company is currently evaluating the impact of this amendment on its consolidated financial statements but does not expect the effect of the adoption of ASU 2023-09 to be 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Finance Program</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established a voluntary supply chain finance (“SCF”) program through participating financial institutions. This SCF program enables participating suppliers to accelerate payments for receivables due from the Company by selling them directly to the participating financial institutions at their discretion. As of March 30, 2024, the SCF program has a $70.0 million revolving capacity. We are not a party to the agreements between the participating financial institutions and the suppliers in connection with the SCF program. Payment terms for most of our suppliers are 60 days, regardless of participation in the SCF program. The Company does not provide any guarantees under the SCF program.</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amounts payable to the participating financial institution for suppliers who voluntarily participate in the SCF program are included in Accounts payable on our condensed consolidated balance sheets. As of March 30, 2024 December 30, 2023, and April 1, 2023, amounts under the SCF program included in Accounts payable were $20.5 million,$14.8 million, and $7.8 million, respectively. Payments made in connection with the SCF program, like payments of other accounts payable, are reflected as a reduction to our operating cash flow.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revenues are earned from contracts or arrangements with retail consumers, wholesale customers, and licensees. Contracts include written agreements, as well as arrangements that are implied by customary practices or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sells its products directly to consumers (“direct-to-consumer”) and to other retail companies and partners that subsequently sell the products directly to their own retail customers (“wholesale channel”). The Company also earns royalties from certain of its licensees. Disaggregated revenues from these sources for the fiscal periods presented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Fiscal quarter ended March 30, 2024</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189"/>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6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6"/>
                <w:szCs w:val="16"/>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6"/>
                <w:szCs w:val="16"/>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4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55,061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362,703</w:t>
            </w:r>
          </w:p>
        </w:tc>
      </w:tr>
      <w:tr>
        <w:trPr>
          <w:trHeight w:val="23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264,131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34,658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298,789</w:t>
            </w:r>
          </w:p>
        </w:tc>
      </w:tr>
      <w:tr>
        <w:trPr>
          <w:trHeight w:val="262"/>
        </w:trPr>
        <w:tc>
          <w:tcPr>
            <w:tcW w:w="436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264,131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89,719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661,492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5"/>
        </w:trPr>
        <w:tc>
          <w:tcPr>
            <w:tcW w:w="4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5,216</w:t>
            </w: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b w:val="1"/>
                <w:bCs w:val="1"/>
                <w:color w:val="auto"/>
              </w:rPr>
              <w:t>Fiscal quarter ended April 1, 2023</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189"/>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6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6"/>
                <w:szCs w:val="16"/>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6"/>
                <w:szCs w:val="16"/>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4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53,673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377,394</w:t>
            </w:r>
          </w:p>
        </w:tc>
      </w:tr>
      <w:tr>
        <w:trPr>
          <w:trHeight w:val="23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279,990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38,496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318,486</w:t>
            </w:r>
          </w:p>
        </w:tc>
      </w:tr>
      <w:tr>
        <w:trPr>
          <w:trHeight w:val="262"/>
        </w:trPr>
        <w:tc>
          <w:tcPr>
            <w:tcW w:w="436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92,169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695,880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5"/>
        </w:trPr>
        <w:tc>
          <w:tcPr>
            <w:tcW w:w="4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6,519</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Accounts receivable, net, were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9"/>
                <w:szCs w:val="19"/>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0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320" w:type="dxa"/>
            <w:vAlign w:val="bottom"/>
          </w:tcPr>
          <w:p>
            <w:pPr>
              <w:spacing w:after="0"/>
              <w:rPr>
                <w:sz w:val="19"/>
                <w:szCs w:val="19"/>
                <w:color w:val="auto"/>
              </w:rPr>
            </w:pPr>
          </w:p>
        </w:tc>
        <w:tc>
          <w:tcPr>
            <w:tcW w:w="16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April 1, 2023</w:t>
            </w:r>
          </w:p>
        </w:tc>
      </w:tr>
      <w:tr>
        <w:trPr>
          <w:trHeight w:val="24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from wholesale customers, net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219,842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172,106</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222,069</w:t>
            </w:r>
          </w:p>
        </w:tc>
      </w:tr>
      <w:tr>
        <w:trPr>
          <w:trHeight w:val="23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 receivable, net</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6,396</w:t>
            </w:r>
          </w:p>
        </w:tc>
      </w:tr>
      <w:tr>
        <w:trPr>
          <w:trHeight w:val="25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13,351</w:t>
            </w: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receivables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236,474</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196,891</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241,816</w:t>
            </w:r>
          </w:p>
        </w:tc>
      </w:tr>
      <w:tr>
        <w:trPr>
          <w:trHeight w:val="25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Wholesale accounts receivable reserves</w:t>
            </w:r>
            <w:r>
              <w:rPr>
                <w:rFonts w:ascii="Times New Roman" w:cs="Times New Roman" w:eastAsia="Times New Roman" w:hAnsi="Times New Roman"/>
                <w:sz w:val="21"/>
                <w:szCs w:val="21"/>
                <w:color w:val="auto"/>
                <w:vertAlign w:val="superscript"/>
              </w:rPr>
              <w:t>(2)(3)</w:t>
            </w:r>
          </w:p>
        </w:tc>
        <w:tc>
          <w:tcPr>
            <w:tcW w:w="2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(17,877)</w:t>
            </w:r>
          </w:p>
        </w:tc>
      </w:tr>
      <w:tr>
        <w:trPr>
          <w:trHeight w:val="23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224,075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183,774</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223,939</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160" w:hanging="332"/>
        <w:spacing w:after="0" w:line="30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tenant allowances, tax, payroll, gift card and other receivables. The balance for the fiscal period ended December 30, 2023 includes a receivable for a $6.9 million court approved settlement in December 2023 related to payment card interchange fees. This payment was received in the first quarter of fiscal 2024.</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chargebacks of $7.2 million, $8.4 million, and $10.5 million for the periods ended March 30, 2024, December 30, 2023, and April 1, 2023, respectively.</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credit losses of $5.2 million, $4.8 million, and $7.4 million for the periods ended March 30, 2024, December 30, 2023, and April 1, 2023,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assets are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9"/>
                <w:szCs w:val="19"/>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0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320" w:type="dxa"/>
            <w:vAlign w:val="bottom"/>
          </w:tcPr>
          <w:p>
            <w:pPr>
              <w:spacing w:after="0"/>
              <w:rPr>
                <w:sz w:val="19"/>
                <w:szCs w:val="19"/>
                <w:color w:val="auto"/>
              </w:rPr>
            </w:pPr>
          </w:p>
        </w:tc>
        <w:tc>
          <w:tcPr>
            <w:tcW w:w="16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April 1, 2023</w:t>
            </w:r>
          </w:p>
        </w:tc>
        <w:tc>
          <w:tcPr>
            <w:tcW w:w="0" w:type="dxa"/>
            <w:vAlign w:val="bottom"/>
          </w:tcPr>
          <w:p>
            <w:pPr>
              <w:spacing w:after="0"/>
              <w:rPr>
                <w:sz w:val="1"/>
                <w:szCs w:val="1"/>
                <w:color w:val="auto"/>
              </w:rPr>
            </w:pPr>
          </w:p>
        </w:tc>
      </w:tr>
      <w:tr>
        <w:trPr>
          <w:trHeight w:val="230"/>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26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Unredeemed gift cards</w:t>
            </w:r>
            <w:r>
              <w:rPr>
                <w:rFonts w:ascii="Times New Roman" w:cs="Times New Roman" w:eastAsia="Times New Roman" w:hAnsi="Times New Roman"/>
                <w:sz w:val="21"/>
                <w:szCs w:val="21"/>
                <w:color w:val="auto"/>
                <w:vertAlign w:val="superscript"/>
              </w:rPr>
              <w:t>(1)</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24,405</w:t>
            </w:r>
          </w:p>
        </w:tc>
        <w:tc>
          <w:tcPr>
            <w:tcW w:w="100" w:type="dxa"/>
            <w:vAlign w:val="bottom"/>
          </w:tcPr>
          <w:p>
            <w:pPr>
              <w:spacing w:after="0"/>
              <w:rPr>
                <w:sz w:val="24"/>
                <w:szCs w:val="2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25,162</w:t>
            </w:r>
          </w:p>
        </w:tc>
        <w:tc>
          <w:tcPr>
            <w:tcW w:w="100" w:type="dxa"/>
            <w:vAlign w:val="bottom"/>
          </w:tcPr>
          <w:p>
            <w:pPr>
              <w:spacing w:after="0"/>
              <w:rPr>
                <w:sz w:val="24"/>
                <w:szCs w:val="2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22,601</w:t>
            </w: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Unredeemed customer loyalty rewards</w:t>
            </w:r>
          </w:p>
        </w:tc>
        <w:tc>
          <w:tcPr>
            <w:tcW w:w="2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Carter’s credit card - upfront bonus</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61"/>
        </w:trPr>
        <w:tc>
          <w:tcPr>
            <w:tcW w:w="5140" w:type="dxa"/>
            <w:vAlign w:val="bottom"/>
            <w:tcBorders>
              <w:bottom w:val="single" w:sz="8" w:color="CCEEFF"/>
            </w:tcBorders>
            <w:shd w:val="clear" w:color="auto" w:fill="CCEEFF"/>
          </w:tcPr>
          <w:p>
            <w:pPr>
              <w:ind w:left="480"/>
              <w:spacing w:after="0" w:line="237" w:lineRule="exact"/>
              <w:rPr>
                <w:sz w:val="20"/>
                <w:szCs w:val="20"/>
                <w:color w:val="auto"/>
              </w:rPr>
            </w:pPr>
            <w:r>
              <w:rPr>
                <w:rFonts w:ascii="Times New Roman" w:cs="Times New Roman" w:eastAsia="Times New Roman" w:hAnsi="Times New Roman"/>
                <w:sz w:val="16"/>
                <w:szCs w:val="16"/>
                <w:color w:val="auto"/>
              </w:rPr>
              <w:t>Total contract liabilities - current</w:t>
            </w:r>
            <w:r>
              <w:rPr>
                <w:rFonts w:ascii="Times New Roman" w:cs="Times New Roman" w:eastAsia="Times New Roman" w:hAnsi="Times New Roman"/>
                <w:sz w:val="21"/>
                <w:szCs w:val="21"/>
                <w:color w:val="auto"/>
                <w:vertAlign w:val="superscript"/>
              </w:rPr>
              <w:t>(3)</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 - non-current</w:t>
            </w:r>
            <w:r>
              <w:rPr>
                <w:rFonts w:ascii="Times New Roman" w:cs="Times New Roman" w:eastAsia="Times New Roman" w:hAnsi="Times New Roman"/>
                <w:sz w:val="21"/>
                <w:szCs w:val="21"/>
                <w:color w:val="auto"/>
                <w:vertAlign w:val="superscript"/>
              </w:rPr>
              <w:t>(4)</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0" w:type="dxa"/>
            <w:vAlign w:val="bottom"/>
          </w:tcPr>
          <w:p>
            <w:pPr>
              <w:spacing w:after="0"/>
              <w:rPr>
                <w:sz w:val="1"/>
                <w:szCs w:val="1"/>
                <w:color w:val="auto"/>
              </w:rPr>
            </w:pPr>
          </w:p>
        </w:tc>
      </w:tr>
      <w:tr>
        <w:trPr>
          <w:trHeight w:val="236"/>
        </w:trPr>
        <w:tc>
          <w:tcPr>
            <w:tcW w:w="51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28,649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29,635</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800" w:hanging="332"/>
        <w:spacing w:after="0" w:line="301"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quarters of fiscal 2024 and fiscal 2023, the Company recognized revenue of $3.7 million and $3.4 million related to the gift card liability balance that existed at December 30, 2023 and December 31, 2022, respectively.</w:t>
      </w:r>
    </w:p>
    <w:p>
      <w:pPr>
        <w:spacing w:after="0" w:line="1" w:lineRule="exact"/>
        <w:rPr>
          <w:rFonts w:ascii="Times New Roman" w:cs="Times New Roman" w:eastAsia="Times New Roman" w:hAnsi="Times New Roman"/>
          <w:sz w:val="14"/>
          <w:szCs w:val="14"/>
          <w:color w:val="auto"/>
        </w:rPr>
      </w:pPr>
    </w:p>
    <w:p>
      <w:pPr>
        <w:ind w:left="340" w:right="240" w:hanging="332"/>
        <w:spacing w:after="0" w:line="301"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 Other current liabilities on the Company’s condensed consolidated balance sheets.</w:t>
      </w:r>
    </w:p>
    <w:p>
      <w:pPr>
        <w:spacing w:after="0" w:line="55" w:lineRule="exact"/>
        <w:rPr>
          <w:rFonts w:ascii="Times New Roman" w:cs="Times New Roman" w:eastAsia="Times New Roman" w:hAnsi="Times New Roman"/>
          <w:sz w:val="14"/>
          <w:szCs w:val="14"/>
          <w:color w:val="auto"/>
        </w:rPr>
      </w:pPr>
    </w:p>
    <w:p>
      <w:pPr>
        <w:ind w:left="340" w:right="200" w:hanging="332"/>
        <w:spacing w:after="0" w:line="30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the non-current portion of the Carter’s credit card upfront bonus and is included within Other long-term liabilities on the Company’s condensed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OTHER CURRENT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at the end of any comparable period,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8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280" w:type="dxa"/>
            <w:vAlign w:val="bottom"/>
          </w:tcPr>
          <w:p>
            <w:pPr>
              <w:spacing w:after="0"/>
              <w:rPr>
                <w:sz w:val="19"/>
                <w:szCs w:val="19"/>
                <w:color w:val="auto"/>
              </w:rPr>
            </w:pPr>
          </w:p>
        </w:tc>
        <w:tc>
          <w:tcPr>
            <w:tcW w:w="15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April 1, 2023</w:t>
            </w:r>
          </w:p>
        </w:tc>
      </w:tr>
      <w:tr>
        <w:trPr>
          <w:trHeight w:val="24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Unredeemed gift cards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25,162</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22,601</w:t>
            </w:r>
          </w:p>
        </w:tc>
      </w:tr>
      <w:tr>
        <w:trPr>
          <w:trHeight w:val="23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12,132</w:t>
            </w:r>
          </w:p>
        </w:tc>
      </w:tr>
      <w:tr>
        <w:trPr>
          <w:trHeight w:val="25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taxes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10,904</w:t>
            </w:r>
          </w:p>
        </w:tc>
      </w:tr>
      <w:tr>
        <w:trPr>
          <w:trHeight w:val="23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12,604</w:t>
            </w:r>
          </w:p>
        </w:tc>
      </w:tr>
      <w:tr>
        <w:trPr>
          <w:trHeight w:val="25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r>
      <w:tr>
        <w:trPr>
          <w:trHeight w:val="23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bonuses and incentive compensation</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3,851</w:t>
            </w:r>
          </w:p>
        </w:tc>
      </w:tr>
      <w:tr>
        <w:trPr>
          <w:trHeight w:val="24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24,849</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94,361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134,344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91,104</w:t>
            </w:r>
          </w:p>
        </w:tc>
      </w:tr>
      <w:tr>
        <w:trPr>
          <w:trHeight w:val="21"/>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9"/>
                <w:szCs w:val="19"/>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280" w:type="dxa"/>
            <w:vAlign w:val="bottom"/>
          </w:tcPr>
          <w:p>
            <w:pPr>
              <w:spacing w:after="0"/>
              <w:rPr>
                <w:sz w:val="19"/>
                <w:szCs w:val="19"/>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1, 2023</w:t>
            </w:r>
          </w:p>
        </w:tc>
      </w:tr>
      <w:tr>
        <w:trPr>
          <w:trHeight w:val="24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 million 5.625% Senior Notes due 2027</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7"/>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issuance-related costs for senior notes</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(3,197)</w:t>
            </w:r>
          </w:p>
        </w:tc>
      </w:tr>
      <w:tr>
        <w:trPr>
          <w:trHeight w:val="243"/>
        </w:trPr>
        <w:tc>
          <w:tcPr>
            <w:tcW w:w="5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Senior notes,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497,354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496,803</w:t>
            </w:r>
          </w:p>
        </w:tc>
      </w:tr>
      <w:tr>
        <w:trPr>
          <w:trHeight w:val="236"/>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24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r>
      <w:tr>
        <w:trPr>
          <w:trHeight w:val="268"/>
        </w:trPr>
        <w:tc>
          <w:tcPr>
            <w:tcW w:w="55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long-term debt, net</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497,354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576,803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March 30, 2024, the Company had no outstanding borrowings under its secured revolving credit facility, exclusive of $5.3 million of outstanding letters of credit. As of March 30, 2024, there was approximately $844.7 million available for future borrowing. All outstanding borrowings under the Company’s secured revolving credit facility are classified as non-current liabilities on the Company’s condensed consolidated balance sheets because of the contractual repayment terms under the credit facility.</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secured revolving credit facility provides for an aggregate credit line of $850.0 million which includes a $750.0 million U.S. dollar facility and a $100.0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March 30, 2024, the interest rate margins applicable to the secured revolving credit facility were 1.125% for adjusted term Secured Overnight Financing Rate (“SOFR”) rate loans and 0.125% for base rate loans. As of March 30, 2024, any U.S. dollar borrowings outstanding under the secured revolving credit facility would have accrued interest at an adjusted term SOFR rate plus the applicable margin, which would have resulted in a borrowing rate of 6.55%. As of March 30, 2024, the Company was in compliance with its financial and other covenants under the secured revolving credit facility.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Share Repurchases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and retired shares in open market transactions in the following amounts for the fiscal periods indicated:</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36"/>
        </w:trPr>
        <w:tc>
          <w:tcPr>
            <w:tcW w:w="7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00" w:type="dxa"/>
            <w:vAlign w:val="bottom"/>
          </w:tcPr>
          <w:p>
            <w:pPr>
              <w:spacing w:after="0"/>
              <w:rPr>
                <w:sz w:val="20"/>
                <w:szCs w:val="20"/>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April 1, 2023</w:t>
            </w:r>
          </w:p>
        </w:tc>
      </w:tr>
      <w:tr>
        <w:trPr>
          <w:trHeight w:val="243"/>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r>
              <w:rPr>
                <w:rFonts w:ascii="Times New Roman" w:cs="Times New Roman" w:eastAsia="Times New Roman" w:hAnsi="Times New Roman"/>
                <w:sz w:val="21"/>
                <w:szCs w:val="21"/>
                <w:color w:val="auto"/>
                <w:vertAlign w:val="superscript"/>
              </w:rPr>
              <w:t>(1)</w:t>
            </w:r>
          </w:p>
        </w:tc>
        <w:tc>
          <w:tcPr>
            <w:tcW w:w="1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107,795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135,873</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Aggregate cost of shares repurchased </w:t>
            </w:r>
            <w:r>
              <w:rPr>
                <w:rFonts w:ascii="Times New Roman" w:cs="Times New Roman" w:eastAsia="Times New Roman" w:hAnsi="Times New Roman"/>
                <w:sz w:val="16"/>
                <w:szCs w:val="16"/>
                <w:i w:val="1"/>
                <w:iCs w:val="1"/>
                <w:color w:val="auto"/>
              </w:rPr>
              <w:t>(dollars in thousands)</w:t>
            </w:r>
            <w:r>
              <w:rPr>
                <w:rFonts w:ascii="Times New Roman" w:cs="Times New Roman" w:eastAsia="Times New Roman" w:hAnsi="Times New Roman"/>
                <w:sz w:val="21"/>
                <w:szCs w:val="21"/>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9,586</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per share</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r>
    </w:tbl>
    <w:p>
      <w:pPr>
        <w:spacing w:after="0" w:line="12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repurchases were made in compliance with all applicable rules and regulations and in accordance with the share repurchase authorizations.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cost of share repurchases and average price paid per share excludes excise tax on share repurchases.</w:t>
      </w:r>
    </w:p>
    <w:p>
      <w:pPr>
        <w:spacing w:after="0" w:line="1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total aggregate remaining capacity under outstanding repurchase authorizations as of March 30, 2024, was approximately $640.5 million, based on settled repurchase transactions. The share repurchase authorizations have no expiration date.</w:t>
      </w:r>
    </w:p>
    <w:p>
      <w:pPr>
        <w:spacing w:after="0" w:line="13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revolving credit facility, market conditions, stock price, other investment priorities,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2024 and fiscal 2023, the Board of Directors declared, and the Company paid cash dividends of $0.80 and $0.75 per common share, respectively. The Board of Directors will evaluate future dividend declarations based on 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number of factors, including restrictions under the Company’s revolving credit facility, business conditions, the Company’s financial performance, and other considerations.</w:t>
      </w:r>
    </w:p>
    <w:p>
      <w:pPr>
        <w:spacing w:after="0" w:line="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Provisions in the Company’s secured revolving credit facility could have the effect of restricting the Company’s ability to pay cash dividends on, or make future repurchases of, its common stock, as further described in Note 5,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cost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36"/>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60" w:type="dxa"/>
            <w:vAlign w:val="bottom"/>
          </w:tcPr>
          <w:p>
            <w:pPr>
              <w:spacing w:after="0"/>
              <w:rPr>
                <w:sz w:val="20"/>
                <w:szCs w:val="20"/>
                <w:color w:val="auto"/>
              </w:rPr>
            </w:pPr>
          </w:p>
        </w:tc>
        <w:tc>
          <w:tcPr>
            <w:tcW w:w="15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April 1, 2023</w:t>
            </w:r>
          </w:p>
        </w:tc>
      </w:tr>
      <w:tr>
        <w:trPr>
          <w:trHeight w:val="230"/>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2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3"/>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Time-based awards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20" w:type="dxa"/>
            <w:vAlign w:val="bottom"/>
          </w:tcPr>
          <w:p>
            <w:pPr>
              <w:spacing w:after="0"/>
              <w:rPr>
                <w:sz w:val="20"/>
                <w:szCs w:val="20"/>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r>
      <w:tr>
        <w:trPr>
          <w:trHeight w:val="253"/>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Performance-based awards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7"/>
        </w:trPr>
        <w:tc>
          <w:tcPr>
            <w:tcW w:w="7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Market-based awards</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 ratably over the applicable performance periods based on the estimated probability of achievement of its performance targets at the end of each period. During the first quarter of fiscal 2023, the achievement of performance target estimates related to certain performance-based grants were revised resulting in a reversal of $0.4 million of previously recognized stock compensation expense.</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28, 2024, the Company’s Board of Directors approved the issuance of the following new awards to certain key employees under the Company’s existing stock-based compensation plan, subject to vesting: 194,464 shares of time-based restricted stock awards with a grant-date fair value of $81.95, 55,089 shares of performance-based restricted stock awards with a grant-date fair value of $81.95, and 28,375 shares of market-based restricted stock awards with a grant-date fair value of $117.28.</w:t>
      </w:r>
    </w:p>
    <w:p>
      <w:pPr>
        <w:spacing w:after="0" w:line="13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market-based restricted stock awards cliff vest after a three-year period, subject to the performance of the Company’s total shareholder return (“TSR”) relative to the TSR of a select group of peer companies over the three-year period. A Monte-Carlo simulation was utilized to determine the grant-date fair value of the market-based restricted stock awards.</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Additionally, a total of 218,945 restricted stock awards (time-based) vested during the first quarter of fiscal 2024. There were no vestings of performance-based restricted stock awards in the first quarter of fiscal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LOSS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consisted of the following:</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9"/>
                <w:szCs w:val="19"/>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20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300" w:type="dxa"/>
            <w:vAlign w:val="bottom"/>
          </w:tcPr>
          <w:p>
            <w:pPr>
              <w:spacing w:after="0"/>
              <w:rPr>
                <w:sz w:val="19"/>
                <w:szCs w:val="19"/>
                <w:color w:val="auto"/>
              </w:rPr>
            </w:pPr>
          </w:p>
        </w:tc>
        <w:tc>
          <w:tcPr>
            <w:tcW w:w="16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April 1, 2023</w:t>
            </w:r>
          </w:p>
        </w:tc>
      </w:tr>
      <w:tr>
        <w:trPr>
          <w:trHeight w:val="243"/>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(18,233)</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w:t>
            </w:r>
          </w:p>
        </w:tc>
      </w:tr>
      <w:tr>
        <w:trPr>
          <w:trHeight w:val="243"/>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Pension and post-retirement obligations</w:t>
            </w:r>
            <w:r>
              <w:rPr>
                <w:rFonts w:ascii="Times New Roman" w:cs="Times New Roman" w:eastAsia="Times New Roman" w:hAnsi="Times New Roman"/>
                <w:sz w:val="21"/>
                <w:szCs w:val="21"/>
                <w:color w:val="auto"/>
                <w:vertAlign w:val="superscript"/>
              </w:rPr>
              <w:t>(*)</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(5,512)</w:t>
            </w:r>
          </w:p>
        </w:tc>
      </w:tr>
      <w:tr>
        <w:trPr>
          <w:trHeight w:val="262"/>
        </w:trPr>
        <w:tc>
          <w:tcPr>
            <w:tcW w:w="5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taxes of $1.8 million, $1.8 million, and $1.7 million, for the period ended March 30, 2024, December 30, 2023, and April 1, 2023, respectively.</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first quarter of both fiscal 2024 and fiscal 2023, no amounts were reclassified from Accumulated other comprehensive loss to the statement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invests in marketable securities, principally equity-based mutual funds, to approximate the participant’s investment return on employee deferrals of compensation. All of the marketable securities are included in Other assets on the accompanying condensed consolidated balance sheets, and their aggregate fair values were approximately $17.9 million, $17.3 million, and $15.5 million at March 30, 2024, December 30, 2023, and April 1, 2023, respectively. These investments are classified as Level 1 within the fair value hierarchy. The change in the aggregate fair values of marketable securities is due to</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net activity of gains and losses and any contributions and distributions during the period. Gains on the investments in marketable securities were $0.6 million and $0.4 million for the first fiscal quarters ended March 30, 2024 and April 1, 2023, respectively. These amounts are included in Other expense (income), net on the Company’s condensed consolidated statement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2024, the Company had no outstanding borrowings under its secured revolving credit facility.</w:t>
      </w:r>
    </w:p>
    <w:p>
      <w:pPr>
        <w:spacing w:after="0" w:line="18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fair value of the Company’s senior notes at March 30, 2024, was approximately $496.3 million. The fair value of these senior notes with a notional value and carrying value (gross of debt issuance costs) of $500.0 million was estimated using a quoted price as provided in the secondary market, which considers the Company’s credit risk and market related conditions, and is therefore within Level 2 of the fair value hierarchy.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and Long-Lived Tangible Assets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Some assets are not measured at fair value on a recurring basis but are subject to fair value adjustments only in certain circumstances. These assets can include goodwill, indefinite-lived intangible assets, and long-lived assets that have been reduced to fair value when impaired. Assets that are written down to fair value when impaired are not subsequently adjusted to fair value unless further impairment occurs.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March 30, 2024, the Company had gross unrecognized income tax benefits of approximately $8.2 million, of which $5.8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4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Included in the reserves for unrecognized tax benefits at March 30, 2024 is approximately $1.3 million of reserves for which the statute of limitations is expected to expire within the next 12 months. If these tax benefits are ultimately recognized, such recognition, net of federal income taxes, may affect the annual effective income tax rate for fiscal 2024 along with the effective income tax rate in the quarter in which the benefits are recognized.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as a component of interest expense and recognizes penalties related to unrecognized income tax benefits as a component of income tax expense. Interest expense recorded on uncertain tax positions was not material for the first fiscal quarters ended March 30, 2024 and April 1, 2023. The Company had approximately $1.7 million, $1.5 million, and $1.6 million of interest accrued on uncertain tax positions as of March 30, 2024, December 30, 2023, and April 1, 2023,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pacing w:after="0" w:line="147"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30480</wp:posOffset>
            </wp:positionV>
            <wp:extent cx="23488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Weighted-average number of common and common equivalent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Basic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Dilutive effect of equity awards</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Diluted number of common and common equivalent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March 30, 2024</w:t>
      </w: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35,860,740</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29210</wp:posOffset>
            </wp:positionV>
            <wp:extent cx="11398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35,864,583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29210</wp:posOffset>
            </wp:positionV>
            <wp:extent cx="11398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April 1, 2023</w:t>
      </w:r>
    </w:p>
    <w:p>
      <w:pPr>
        <w:spacing w:after="0" w:line="30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37,104,527</w:t>
      </w:r>
    </w:p>
    <w:p>
      <w:pPr>
        <w:spacing w:after="0" w:line="5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8,063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29210</wp:posOffset>
            </wp:positionV>
            <wp:extent cx="11404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37,112,590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29210</wp:posOffset>
            </wp:positionV>
            <wp:extent cx="1140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7160" w:space="720"/>
            <w:col w:w="1360" w:space="620"/>
            <w:col w:w="1380"/>
          </w:cols>
          <w:pgMar w:left="320" w:top="360" w:right="33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38,033</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35,996</w:t>
            </w:r>
          </w:p>
        </w:tc>
        <w:tc>
          <w:tcPr>
            <w:tcW w:w="0" w:type="dxa"/>
            <w:vAlign w:val="bottom"/>
          </w:tcPr>
          <w:p>
            <w:pPr>
              <w:spacing w:after="0"/>
              <w:rPr>
                <w:sz w:val="1"/>
                <w:szCs w:val="1"/>
                <w:color w:val="auto"/>
              </w:rPr>
            </w:pPr>
          </w:p>
        </w:tc>
      </w:tr>
      <w:tr>
        <w:trPr>
          <w:trHeight w:val="237"/>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41"/>
        </w:trPr>
        <w:tc>
          <w:tcPr>
            <w:tcW w:w="7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37,342</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172"/>
        </w:trPr>
        <w:tc>
          <w:tcPr>
            <w:tcW w:w="7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38,033</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35,996</w:t>
            </w:r>
          </w:p>
        </w:tc>
        <w:tc>
          <w:tcPr>
            <w:tcW w:w="0" w:type="dxa"/>
            <w:vAlign w:val="bottom"/>
          </w:tcPr>
          <w:p>
            <w:pPr>
              <w:spacing w:after="0"/>
              <w:rPr>
                <w:sz w:val="1"/>
                <w:szCs w:val="1"/>
                <w:color w:val="auto"/>
              </w:rPr>
            </w:pPr>
          </w:p>
        </w:tc>
      </w:tr>
      <w:tr>
        <w:trPr>
          <w:trHeight w:val="237"/>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41"/>
        </w:trPr>
        <w:tc>
          <w:tcPr>
            <w:tcW w:w="7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37,342</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172"/>
        </w:trPr>
        <w:tc>
          <w:tcPr>
            <w:tcW w:w="7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Anti-dilutive awards excluded from diluted earnings per share computation</w:t>
            </w:r>
            <w:r>
              <w:rPr>
                <w:rFonts w:ascii="Times New Roman" w:cs="Times New Roman" w:eastAsia="Times New Roman" w:hAnsi="Times New Roman"/>
                <w:sz w:val="21"/>
                <w:szCs w:val="21"/>
                <w:color w:val="auto"/>
                <w:vertAlign w:val="superscript"/>
              </w:rPr>
              <w:t>(*)</w:t>
            </w:r>
          </w:p>
        </w:tc>
        <w:tc>
          <w:tcPr>
            <w:tcW w:w="6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448,870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505,070</w:t>
            </w: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anti-dilutive awards is, in part, due to the related unamortized compensation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information for our reportable segments and unallocated corporate expenses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5"/>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9"/>
                <w:szCs w:val="19"/>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2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April 1, 2023</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net sales</w:t>
            </w: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4720" w:type="dxa"/>
            <w:vAlign w:val="bottom"/>
            <w:tcBorders>
              <w:top w:val="single" w:sz="8" w:color="CCEEFF"/>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3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307,642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46.5 %</w:t>
            </w:r>
          </w:p>
        </w:tc>
      </w:tr>
      <w:tr>
        <w:trPr>
          <w:trHeight w:val="253"/>
        </w:trPr>
        <w:tc>
          <w:tcPr>
            <w:tcW w:w="20" w:type="dxa"/>
            <w:vAlign w:val="bottom"/>
            <w:shd w:val="clear" w:color="auto" w:fill="CCEEFF"/>
          </w:tcPr>
          <w:p>
            <w:pPr>
              <w:spacing w:after="0"/>
              <w:rPr>
                <w:sz w:val="21"/>
                <w:szCs w:val="21"/>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264,131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279,990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40.3 %</w:t>
            </w:r>
          </w:p>
        </w:tc>
      </w:tr>
      <w:tr>
        <w:trPr>
          <w:trHeight w:val="237"/>
        </w:trPr>
        <w:tc>
          <w:tcPr>
            <w:tcW w:w="20" w:type="dxa"/>
            <w:vAlign w:val="bottom"/>
            <w:tcBorders>
              <w:bottom w:val="single" w:sz="8" w:color="CCEEFF"/>
            </w:tcBorders>
          </w:tcPr>
          <w:p>
            <w:pPr>
              <w:spacing w:after="0"/>
              <w:rPr>
                <w:sz w:val="20"/>
                <w:szCs w:val="20"/>
                <w:color w:val="auto"/>
              </w:rPr>
            </w:pPr>
          </w:p>
        </w:tc>
        <w:tc>
          <w:tcPr>
            <w:tcW w:w="47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89,719</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92,169</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13.2 %</w:t>
            </w:r>
          </w:p>
        </w:tc>
      </w:tr>
      <w:tr>
        <w:trPr>
          <w:trHeight w:val="263"/>
        </w:trPr>
        <w:tc>
          <w:tcPr>
            <w:tcW w:w="20" w:type="dxa"/>
            <w:vAlign w:val="bottom"/>
            <w:shd w:val="clear" w:color="auto" w:fill="CCEEFF"/>
          </w:tcPr>
          <w:p>
            <w:pPr>
              <w:spacing w:after="0"/>
              <w:rPr>
                <w:sz w:val="22"/>
                <w:szCs w:val="22"/>
                <w:color w:val="auto"/>
              </w:rPr>
            </w:pPr>
          </w:p>
        </w:tc>
        <w:tc>
          <w:tcPr>
            <w:tcW w:w="4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661,492</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695,880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78"/>
        </w:trPr>
        <w:tc>
          <w:tcPr>
            <w:tcW w:w="20" w:type="dxa"/>
            <w:vAlign w:val="bottom"/>
          </w:tcPr>
          <w:p>
            <w:pPr>
              <w:spacing w:after="0"/>
              <w:rPr>
                <w:sz w:val="15"/>
                <w:szCs w:val="15"/>
                <w:color w:val="auto"/>
              </w:rPr>
            </w:pPr>
          </w:p>
        </w:tc>
        <w:tc>
          <w:tcPr>
            <w:tcW w:w="472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Operating income:</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segment net sales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segment net sales</w:t>
            </w:r>
          </w:p>
        </w:tc>
      </w:tr>
      <w:tr>
        <w:trPr>
          <w:trHeight w:val="34"/>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33"/>
        </w:trPr>
        <w:tc>
          <w:tcPr>
            <w:tcW w:w="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18.6 %</w:t>
            </w:r>
          </w:p>
        </w:tc>
      </w:tr>
      <w:tr>
        <w:trPr>
          <w:trHeight w:val="253"/>
        </w:trPr>
        <w:tc>
          <w:tcPr>
            <w:tcW w:w="20" w:type="dxa"/>
            <w:vAlign w:val="bottom"/>
            <w:shd w:val="clear" w:color="auto" w:fill="CCEEFF"/>
          </w:tcPr>
          <w:p>
            <w:pPr>
              <w:spacing w:after="0"/>
              <w:rPr>
                <w:sz w:val="21"/>
                <w:szCs w:val="21"/>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43"/>
        </w:trPr>
        <w:tc>
          <w:tcPr>
            <w:tcW w:w="20" w:type="dxa"/>
            <w:vAlign w:val="bottom"/>
            <w:tcBorders>
              <w:bottom w:val="single" w:sz="8" w:color="CCEEFF"/>
            </w:tcBorders>
          </w:tcPr>
          <w:p>
            <w:pPr>
              <w:spacing w:after="0"/>
              <w:rPr>
                <w:sz w:val="21"/>
                <w:szCs w:val="21"/>
                <w:color w:val="auto"/>
              </w:rPr>
            </w:pPr>
          </w:p>
        </w:tc>
        <w:tc>
          <w:tcPr>
            <w:tcW w:w="47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6"/>
                <w:szCs w:val="16"/>
                <w:color w:val="auto"/>
              </w:rPr>
              <w:t>Corporate expenses</w:t>
            </w:r>
            <w:r>
              <w:rPr>
                <w:rFonts w:ascii="Times New Roman" w:cs="Times New Roman" w:eastAsia="Times New Roman" w:hAnsi="Times New Roman"/>
                <w:sz w:val="21"/>
                <w:szCs w:val="21"/>
                <w:color w:val="auto"/>
                <w:vertAlign w:val="superscript"/>
              </w:rPr>
              <w:t>(*)</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(24,773)</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(25,801)</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ind w:left="340" w:right="40" w:hanging="332"/>
        <w:spacing w:after="0" w:line="30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14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Fiscal quarter ended April 1, 2023</w:t>
            </w:r>
          </w:p>
        </w:tc>
        <w:tc>
          <w:tcPr>
            <w:tcW w:w="1660" w:type="dxa"/>
            <w:vAlign w:val="bottom"/>
            <w:tcBorders>
              <w:bottom w:val="single" w:sz="8" w:color="auto"/>
            </w:tcBorders>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320" w:type="dxa"/>
            <w:vAlign w:val="bottom"/>
          </w:tcPr>
          <w:p>
            <w:pPr>
              <w:spacing w:after="0"/>
              <w:rPr>
                <w:sz w:val="16"/>
                <w:szCs w:val="16"/>
                <w:color w:val="auto"/>
              </w:rPr>
            </w:pPr>
          </w:p>
        </w:tc>
        <w:tc>
          <w:tcPr>
            <w:tcW w:w="16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34"/>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spacing w:after="0" w:line="237" w:lineRule="exact"/>
              <w:rPr>
                <w:sz w:val="20"/>
                <w:szCs w:val="20"/>
                <w:color w:val="auto"/>
              </w:rPr>
            </w:pPr>
            <w:r>
              <w:rPr>
                <w:rFonts w:ascii="Times New Roman" w:cs="Times New Roman" w:eastAsia="Times New Roman" w:hAnsi="Times New Roman"/>
                <w:sz w:val="16"/>
                <w:szCs w:val="16"/>
                <w:color w:val="auto"/>
              </w:rPr>
              <w:t>Organizational restructuring</w:t>
            </w:r>
            <w:r>
              <w:rPr>
                <w:rFonts w:ascii="Times New Roman" w:cs="Times New Roman" w:eastAsia="Times New Roman" w:hAnsi="Times New Roman"/>
                <w:sz w:val="21"/>
                <w:szCs w:val="21"/>
                <w:color w:val="auto"/>
                <w:vertAlign w:val="superscript"/>
              </w:rPr>
              <w:t>(*)</w:t>
            </w:r>
          </w:p>
        </w:tc>
        <w:tc>
          <w:tcPr>
            <w:tcW w:w="148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bl>
    <w:p>
      <w:pPr>
        <w:spacing w:after="0" w:line="247" w:lineRule="exact"/>
        <w:rPr>
          <w:sz w:val="20"/>
          <w:szCs w:val="20"/>
          <w:color w:val="auto"/>
        </w:rPr>
      </w:pPr>
    </w:p>
    <w:p>
      <w:pPr>
        <w:ind w:left="340" w:right="40" w:hanging="332"/>
        <w:spacing w:after="0" w:line="302"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gains for organizational restructuring and related corporate office lease amendment actions. Additionally, the first fiscal quarter ended April 1, 2023 includes a corporate charge of $2.4 million related to organizational restructuring and related corporate office lease amendment 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contractual obligations and commitments include obligations associated with leases, the secured revolving credit agreement, senior notes, and employee benefit plans.</w:t>
      </w:r>
    </w:p>
    <w:p>
      <w:pPr>
        <w:spacing w:after="0" w:line="117" w:lineRule="exact"/>
        <w:rPr>
          <w:sz w:val="20"/>
          <w:szCs w:val="20"/>
          <w:color w:val="auto"/>
        </w:rPr>
      </w:pPr>
    </w:p>
    <w:p>
      <w:pPr>
        <w:ind w:right="1220"/>
        <w:spacing w:after="0" w:line="362"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Statements in this Quarterly Report on Form 10-Q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Form 10-Q. These risks and uncertainties include, but are not limited to, the factors disclosed in Part I, Item 1A. “Risk Factors” of the Company’s Annual Report on Form 10-K for the fiscal year ended December 30, 2023, and otherwise in our reports and filings with the Securities and Exchange Commission, as well as the following factors: risks related to public health crises, such as the COVID-19 pandemic; changes in global economic and financial conditions, and the resulting impact on consumer confidence and consumer spending, as well as other changes in consumer discretionary spending habits; continued inflationary pressures with respect to labor and raw materials and global supply chain constraints that have, and could continue, to affect freight, transit, and other costs; risks related to geopolitical conflict, including ongoing geopolitical challenges between the United States and China, the ongoing hostilities in Ukraine, Israel, and the Red Sea region, acts of terrorism, mass casualty events, social unrest, civil disturbance or disobedience; risks related to a shutdown of the U.S. government; financial difficulties for one or more of our major customers; an overall decrease in consumer spending, including, but not limited to, decreases in birth rates; our products not being accepted in the marketplace and our failure to manage our inventory; increased competition in the marketplace; diminished value of our brands; the failure to protect our intellectual property; the failure to comply with applicable quality standards or regulations; unseasonable or extreme weather conditions; pending and threatened lawsuits; a breach of our information technology systems and the loss of personal data; increased margin pressures, including increased cost of materials and labor and our inability to successfully increase prices to offset these increased costs; our foreign sourcing arrangements; disruptions in our supply chain, including increased transportation and freight costs; the management and expansion of our business domestically and internationally; the acquisition and integration of other brands and businesses; changes in our tax obligations, including additional customs, duties or tariffs; fluctuations in foreign currency exchange rates; risks associated with corporate responsibility issues; our ability to achieve our forecasted financial results for the fiscal year; our continued ability to declare and pay a dividend and conduct share repurchases in future periods; our planned opening and closing of stores during the fiscal year.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Quarterly Report on Form 10-Q does not constitute an admission by the Company or any other person that the events or circumstances described in such statement are 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are the largest branded marketer of young children’s apparel in North America. We own two of the most highly recognized and trusted brand names in the children’s apparel market,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We also own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a leading young children’s lifestyle brand, </w:t>
      </w:r>
      <w:r>
        <w:rPr>
          <w:rFonts w:ascii="Times New Roman" w:cs="Times New Roman" w:eastAsia="Times New Roman" w:hAnsi="Times New Roman"/>
          <w:sz w:val="18"/>
          <w:szCs w:val="18"/>
          <w:i w:val="1"/>
          <w:iCs w:val="1"/>
          <w:color w:val="auto"/>
        </w:rPr>
        <w:t>Little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Planet</w:t>
      </w:r>
      <w:r>
        <w:rPr>
          <w:rFonts w:ascii="Times New Roman" w:cs="Times New Roman" w:eastAsia="Times New Roman" w:hAnsi="Times New Roman"/>
          <w:sz w:val="18"/>
          <w:szCs w:val="18"/>
          <w:color w:val="auto"/>
        </w:rPr>
        <w:t>, a brand focused on organic fabrics and sustainable materials, and exclusive</w:t>
      </w:r>
      <w:r>
        <w:rPr>
          <w:rFonts w:ascii="Times New Roman" w:cs="Times New Roman" w:eastAsia="Times New Roman" w:hAnsi="Times New Roman"/>
          <w:sz w:val="18"/>
          <w:szCs w:val="18"/>
          <w:i w:val="1"/>
          <w:iCs w:val="1"/>
          <w:color w:val="auto"/>
        </w:rPr>
        <w:t xml:space="preserve"> Carter’s </w:t>
      </w:r>
      <w:r>
        <w:rPr>
          <w:rFonts w:ascii="Times New Roman" w:cs="Times New Roman" w:eastAsia="Times New Roman" w:hAnsi="Times New Roman"/>
          <w:sz w:val="18"/>
          <w:szCs w:val="18"/>
          <w:color w:val="auto"/>
        </w:rPr>
        <w:t>brands developed for Amazon, Target, and Walmart.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Established in 1865, our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brand is recognized and trusted by consumers for high-quality apparel and accessories for children in sizes newborn to 14.</w:t>
      </w:r>
    </w:p>
    <w:p>
      <w:pPr>
        <w:spacing w:after="0" w:line="21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1895,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in 2005.</w:t>
      </w:r>
    </w:p>
    <w:p>
      <w:pPr>
        <w:spacing w:after="0" w:line="118"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2003, the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rethinks, reenergizes, and reimagines durable necessities to create higher value, superior quality, and top-performing products for parents, babies, and toddlers. We acquired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in 2017.</w:t>
      </w:r>
    </w:p>
    <w:p>
      <w:pPr>
        <w:spacing w:after="0" w:line="118"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color w:val="auto"/>
        </w:rPr>
        <w:t xml:space="preserve">Launched in 2021, the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146"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Additionally,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Walmart,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Target, and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available on Amazon.</w:t>
      </w:r>
    </w:p>
    <w:p>
      <w:pPr>
        <w:spacing w:after="0" w:line="12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mission is to serve the needs of families with young children, with a vision to be the world’s favorite brands in young children’s apparel and related products. We believe our brands are complementary to one another in product offering and aesthetic. Each brand is uniquely positioned in the marketplace and offers great value to families with young children. Our multichannel global business model, which includes retail stores, eCommerce, and wholesale distribution channels, as well as omni-channel capabilities in the United States and Canada, enables us to reach a broad range of consumers around the world. As of March 30, 2024, our channels included 1,027 company-owned retail stores in North America, eCommerce websites, approximately 19,350 wholesale locations in North America, as well as our international wholesale accounts and licensees who operate in over 1,100 locations outside of North America in over 90 countries.</w:t>
      </w:r>
    </w:p>
    <w:p>
      <w:pPr>
        <w:spacing w:after="0" w:line="14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2023 fiscal year ended December 30,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Gross profit is calculated as consolidated net sales less cost of goods sold. Gross margin is calculated as gross profit divided by consolidated net sales. Cost of goods sold includes expenses related to the merchandising, design, and procurement of product, including inbound freight, purchasing, receiving, and inspection costs. Also included in costs of goods sold are the costs of shipping eCommerce product to end consumers. Retail store occupancy costs, distribution expenses, and generally all other expenses other than interest and income taxes are included in Selling, general, and administrative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or Anticipated Trends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Factors and Consumer Demand</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Macroeconomic factors, including persistent inflationary pressures on families with young children, increased interest rates, increased consumer debt levels, decreased savings rates, increased energy prices, and geopolitical unrest continue to create a complex and challenging retail environment. These macroeconomic factors have had and may continue to have a negative impact on consumer sentiment and consumer demand for our products. Additionally, we have observed increased promotional activity across the retail industry, which may negatively impact our financial results, including revenue and operating margins in the future.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taken actions to mitigate this decrease in consumer demand, including strengthening our product offerings through a focus on style and value, lowering prices on select essential core products, increasing our mix of premium price offerings, including through our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optimizing our fleet of retail stores, improving our marketing effectiveness to drive traffic, including through the relaunch of our loyalty program, and investing in our exclusive wholesale brands and in our international omnichannel capabilities.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Overall, we experienced improvement in our freight input costs in fiscal 2023 and in the first quarter of fiscal 2024. However, the disruption of container shipping traffic through the Red Sea has affected transit times and shipping costs for our inventory from our Asia manufacturers in the first quarter of fiscal 2024. We expect that the adverse impact of the disruptions in the region, including additional transportation fees to re-reroute these shipments, could be approximately $6.0 million to $8.0 million through the end of fiscal 2024. Despite these additional costs, we expect for our freight input costs for fiscal 2024 to be favorable to that in fiscal 2023. However, if these hostilities continue or escalate, our business and results of operations could be materially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Fiscal Quarter 2024 Financial Highlights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comparisons are to the first quarter of fiscal 2023:</w:t>
      </w:r>
    </w:p>
    <w:p>
      <w:pPr>
        <w:spacing w:after="0" w:line="90" w:lineRule="exact"/>
        <w:rPr>
          <w:sz w:val="20"/>
          <w:szCs w:val="20"/>
          <w:color w:val="auto"/>
        </w:rPr>
      </w:pPr>
    </w:p>
    <w:p>
      <w:pPr>
        <w:ind w:left="660" w:right="14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decreased $34.4 million, or 4.9%, to $661.5 million, driven by lower eCommerce sales as a result of decreased traffic, the timing of wholesale customer shipments, and decreased sales to off-price wholesale customers.</w:t>
      </w:r>
    </w:p>
    <w:p>
      <w:pPr>
        <w:spacing w:after="0" w:line="1" w:lineRule="exact"/>
        <w:rPr>
          <w:rFonts w:ascii="Times New Roman" w:cs="Times New Roman" w:eastAsia="Times New Roman" w:hAnsi="Times New Roman"/>
          <w:sz w:val="18"/>
          <w:szCs w:val="18"/>
          <w:color w:val="auto"/>
        </w:rPr>
      </w:pPr>
    </w:p>
    <w:p>
      <w:pPr>
        <w:ind w:left="1300" w:right="280" w:hanging="320"/>
        <w:spacing w:after="0" w:line="266"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through our U.S. retail stores were relatively consistent in the period, as decreased average selling prices per unit were offset by sales contribution of our new retail stores. Promotional activity increased in the period due to planned price reductions on certain essential core products and an increased mix of clearance sales.</w:t>
      </w:r>
    </w:p>
    <w:p>
      <w:pPr>
        <w:spacing w:after="0" w:line="52" w:lineRule="exact"/>
        <w:rPr>
          <w:rFonts w:ascii="Times New Roman" w:cs="Times New Roman" w:eastAsia="Times New Roman" w:hAnsi="Times New Roman"/>
          <w:sz w:val="18"/>
          <w:szCs w:val="18"/>
          <w:color w:val="auto"/>
        </w:rPr>
      </w:pPr>
    </w:p>
    <w:p>
      <w:pPr>
        <w:jc w:val="both"/>
        <w:ind w:left="1300" w:right="120" w:hanging="320"/>
        <w:spacing w:after="0" w:line="281" w:lineRule="auto"/>
        <w:tabs>
          <w:tab w:leader="none" w:pos="1296"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Although consolidated net sales were lower in the period, we continue to experience increased growth in our exclusive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brands, in our </w:t>
      </w:r>
      <w:r>
        <w:rPr>
          <w:rFonts w:ascii="Times New Roman" w:cs="Times New Roman" w:eastAsia="Times New Roman" w:hAnsi="Times New Roman"/>
          <w:sz w:val="17"/>
          <w:szCs w:val="17"/>
          <w:i w:val="1"/>
          <w:iCs w:val="1"/>
          <w:color w:val="auto"/>
        </w:rPr>
        <w:t>Little Planet</w:t>
      </w:r>
      <w:r>
        <w:rPr>
          <w:rFonts w:ascii="Times New Roman" w:cs="Times New Roman" w:eastAsia="Times New Roman" w:hAnsi="Times New Roman"/>
          <w:sz w:val="17"/>
          <w:szCs w:val="17"/>
          <w:color w:val="auto"/>
        </w:rPr>
        <w:t xml:space="preserve"> brand, and in Mexico. We believe we will see continued growth with our exclusive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brands in the future due to consumer demand trends in the mass channel. We have meaningful growth planned for the </w:t>
      </w:r>
      <w:r>
        <w:rPr>
          <w:rFonts w:ascii="Times New Roman" w:cs="Times New Roman" w:eastAsia="Times New Roman" w:hAnsi="Times New Roman"/>
          <w:sz w:val="17"/>
          <w:szCs w:val="17"/>
          <w:i w:val="1"/>
          <w:iCs w:val="1"/>
          <w:color w:val="auto"/>
        </w:rPr>
        <w:t>Little Planet</w:t>
      </w:r>
      <w:r>
        <w:rPr>
          <w:rFonts w:ascii="Times New Roman" w:cs="Times New Roman" w:eastAsia="Times New Roman" w:hAnsi="Times New Roman"/>
          <w:sz w:val="17"/>
          <w:szCs w:val="17"/>
          <w:color w:val="auto"/>
        </w:rPr>
        <w:t xml:space="preserve"> brand as we expand product assortment and distribution. Our Mexican retail stores continue to deliver growth and reinforce plans for further expansion in Mexico.</w:t>
      </w:r>
    </w:p>
    <w:p>
      <w:pPr>
        <w:spacing w:after="0" w:line="44" w:lineRule="exact"/>
        <w:rPr>
          <w:rFonts w:ascii="Times New Roman" w:cs="Times New Roman" w:eastAsia="Times New Roman" w:hAnsi="Times New Roman"/>
          <w:sz w:val="17"/>
          <w:szCs w:val="17"/>
          <w:color w:val="auto"/>
        </w:rPr>
      </w:pPr>
    </w:p>
    <w:p>
      <w:pPr>
        <w:ind w:left="660" w:right="540" w:hanging="328"/>
        <w:spacing w:after="0" w:line="282"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gross profit increased $5.7 million, or 1.8%, to $315.2 million and gross margin increased 310 bps to 47.6%, driven by lower average cost per unit sold as a result of decreased ocean freight rates and decreased product input costs.</w:t>
      </w:r>
    </w:p>
    <w:p>
      <w:pPr>
        <w:spacing w:after="0" w:line="26" w:lineRule="exact"/>
        <w:rPr>
          <w:rFonts w:ascii="Times New Roman" w:cs="Times New Roman" w:eastAsia="Times New Roman" w:hAnsi="Times New Roman"/>
          <w:sz w:val="18"/>
          <w:szCs w:val="18"/>
          <w:b w:val="1"/>
          <w:bCs w:val="1"/>
          <w:color w:val="auto"/>
        </w:rPr>
      </w:pPr>
    </w:p>
    <w:p>
      <w:pPr>
        <w:ind w:left="660" w:right="180" w:hanging="328"/>
        <w:spacing w:after="0" w:line="280"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SG&amp;A expenses increased $5.7 million, or 2.2%, to $265.4 million, and SG&amp;A as a percentage of consolidated net sales (“SG&amp;A rate”) increased 280 bps to 40.1%, driven by investments in new retail stores.</w:t>
      </w:r>
    </w:p>
    <w:p>
      <w:pPr>
        <w:spacing w:after="0" w:line="1" w:lineRule="exact"/>
        <w:rPr>
          <w:rFonts w:ascii="Times New Roman" w:cs="Times New Roman" w:eastAsia="Times New Roman" w:hAnsi="Times New Roman"/>
          <w:sz w:val="18"/>
          <w:szCs w:val="18"/>
          <w:b w:val="1"/>
          <w:bCs w:val="1"/>
          <w:color w:val="auto"/>
        </w:rPr>
      </w:pPr>
    </w:p>
    <w:p>
      <w:pPr>
        <w:ind w:left="1300" w:hanging="320"/>
        <w:spacing w:after="0" w:line="258"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Along with growth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elevating the style and value of our product offerings, we believe that our growth in the years ahead will be driven by continued fleet optimization, including store openings, new store formats, and remodels. During the first quarter of fiscal 2024, we opened 7 stores and closed 10 stores in the United States. We are projecting approximately 33 store openings and 20 store closures in the remainder of fiscal 2024. We expect to see the benefits from our continued fleet optimization strategies in fiscal 2024.</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decreased $1.3 million, or 2.3%, to $55.0 million and operating margin increased 20 bps to 8.3% due to the factors discussed above and a decrease in royalty income of $1.3 million.</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increased $2.0 million, or 5.7%, to $38.0 million due to the factors discussed above and an increase in interest income of $2.4 million.</w:t>
      </w:r>
    </w:p>
    <w:p>
      <w:pPr>
        <w:spacing w:after="0" w:line="26"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common share increased $0.09, or 9.5%, to $1.04, and adjusted diluted net income per common share increased $0.06, or 6.1%, to $1.04.</w:t>
      </w:r>
    </w:p>
    <w:p>
      <w:pPr>
        <w:spacing w:after="0" w:line="38"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first quarter of fiscal 2024, we relaunched and rebranded our existing loyalty program as </w:t>
      </w:r>
      <w:r>
        <w:rPr>
          <w:rFonts w:ascii="Times New Roman" w:cs="Times New Roman" w:eastAsia="Times New Roman" w:hAnsi="Times New Roman"/>
          <w:sz w:val="18"/>
          <w:szCs w:val="18"/>
          <w:i w:val="1"/>
          <w:iCs w:val="1"/>
          <w:color w:val="auto"/>
        </w:rPr>
        <w:t>Carter’s Rewards</w:t>
      </w:r>
      <w:r>
        <w:rPr>
          <w:rFonts w:ascii="Times New Roman" w:cs="Times New Roman" w:eastAsia="Times New Roman" w:hAnsi="Times New Roman"/>
          <w:sz w:val="18"/>
          <w:szCs w:val="18"/>
          <w:color w:val="auto"/>
        </w:rPr>
        <w:t>. We believe this relaunched tiered loyalty program will drive increased customer transactions and customer retention while creating greater reward differentiation for our best customers.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left="660" w:right="1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$140.6 million, or 22.9%, to $473.4 million, due to decreased “pack and hold” inventory (inventory originally intended for sale in fiscal 2022 which was packed and held for sale profitably in a future period), decreased days of supply, and decreased ocean freight rates and product input costs.</w:t>
      </w:r>
    </w:p>
    <w:p>
      <w:pPr>
        <w:spacing w:after="0" w:line="5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strong financial position and available liquidity, we returned $38.3 million to our shareholders, comprised of $29.3 million in cash dividends and $9.0 million in share repurchases.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FISCAL QUARTER ENDED MARCH 30, 2024 COMPARED TO FIRST FISCAL QUARTER ENDED APRIL 1,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8"/>
        </w:trPr>
        <w:tc>
          <w:tcPr>
            <w:tcW w:w="4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24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30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1, 2023</w:t>
            </w:r>
          </w:p>
        </w:tc>
        <w:tc>
          <w:tcPr>
            <w:tcW w:w="26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 bps Change</w:t>
            </w:r>
          </w:p>
        </w:tc>
      </w:tr>
      <w:tr>
        <w:trPr>
          <w:trHeight w:val="24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661,492</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695,880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(34,388)</w:t>
            </w:r>
          </w:p>
        </w:tc>
        <w:tc>
          <w:tcPr>
            <w:tcW w:w="10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6"/>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346,302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386,413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(40,111)</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315,190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309,467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3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Gross profit as % of consolidated net sales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47.6 %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310 bps</w:t>
            </w:r>
          </w:p>
        </w:tc>
      </w:tr>
      <w:tr>
        <w:trPr>
          <w:trHeight w:val="25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6,519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3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Royalty income as % of consolidated net sales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 bps</w:t>
            </w:r>
          </w:p>
        </w:tc>
      </w:tr>
      <w:tr>
        <w:trPr>
          <w:trHeight w:val="25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265,371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259,632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37"/>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SG&amp;A expenses as % of consolidated net sales</w:t>
            </w: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40.1 %</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37.3 %</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280 bps</w:t>
            </w: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55,035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56,354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Operating income as % of consolidated net sales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 bps</w:t>
            </w:r>
          </w:p>
        </w:tc>
      </w:tr>
      <w:tr>
        <w:trPr>
          <w:trHeight w:val="25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9,644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5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9"/>
                <w:szCs w:val="19"/>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49,945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46"/>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11,912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11,672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4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Effective tax rate</w:t>
            </w:r>
            <w:r>
              <w:rPr>
                <w:rFonts w:ascii="Times New Roman" w:cs="Times New Roman" w:eastAsia="Times New Roman" w:hAnsi="Times New Roman"/>
                <w:sz w:val="21"/>
                <w:szCs w:val="21"/>
                <w:i w:val="1"/>
                <w:iCs w:val="1"/>
                <w:color w:val="auto"/>
                <w:vertAlign w:val="superscript"/>
              </w:rPr>
              <w:t>(*)</w:t>
            </w: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23.9 %</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24.5 %</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(60) bps</w:t>
            </w:r>
          </w:p>
        </w:tc>
      </w:tr>
      <w:tr>
        <w:trPr>
          <w:trHeight w:val="26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38,033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35,996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5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r>
    </w:tbl>
    <w:p>
      <w:pPr>
        <w:spacing w:after="0" w:line="12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Percentage changes that are not considered meaningful are denoted with “nm”.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Consolidated net sales decreased $34.4 million, or 4.9%, to $661.5 million. The decrease in net sales was driven by lower eCommerce sales as a result of decreased traffic, decreased sales to off-price wholesale channels as a result of our improved excess inventory levels, the timing of wholesale customer shipments, and decreased average selling prices per unit. These decreases were partially offset by increased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growth from our Mexican retail stores. Average selling prices per unit decreased mid-single digits and units sold decreased low-single digits. Changes in foreign currency exchange rates used for translation had an favorable effect on our consolidated net sales of approximately $2.0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Consolidated gross profit increased $5.7 million, or 1.8%, to $315.2 million and consolidated gross margin increased 310 bps to 47.6%. The increase in consolidated gross profit and gross margin was driven by lower average cost per unit sold and decreased sales to off-price wholesale channels. Average cost per unit sold decreased high-single digits driven by lower ocean freight rates and lower product input costs. We expect to experience decreased inbound transportation rates, including ocean freight rates, in the second quarter of fiscal 2024 and decreased product input costs for the remainder of fiscal 2024. These factors were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partially offset by decreased net sales, decreased average selling prices per unit mentioned above, and an increase in the mix of U.S. Wholesale net sales, including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which have a lower contribution to gross margin than our U.S. Retail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Consolidated SG&amp;A expenses increased $5.7 million, or 2.2%, to $265.4 million and SG&amp;A rate increased 280 bps to 40.1%. This increase in the SG&amp;A rate was driven by investments in new retail stores, fixed cost deleverage on decreased sales, and the nonrecurrence of a gain on the partial termination of a corporate office lease in the first quarter of fiscal 2023. These factors were partially offset by decreased transportation costs and the nonrecurrence of organizational restructuring charges in the first quarter of fiscal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Consolidated operating income decreased $1.3 million, or 2.3%, to $55.0 million and consolidated operating margin increased 20 bps to 8.3%, primarily due to the factors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interest expense decreased $1.7 million, or 18.0%, to $7.9 million. Weighted-average borrowings for the first quarter of fiscal 2024 were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$500.0 million at an effective interest rate of 6.17%, compared to weighted-average borrowings for the first quarter of fiscal 2023 of $613.8 million at an effective interest rate of 6.18%. The decrease in weighted-average borrowings was attributable to decreased borrowings under our secured revolving credit facility.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interest income increased $2.4 million to $3.1 million due to increased cash balances during the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Consolidated income tax provision increased $0.2 million, or 2.1%, to $11.9 million and the effective tax rate decreased 60 bps to 23.9%. The decreased effective tax rate relates to a lower proportion of income generated in higher-rate foreign jurisdictions.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Consolidated net income increased $2.0 million, or 5.7%, to $38.0 million, primarily due to the factors previously discussed and increased interest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First Quarter of Fiscal 2024 compared to First Quarter of Fiscal 2023</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consolidated net sales and operating income, by segment, for the first quarter of fiscal 2024 and the first quarter of fiscal 2023:</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0"/>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 consolidated</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 consolidated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9"/>
        </w:trPr>
        <w:tc>
          <w:tcPr>
            <w:tcW w:w="30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30, 2024</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1, 2023</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3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307,642</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323,721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53"/>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264,131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279,990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6"/>
        </w:trPr>
        <w:tc>
          <w:tcPr>
            <w:tcW w:w="3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89,719</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92,169</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68"/>
        </w:trPr>
        <w:tc>
          <w:tcPr>
            <w:tcW w:w="3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661,492</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695,880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3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(12,645)</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53"/>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r>
      <w:tr>
        <w:trPr>
          <w:trHeight w:val="23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4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4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(24,773)</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(25,801)</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43"/>
        </w:trPr>
        <w:tc>
          <w:tcPr>
            <w:tcW w:w="3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55,035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56,354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
        </w:trPr>
        <w:tc>
          <w:tcPr>
            <w:tcW w:w="3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 Metrics</w:t>
      </w:r>
    </w:p>
    <w:p>
      <w:pPr>
        <w:spacing w:after="0" w:line="10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4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method of calculating sales metrics varies across the retail industry. As a result, our comparable sales metrics may not be comparable to those of other retailers.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U.S. Retail segment net sales decreased $16.1 million, or 5.0%, to $307.6 million. The decrease in net sales was driven by lower traffic in our eCommerce channels as a result of decreased consumer demand on more discretionary purchases and decreased average selling prices per unit, partially offset by sales contribution of our new retail stores. Average selling prices per unit decreased mid-single digits due to planned price reductions on select essential core products and an increased mix of clearance sales. Units sold decreased low-single digits.</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Comparable net sales, including retail store and eCommerce, decreased 6.8% primarily driven by the factors mentioned above. As of March 30, 2024, we operated 789 retail stores in the U.S. compared to 792 as of December 30, 2023, and 760 as of April 1, 2023.</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U.S. Retail segment operating income decreased $12.6 million, or 46.9%, to $14.3 million, due to a decrease in gross profit of $10.0 million and an increase in SG&amp;A expenses of $2.1 million. Operating margin decreased 370 bps to 4.6%. The primary drivers of the decrease in operating margin were a 20 bps decrease in gross margin and a 340 bps increase in SG&amp;A rate. The decrease in gross margin was due to decreased average selling prices per unit mentioned above, partially offset by decreased average cost per unit sold and decreased fabric purchase commitment charges. Average cost per unit sold decreased low-single digits due to decreased ocean freight rates. The increase in SG&amp;A rate was driven by fixed cost deleverage on decreased sales, fleet optimization, including retail store openings and new store formats and remodels, and increased retail store employee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U.S. Wholesale segment net sales decreased $15.9 million, or 5.7%, to $264.1 million, driven by the timing of wholesale customer shipments and decreased sales to off-price wholesale channels as a result of our improved excess inventory levels. Average selling prices per unit decreased mid-single digits, while units sold decreased low-single digits. These factors were partially offset by increased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our </w:t>
      </w:r>
      <w:r>
        <w:rPr>
          <w:rFonts w:ascii="Times New Roman" w:cs="Times New Roman" w:eastAsia="Times New Roman" w:hAnsi="Times New Roman"/>
          <w:sz w:val="18"/>
          <w:szCs w:val="18"/>
          <w:i w:val="1"/>
          <w:iCs w:val="1"/>
          <w:color w:val="auto"/>
        </w:rPr>
        <w:t>Little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Planet </w:t>
      </w:r>
      <w:r>
        <w:rPr>
          <w:rFonts w:ascii="Times New Roman" w:cs="Times New Roman" w:eastAsia="Times New Roman" w:hAnsi="Times New Roman"/>
          <w:sz w:val="18"/>
          <w:szCs w:val="18"/>
          <w:color w:val="auto"/>
        </w:rPr>
        <w:t>brand.</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U.S. Wholesale segment operating income increased $11.2 million, or 21.6%, to $63.3 million, due to an increase in gross profit of $10.3 million and a decrease in SG&amp;A expenses of $1.1 million. Operating margin increased 540 bps to 24.0%. The primary drivers of the increase in operating margin were a 560 bps increase in gross margin, partially offset by a 20 bps increase in SG&amp;A rate. The increase in gross margin was driven by decreased average cost per unit sold, partially offset by customer mix. Average cost per unit sold decreased low teens due to decreased ocean freight rates and product input costs. The increase in the SG&amp;A rate was driven by fixed cost deleverage on decreased sales and increased marketing costs, partially offset by decreased transportation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International segment net sales decreased $2.5 million, or 2.7%, to $89.7 million. Changes in foreign currency exchange rates, primarily between the U.S. dollar and the Mexican Peso, had a $2.0 million favorable effect on International segment net sales. The decrease in net sales was driven by decreased net eCommerce sales in Canada as a result of decreased consumer demand on more discretionary purchases and decreased demand from our international partners. These decreases were partially offset by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in sales in our Mexico retail stores. Units sold decreased mid-single digits, while average selling prices per unit increased low-single digits.</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Canadian comparable net sales, including retail store and eCommerce, decreased 5.1%, driven by decreased sales in our eCommerce channel. As of March 30, 2024, we operated 186 and 52 retail stores in Canada and Mexico, respectively. As of December 30, 2023, we operated 188 and 54 retail stores in Canada and Mexico, respectively. As of April 1, 2023, we operated 187 and 49 retail stores in Canada and Mexico, respectively.</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International segment operating income decreased $0.9 million, or 30.0%, to $2.2 million, due to an increase in SG&amp;A expenses of $5.8 million, partially offset by an increase in gross profit of $5.4 million. Operating margin decreased 100 bps to 2.4%. The decrease in the operating margin was attributable to a 760 bps increase in the SG&amp;A rate, partially offset by a 710 bps increase in gross margin. The increase in gross margin was due to decreased average cost per unit and decreased fabric purchase commitment charges. Average cost per unit sold decreased high-single digits due to decreased ocean freight rates and product input costs. The increase in the SG&amp;A rate was due to increased investments in our Mexican retail stores and technology, fixed cost deleverage on decreased sales, and increased retail store employee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Unallocated corporate expenses decreased $1.0 million, or 4.0%, to $24.8 million, driven by the nonrecurrence of organizational restructuring charges in the first quarter of fiscal 2023. Unallocated corporate expenses, as a percentage of consolidated net sales, remained consistent at 3.7%.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9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and we also, from time to time, use some of these non-GAAP measures, such as adjusted operating income, as performance metrics in awards under our annual and long-term incentive compensation plans.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substitute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36"/>
        </w:trPr>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w w:val="99"/>
              </w:rPr>
              <w:t>March 30, 2024</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April 1, 2023</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14"/>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Diluted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Diluted Net</w:t>
            </w:r>
          </w:p>
        </w:tc>
      </w:tr>
      <w:tr>
        <w:trPr>
          <w:trHeight w:val="189"/>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per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per</w:t>
            </w:r>
          </w:p>
        </w:tc>
      </w:tr>
      <w:tr>
        <w:trPr>
          <w:trHeight w:val="189"/>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millions, except</w:t>
            </w:r>
          </w:p>
        </w:tc>
        <w:tc>
          <w:tcPr>
            <w:tcW w:w="10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0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 Net</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6"/>
                <w:szCs w:val="16"/>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6"/>
                <w:szCs w:val="16"/>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2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Net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6"/>
                <w:szCs w:val="16"/>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120" w:type="dxa"/>
            <w:vAlign w:val="bottom"/>
          </w:tcPr>
          <w:p>
            <w:pPr>
              <w:spacing w:after="0"/>
              <w:rPr>
                <w:sz w:val="16"/>
                <w:szCs w:val="16"/>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39"/>
        </w:trPr>
        <w:tc>
          <w:tcPr>
            <w:tcW w:w="1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w:t>
            </w:r>
          </w:p>
        </w:tc>
      </w:tr>
      <w:tr>
        <w:trPr>
          <w:trHeight w:val="24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8.1 %</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0.95</w:t>
            </w:r>
          </w:p>
        </w:tc>
      </w:tr>
      <w:tr>
        <w:trPr>
          <w:trHeight w:val="205"/>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Organizational</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1"/>
        </w:trPr>
        <w:tc>
          <w:tcPr>
            <w:tcW w:w="1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restructuring</w:t>
            </w:r>
            <w:r>
              <w:rPr>
                <w:rFonts w:ascii="Times New Roman" w:cs="Times New Roman" w:eastAsia="Times New Roman" w:hAnsi="Times New Roman"/>
                <w:sz w:val="21"/>
                <w:szCs w:val="21"/>
                <w:color w:val="auto"/>
                <w:vertAlign w:val="superscript"/>
              </w:rPr>
              <w:t>(*)</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57"/>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8.3 %</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0.98</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3000" w:firstLine="8"/>
        <w:spacing w:after="0" w:line="382" w:lineRule="auto"/>
        <w:tabs>
          <w:tab w:leader="none" w:pos="3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Relates to charges for organizational restructuring and related corporate office lease amendment actions in the first quarter of fiscal 2023. </w:t>
      </w:r>
      <w:r>
        <w:rPr>
          <w:rFonts w:ascii="Times New Roman" w:cs="Times New Roman" w:eastAsia="Times New Roman" w:hAnsi="Times New Roman"/>
          <w:sz w:val="14"/>
          <w:szCs w:val="14"/>
          <w:i w:val="1"/>
          <w:iCs w:val="1"/>
          <w:color w:val="auto"/>
        </w:rPr>
        <w:t>Note: Results may not be additive due to rounding.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ongoing cash needs are primarily for working capital (consisting primarily of inventory), capital expenditures, employee compensation, interest on debt, the return of capital to our shareholders, and other general corporate purposes. We expect that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will be cash and cash equivalents on hand, cash flow from operations, and available borrowing capacity under our secured revolving credit facility. We believe that our sources of liquidity are sufficient to meet our cash requirements for at least the next twelve months. However, these sources of liquidity may be affected by events described in “Forward-Looking Statements” section of this Form 10-Q, including, but not limited to, our risk factors discussed under the heading “Risk Factors” in our most recently filed Annual Report on Form 10-K and in other reports filed with the Securities and Exchange Commission from time to time.</w:t>
      </w:r>
    </w:p>
    <w:p>
      <w:pPr>
        <w:spacing w:after="0" w:line="14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discussed under the heading “Known or Anticipated Trends” in this Quarterly Report on Form 10-Q and in our most recently filed Annual Report on Form 10-K, inflationary pressures and declining consumer sentiment have had and may continue to have a negative impact on consumer demand for our products and on our financial results in fiscal 2024. We cannot predict the timing and amount of such impact.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2024, we had approximately $267.6 million of cash and cash equivalents held at major financial institutions, including approximately</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$87.1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Inventories at March 30, 2024 were $473.4 million compared to $613.9 million at April 1, 2023 and $537.1 million at December 30, 2023. The decrease of $140.6 million, or 22.9%, at March 30, 2024, compared to April 1, 2023, was driven by decreased “pack and hold” inventory, decreased days of supply, and decreased ocean freight rates and product input costs. Due to the seasonal nature of our operations, the inventories balance at March 30, 2024, is not comparable to the inventories balance at December 30,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first quarter of fiscal 2024 was $25.6 million compared to net cash provided by operating activities of $42.2 million in the first quarter of fiscal 2023. Our cash flows from operating activities is driven by net income and changes in our net working capital. The change in net cash from operating activities was primarily driven by smaller reductions in inventory balances due to the sell through of a large portion of our “pack and hold” inventory in fiscal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first quarter of fiscal 2024 was $12.0 million compared to $13.8 million in the first quarter of fiscal 2023. The decrease in net cash used in investing activities was driven by decreased capital expenditures. Capital expenditures in the first quarter of fiscal 2024 was driven by U.S. and international retail store openings and remodels and investments in our distribution facilities.</w:t>
      </w:r>
    </w:p>
    <w:p>
      <w:pPr>
        <w:spacing w:after="0" w:line="1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plan to invest approximately $80.0 million in capital expenditures in fiscal 2024, which primarily relates to U.S. and international retail store openings and remodels, investments in our distribution facilities, and strategic information technology initiatives.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$45.3 million in the first quarter of fiscal 2024 compared to $82.8 million in the first quarter of fiscal 2023. This change in cash flow from financing activities was driven by payments on our secured revolving credit facility in the first quarter of fiscal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2024, we repurchased and retired 107,795 shares in open market transactions for approximately $9.0 million, at an average price of $83.48 per share. In the first quarter of fiscal 2023, we repurchased and retired 135,873 shares in open market transactions for approximately $9.6 million at an average price of $70.55 per share.</w:t>
      </w:r>
    </w:p>
    <w:p>
      <w:pPr>
        <w:spacing w:after="0" w:line="13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total remaining capacity under outstanding repurchase authorizations as of March 30, 2024, was approximately $640.5 million, based on settled repurchase transactions. The share repurchase authorizations have no expiration dates.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revolving credit facility and considerations given to market conditions, stock price, other investment priorities, excise taxes,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2024 and fiscal 2023, the Board of Directors declared, and the Company paid cash dividends of $0.80 and $0.75 per common share, respectively.</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will evaluate future dividend declarations based on a number of factors, including restrictions under the Company’s revolving credit facility, business conditions, the Company’s financial performance, and other considerations.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Provisions in our secured revolving credit facility could have the effect of restricting our ability to pay cash dividends on, or make future repurchases of, our common stock, as further described in Note 5,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Credit Facilit</w:t>
      </w:r>
      <w:r>
        <w:rPr>
          <w:rFonts w:ascii="Times New Roman" w:cs="Times New Roman" w:eastAsia="Times New Roman" w:hAnsi="Times New Roman"/>
          <w:sz w:val="18"/>
          <w:szCs w:val="18"/>
          <w:b w:val="1"/>
          <w:bCs w:val="1"/>
          <w:color w:val="auto"/>
        </w:rPr>
        <w:t>y</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March 30, 2024, we had no outstanding borrowings under our secured revolving credit facility, exclusive of $5.3 million of outstanding letters of credit. As of March 30, 2024, there was approximately $844.7 million available for future borrowing. Any outstanding borrowings under our secured revolving credit facility are classified as non-current liabilities on our condensed consolidated balance sheets due to contractual repayment terms under the credit facility. However, these repayment terms also allow us to repay some or all of the outstanding borrowings at any time.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2024, the interest rate margins applicable to the secured revolving credit facility were 1.125% for adjusted term SOFR rate loans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0.125% for base rate loans. As of March 30, 2024, we were in compliance with the financial and other covenants under the secured revolving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March 30, 2024, the Company had $500.0 million principal amount of senior notes outstanding, bearing interest at a rate of 5.625% per annum, and maturing on March 15, 2027. On our condensed consolidated balance sheets, the $500.0 million of outstanding senior notes as of March 30, 2024 is reported net of $2.5 million of unamortized issuance-related debt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under the heading “Critical Accounting Policies and Estimates” in Item 7 of our most recent Annual Report on Form 10-K for the 2023 fiscal year ended December 30, 2023.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ind w:right="4060"/>
        <w:spacing w:after="0" w:line="362"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3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3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foreign subsidiaries typically record sales denominated in currencies other than the U.S. dollar, which are then translated into U.S. dollars using weighted-average exchange rates. The changes in foreign currency exchange rates used for translation in the first quarter of fiscal 2024, compared to the first quarter of fiscal 2023, had a $2.0 million favorable effect on our consolidated net sales.</w:t>
      </w:r>
    </w:p>
    <w:p>
      <w:pPr>
        <w:spacing w:after="0" w:line="14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condensed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secured revolving credit facility, which carries variable interest rates. As of March 30, 2024, there were no variable rate borrowings outstanding under the secured revolving credit facility. As a result, the impact of a hypothetical 100 bps increase in the effective interest rate would not result in a material amount of additional interest expense over a 12-month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March 30,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March 30, 2024, that have materially affected, or which are reasonably likely to materially affect, Internal Control.</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that materially affected, or were likely to materially affect, such control over financial reporting during the fiscal quarter ended March 30,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Form 10-K for the 2023 fiscal year ended December 30,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first quarter of fiscal 2024:</w:t>
      </w:r>
    </w:p>
    <w:p>
      <w:pPr>
        <w:sectPr>
          <w:pgSz w:w="11900" w:h="16838" w:orient="portrait"/>
          <w:cols w:equalWidth="0" w:num="1">
            <w:col w:w="11240"/>
          </w:cols>
          <w:pgMar w:left="320" w:top="1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December 31, 2023 through January 27, 2024</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 xml:space="preserve">January 28, 2024 through February 24, 2024 </w:t>
      </w:r>
      <w:r>
        <w:rPr>
          <w:rFonts w:ascii="Times New Roman" w:cs="Times New Roman" w:eastAsia="Times New Roman" w:hAnsi="Times New Roman"/>
          <w:sz w:val="20"/>
          <w:szCs w:val="20"/>
          <w:color w:val="auto"/>
          <w:vertAlign w:val="superscript"/>
        </w:rPr>
        <w:t>(4)</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February 25, 2024 through March 30, 2024 </w:t>
      </w:r>
      <w:r>
        <w:rPr>
          <w:rFonts w:ascii="Times New Roman" w:cs="Times New Roman" w:eastAsia="Times New Roman" w:hAnsi="Times New Roman"/>
          <w:sz w:val="21"/>
          <w:szCs w:val="21"/>
          <w:color w:val="auto"/>
          <w:vertAlign w:val="superscript"/>
        </w:rPr>
        <w:t>(5)</w:t>
      </w: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as part of</w:t>
            </w:r>
          </w:p>
        </w:tc>
        <w:tc>
          <w:tcPr>
            <w:tcW w:w="10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91"/>
        </w:trPr>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ind w:left="240"/>
              <w:spacing w:after="0" w:line="192" w:lineRule="exact"/>
              <w:rPr>
                <w:sz w:val="20"/>
                <w:szCs w:val="20"/>
                <w:color w:val="auto"/>
              </w:rPr>
            </w:pPr>
            <w:r>
              <w:rPr>
                <w:rFonts w:ascii="Times New Roman" w:cs="Times New Roman" w:eastAsia="Times New Roman" w:hAnsi="Times New Roman"/>
                <w:sz w:val="16"/>
                <w:szCs w:val="16"/>
                <w:b w:val="1"/>
                <w:bCs w:val="1"/>
                <w:color w:val="auto"/>
              </w:rPr>
              <w:t>share</w:t>
            </w:r>
            <w:r>
              <w:rPr>
                <w:rFonts w:ascii="Times New Roman" w:cs="Times New Roman" w:eastAsia="Times New Roman" w:hAnsi="Times New Roman"/>
                <w:sz w:val="21"/>
                <w:szCs w:val="21"/>
                <w:b w:val="1"/>
                <w:bCs w:val="1"/>
                <w:color w:val="auto"/>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43"/>
        </w:trPr>
        <w:tc>
          <w:tcPr>
            <w:tcW w:w="1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(3)</w:t>
            </w:r>
          </w:p>
        </w:tc>
        <w:tc>
          <w:tcPr>
            <w:tcW w:w="0" w:type="dxa"/>
            <w:vAlign w:val="bottom"/>
          </w:tcPr>
          <w:p>
            <w:pPr>
              <w:spacing w:after="0"/>
              <w:rPr>
                <w:sz w:val="1"/>
                <w:szCs w:val="1"/>
                <w:color w:val="auto"/>
              </w:rPr>
            </w:pPr>
          </w:p>
        </w:tc>
      </w:tr>
      <w:tr>
        <w:trPr>
          <w:trHeight w:val="217"/>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649,492,412</w:t>
            </w:r>
          </w:p>
        </w:tc>
        <w:tc>
          <w:tcPr>
            <w:tcW w:w="0" w:type="dxa"/>
            <w:vAlign w:val="bottom"/>
          </w:tcPr>
          <w:p>
            <w:pPr>
              <w:spacing w:after="0"/>
              <w:rPr>
                <w:sz w:val="1"/>
                <w:szCs w:val="1"/>
                <w:color w:val="auto"/>
              </w:rPr>
            </w:pPr>
          </w:p>
        </w:tc>
      </w:tr>
      <w:tr>
        <w:trPr>
          <w:trHeight w:val="594"/>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69,401</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81.33</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649,492,412</w:t>
            </w:r>
          </w:p>
        </w:tc>
        <w:tc>
          <w:tcPr>
            <w:tcW w:w="0" w:type="dxa"/>
            <w:vAlign w:val="bottom"/>
          </w:tcPr>
          <w:p>
            <w:pPr>
              <w:spacing w:after="0"/>
              <w:rPr>
                <w:sz w:val="1"/>
                <w:szCs w:val="1"/>
                <w:color w:val="auto"/>
              </w:rPr>
            </w:pPr>
          </w:p>
        </w:tc>
      </w:tr>
      <w:tr>
        <w:trPr>
          <w:trHeight w:val="594"/>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129,316</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83.48</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640,493,185</w:t>
            </w:r>
          </w:p>
        </w:tc>
        <w:tc>
          <w:tcPr>
            <w:tcW w:w="0" w:type="dxa"/>
            <w:vAlign w:val="bottom"/>
          </w:tcPr>
          <w:p>
            <w:pPr>
              <w:spacing w:after="0"/>
              <w:rPr>
                <w:sz w:val="1"/>
                <w:szCs w:val="1"/>
                <w:color w:val="auto"/>
              </w:rPr>
            </w:pPr>
          </w:p>
        </w:tc>
      </w:tr>
      <w:tr>
        <w:trPr>
          <w:trHeight w:val="181"/>
        </w:trPr>
        <w:tc>
          <w:tcPr>
            <w:tcW w:w="1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-950595</wp:posOffset>
            </wp:positionV>
            <wp:extent cx="71323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-573405</wp:posOffset>
            </wp:positionV>
            <wp:extent cx="71323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-196215</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-1216660</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680" w:space="720"/>
            <w:col w:w="6840"/>
          </w:cols>
          <w:pgMar w:left="320" w:top="1265" w:right="339" w:bottom="1440" w:gutter="0" w:footer="0" w:header="0"/>
          <w:type w:val="continuous"/>
        </w:sect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price paid per share excludes excise tax on share repurchases.</w:t>
      </w:r>
    </w:p>
    <w:p>
      <w:pPr>
        <w:spacing w:after="0" w:line="55" w:lineRule="exact"/>
        <w:rPr>
          <w:rFonts w:ascii="Times New Roman" w:cs="Times New Roman" w:eastAsia="Times New Roman" w:hAnsi="Times New Roman"/>
          <w:sz w:val="14"/>
          <w:szCs w:val="14"/>
          <w:color w:val="auto"/>
        </w:rPr>
      </w:pPr>
    </w:p>
    <w:p>
      <w:pPr>
        <w:jc w:val="both"/>
        <w:ind w:left="340" w:right="560" w:hanging="332"/>
        <w:spacing w:after="0" w:line="30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purchases during the first quarter of fiscal 2024 were made in compliance with all applicable rules and regulations and in accordance with the share repurchase authorizations described in Note 6, Common Stock, to our accompanying unaudited condensed consolidated financial statements included in Part I. Item 1 of this Quarterly Report on Form 10-Q.</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share repurchase authorizations approved by our Board of Directors. The share repurchase authorizations have no expiration date.</w:t>
      </w:r>
    </w:p>
    <w:p>
      <w:pPr>
        <w:spacing w:after="0" w:line="190" w:lineRule="exact"/>
        <w:rPr>
          <w:rFonts w:ascii="Times New Roman" w:cs="Times New Roman" w:eastAsia="Times New Roman" w:hAnsi="Times New Roman"/>
          <w:sz w:val="14"/>
          <w:szCs w:val="14"/>
          <w:color w:val="auto"/>
        </w:rPr>
      </w:pPr>
    </w:p>
    <w:p>
      <w:pPr>
        <w:ind w:left="340" w:right="40" w:hanging="332"/>
        <w:spacing w:after="0" w:line="302"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69,401 shares purchased represent shares of our common stock surrendered by our employees to satisfy required tax withholding upon the vesting of restricted stock awards between January 28, 2024 and February 24, 2024.</w:t>
      </w:r>
    </w:p>
    <w:p>
      <w:pPr>
        <w:spacing w:after="0" w:line="121" w:lineRule="exact"/>
        <w:rPr>
          <w:rFonts w:ascii="Times New Roman" w:cs="Times New Roman" w:eastAsia="Times New Roman" w:hAnsi="Times New Roman"/>
          <w:sz w:val="14"/>
          <w:szCs w:val="14"/>
          <w:color w:val="auto"/>
        </w:rPr>
      </w:pPr>
    </w:p>
    <w:p>
      <w:pPr>
        <w:ind w:left="340" w:right="220" w:hanging="332"/>
        <w:spacing w:after="0" w:line="302"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our common stock surrendered by our employees to satisfy required tax withholding upon the vesting of restricted stock awards. There were 21,521 shares surrendered between February 25, 2024 and March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9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30, 2024, none of the Company’s directors or officers, as defined in Section 16 of the Exchange Act, adopted, or terminated any contract, instruction or written plan for the purchase or sale of Company securities that was intended to satisfy the affirmative defense conditions of Rule 10b5-1(c) or any “non-Rule 10b5-1 trading arrangement” as defined under Item 408(a) of Regulation 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360" w:type="dxa"/>
            <w:vAlign w:val="bottom"/>
          </w:tcPr>
          <w:p>
            <w:pPr>
              <w:spacing w:after="0"/>
              <w:rPr>
                <w:sz w:val="19"/>
                <w:szCs w:val="19"/>
                <w:color w:val="auto"/>
              </w:rPr>
            </w:pPr>
          </w:p>
        </w:tc>
      </w:tr>
      <w:tr>
        <w:trPr>
          <w:trHeight w:val="200"/>
        </w:trPr>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9"/>
        </w:trPr>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Filed Herewith</w:t>
            </w:r>
          </w:p>
        </w:tc>
      </w:tr>
      <w:tr>
        <w:trPr>
          <w:trHeight w:val="189"/>
        </w:trPr>
        <w:tc>
          <w:tcPr>
            <w:tcW w:w="56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auto"/>
                <w:w w:val="99"/>
              </w:rPr>
              <w:t>3.1</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40" w:type="dxa"/>
            <w:vAlign w:val="bottom"/>
            <w:gridSpan w:val="9"/>
            <w:shd w:val="clear" w:color="auto" w:fill="CCEEFF"/>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Amended and Restated Certificate of Incorporation of Carter’s, Inc</w:t>
              </w:r>
            </w:hyperlink>
            <w:r>
              <w:rPr>
                <w:rFonts w:ascii="Times New Roman" w:cs="Times New Roman" w:eastAsia="Times New Roman" w:hAnsi="Times New Roman"/>
                <w:sz w:val="16"/>
                <w:szCs w:val="16"/>
                <w:color w:val="000000"/>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3.1</w:t>
            </w: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May 23, 2017</w:t>
            </w:r>
          </w:p>
        </w:tc>
        <w:tc>
          <w:tcPr>
            <w:tcW w:w="1360" w:type="dxa"/>
            <w:vAlign w:val="bottom"/>
            <w:shd w:val="clear" w:color="auto" w:fill="CCEEFF"/>
          </w:tcPr>
          <w:p>
            <w:pPr>
              <w:spacing w:after="0"/>
              <w:rPr>
                <w:sz w:val="16"/>
                <w:szCs w:val="16"/>
                <w:color w:val="auto"/>
              </w:rPr>
            </w:pPr>
          </w:p>
        </w:tc>
      </w:tr>
      <w:tr>
        <w:trPr>
          <w:trHeight w:val="223"/>
        </w:trPr>
        <w:tc>
          <w:tcPr>
            <w:tcW w:w="5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0000FF"/>
            </w:tcBorders>
            <w:shd w:val="clear" w:color="auto" w:fill="CCEEFF"/>
          </w:tcPr>
          <w:p>
            <w:pPr>
              <w:spacing w:after="0"/>
              <w:rPr>
                <w:sz w:val="19"/>
                <w:szCs w:val="19"/>
                <w:color w:val="auto"/>
              </w:rPr>
            </w:pPr>
          </w:p>
        </w:tc>
        <w:tc>
          <w:tcPr>
            <w:tcW w:w="114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960" w:type="dxa"/>
            <w:vAlign w:val="bottom"/>
            <w:tcBorders>
              <w:top w:val="single" w:sz="8" w:color="0000FF"/>
            </w:tcBorders>
            <w:shd w:val="clear" w:color="auto" w:fill="CCEEFF"/>
          </w:tcPr>
          <w:p>
            <w:pPr>
              <w:spacing w:after="0"/>
              <w:rPr>
                <w:sz w:val="19"/>
                <w:szCs w:val="19"/>
                <w:color w:val="auto"/>
              </w:rPr>
            </w:pPr>
          </w:p>
        </w:tc>
        <w:tc>
          <w:tcPr>
            <w:tcW w:w="200" w:type="dxa"/>
            <w:vAlign w:val="bottom"/>
            <w:tcBorders>
              <w:top w:val="single" w:sz="8" w:color="0000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r>
      <w:tr>
        <w:trPr>
          <w:trHeight w:val="189"/>
        </w:trPr>
        <w:tc>
          <w:tcPr>
            <w:tcW w:w="5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3.2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40" w:type="dxa"/>
            <w:vAlign w:val="bottom"/>
            <w:gridSpan w:val="9"/>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Amended and Restated By-Laws of Carter’s, Inc.</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3.1</w:t>
            </w:r>
          </w:p>
        </w:tc>
        <w:tc>
          <w:tcPr>
            <w:tcW w:w="12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August 18, 2023</w:t>
            </w:r>
          </w:p>
        </w:tc>
        <w:tc>
          <w:tcPr>
            <w:tcW w:w="1360" w:type="dxa"/>
            <w:vAlign w:val="bottom"/>
          </w:tcPr>
          <w:p>
            <w:pPr>
              <w:spacing w:after="0"/>
              <w:rPr>
                <w:sz w:val="16"/>
                <w:szCs w:val="16"/>
                <w:color w:val="auto"/>
              </w:rPr>
            </w:pPr>
          </w:p>
        </w:tc>
      </w:tr>
      <w:tr>
        <w:trPr>
          <w:trHeight w:val="223"/>
        </w:trPr>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Borders>
              <w:top w:val="single" w:sz="8" w:color="0000FF"/>
            </w:tcBorders>
          </w:tcPr>
          <w:p>
            <w:pPr>
              <w:spacing w:after="0"/>
              <w:rPr>
                <w:sz w:val="19"/>
                <w:szCs w:val="19"/>
                <w:color w:val="auto"/>
              </w:rPr>
            </w:pPr>
          </w:p>
        </w:tc>
        <w:tc>
          <w:tcPr>
            <w:tcW w:w="11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9"/>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0000FF"/>
              </w:rPr>
              <w:t>Form of Restricted Stock Award Agreement.</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23"/>
        </w:trPr>
        <w:tc>
          <w:tcPr>
            <w:tcW w:w="5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0000FF"/>
            </w:tcBorders>
            <w:shd w:val="clear" w:color="auto" w:fill="CCEEFF"/>
          </w:tcPr>
          <w:p>
            <w:pPr>
              <w:spacing w:after="0"/>
              <w:rPr>
                <w:sz w:val="19"/>
                <w:szCs w:val="19"/>
                <w:color w:val="auto"/>
              </w:rPr>
            </w:pPr>
          </w:p>
        </w:tc>
        <w:tc>
          <w:tcPr>
            <w:tcW w:w="114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r>
      <w:tr>
        <w:trPr>
          <w:trHeight w:val="189"/>
        </w:trPr>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Form of rTSR Performance-Based Restricted Stock Award Agreement.</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23"/>
        </w:trPr>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Borders>
              <w:top w:val="single" w:sz="8" w:color="0000FF"/>
            </w:tcBorders>
          </w:tcPr>
          <w:p>
            <w:pPr>
              <w:spacing w:after="0"/>
              <w:rPr>
                <w:sz w:val="19"/>
                <w:szCs w:val="19"/>
                <w:color w:val="auto"/>
              </w:rPr>
            </w:pPr>
          </w:p>
        </w:tc>
        <w:tc>
          <w:tcPr>
            <w:tcW w:w="11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9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9"/>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0000FF"/>
              </w:rPr>
              <w:t>Form of Company Performance-Based Restricted Stock Award Agreement.</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23"/>
        </w:trPr>
        <w:tc>
          <w:tcPr>
            <w:tcW w:w="5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0000FF"/>
            </w:tcBorders>
            <w:shd w:val="clear" w:color="auto" w:fill="CCEEFF"/>
          </w:tcPr>
          <w:p>
            <w:pPr>
              <w:spacing w:after="0"/>
              <w:rPr>
                <w:sz w:val="19"/>
                <w:szCs w:val="19"/>
                <w:color w:val="auto"/>
              </w:rPr>
            </w:pPr>
          </w:p>
        </w:tc>
        <w:tc>
          <w:tcPr>
            <w:tcW w:w="114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960" w:type="dxa"/>
            <w:vAlign w:val="bottom"/>
            <w:tcBorders>
              <w:top w:val="single" w:sz="8" w:color="0000FF"/>
            </w:tcBorders>
            <w:shd w:val="clear" w:color="auto" w:fill="CCEEFF"/>
          </w:tcPr>
          <w:p>
            <w:pPr>
              <w:spacing w:after="0"/>
              <w:rPr>
                <w:sz w:val="19"/>
                <w:szCs w:val="19"/>
                <w:color w:val="auto"/>
              </w:rPr>
            </w:pPr>
          </w:p>
        </w:tc>
        <w:tc>
          <w:tcPr>
            <w:tcW w:w="200" w:type="dxa"/>
            <w:vAlign w:val="bottom"/>
            <w:tcBorders>
              <w:top w:val="single" w:sz="8" w:color="0000FF"/>
            </w:tcBorders>
            <w:shd w:val="clear" w:color="auto" w:fill="CCEEFF"/>
          </w:tcPr>
          <w:p>
            <w:pPr>
              <w:spacing w:after="0"/>
              <w:rPr>
                <w:sz w:val="19"/>
                <w:szCs w:val="19"/>
                <w:color w:val="auto"/>
              </w:rPr>
            </w:pPr>
          </w:p>
        </w:tc>
        <w:tc>
          <w:tcPr>
            <w:tcW w:w="260" w:type="dxa"/>
            <w:vAlign w:val="bottom"/>
            <w:tcBorders>
              <w:top w:val="single" w:sz="8" w:color="0000FF"/>
            </w:tcBorders>
            <w:shd w:val="clear" w:color="auto" w:fill="CCEEFF"/>
          </w:tcPr>
          <w:p>
            <w:pPr>
              <w:spacing w:after="0"/>
              <w:rPr>
                <w:sz w:val="19"/>
                <w:szCs w:val="19"/>
                <w:color w:val="auto"/>
              </w:rPr>
            </w:pPr>
          </w:p>
        </w:tc>
        <w:tc>
          <w:tcPr>
            <w:tcW w:w="280" w:type="dxa"/>
            <w:vAlign w:val="bottom"/>
            <w:tcBorders>
              <w:top w:val="single" w:sz="8" w:color="0000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r>
      <w:tr>
        <w:trPr>
          <w:trHeight w:val="189"/>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Rule 13a-15(e)/15d-15(e) and 13a-15(f)/15d-15(f) Certification.</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23"/>
        </w:trPr>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Borders>
              <w:top w:val="single" w:sz="8" w:color="0000FF"/>
            </w:tcBorders>
          </w:tcPr>
          <w:p>
            <w:pPr>
              <w:spacing w:after="0"/>
              <w:rPr>
                <w:sz w:val="19"/>
                <w:szCs w:val="19"/>
                <w:color w:val="auto"/>
              </w:rPr>
            </w:pPr>
          </w:p>
        </w:tc>
        <w:tc>
          <w:tcPr>
            <w:tcW w:w="11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96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9"/>
        </w:trPr>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0000FF"/>
              </w:rPr>
              <w:t>Rule 13a-15(e)/15d-15(e) and 13a-15(f)/15d-15(f) Certification.</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23"/>
        </w:trPr>
        <w:tc>
          <w:tcPr>
            <w:tcW w:w="5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0000FF"/>
            </w:tcBorders>
            <w:shd w:val="clear" w:color="auto" w:fill="CCEEFF"/>
          </w:tcPr>
          <w:p>
            <w:pPr>
              <w:spacing w:after="0"/>
              <w:rPr>
                <w:sz w:val="19"/>
                <w:szCs w:val="19"/>
                <w:color w:val="auto"/>
              </w:rPr>
            </w:pPr>
          </w:p>
        </w:tc>
        <w:tc>
          <w:tcPr>
            <w:tcW w:w="114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960" w:type="dxa"/>
            <w:vAlign w:val="bottom"/>
            <w:tcBorders>
              <w:top w:val="single" w:sz="8" w:color="0000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r>
      <w:tr>
        <w:trPr>
          <w:trHeight w:val="189"/>
        </w:trPr>
        <w:tc>
          <w:tcPr>
            <w:tcW w:w="5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32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Section 1350 Certification.</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23"/>
        </w:trPr>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Borders>
              <w:top w:val="single" w:sz="8" w:color="0000FF"/>
            </w:tcBorders>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2"/>
        </w:trPr>
        <w:tc>
          <w:tcPr>
            <w:tcW w:w="10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7"/>
                <w:szCs w:val="17"/>
                <w:color w:val="auto"/>
              </w:rPr>
            </w:pPr>
          </w:p>
        </w:tc>
        <w:tc>
          <w:tcPr>
            <w:tcW w:w="5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Instance Document - the instant document does not appear in the Interactive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23"/>
        </w:trPr>
        <w:tc>
          <w:tcPr>
            <w:tcW w:w="5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Data File because its XBRL tags are embedded within the Inline XBRL document</w:t>
            </w: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33"/>
        </w:trPr>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0"/>
                <w:szCs w:val="20"/>
                <w:color w:val="auto"/>
              </w:rPr>
            </w:pPr>
          </w:p>
        </w:tc>
        <w:tc>
          <w:tcPr>
            <w:tcW w:w="56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3"/>
        </w:trPr>
        <w:tc>
          <w:tcPr>
            <w:tcW w:w="10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101.CAL</w:t>
            </w:r>
          </w:p>
        </w:tc>
        <w:tc>
          <w:tcPr>
            <w:tcW w:w="20" w:type="dxa"/>
            <w:vAlign w:val="bottom"/>
            <w:shd w:val="clear" w:color="auto" w:fill="CCEEFF"/>
          </w:tcPr>
          <w:p>
            <w:pPr>
              <w:spacing w:after="0"/>
              <w:rPr>
                <w:sz w:val="21"/>
                <w:szCs w:val="21"/>
                <w:color w:val="auto"/>
              </w:rPr>
            </w:pPr>
          </w:p>
        </w:tc>
        <w:tc>
          <w:tcPr>
            <w:tcW w:w="5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33"/>
        </w:trPr>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20"/>
                <w:szCs w:val="20"/>
                <w:color w:val="auto"/>
              </w:rPr>
            </w:pPr>
          </w:p>
        </w:tc>
        <w:tc>
          <w:tcPr>
            <w:tcW w:w="56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3"/>
        </w:trPr>
        <w:tc>
          <w:tcPr>
            <w:tcW w:w="10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101.LAB</w:t>
            </w:r>
          </w:p>
        </w:tc>
        <w:tc>
          <w:tcPr>
            <w:tcW w:w="20" w:type="dxa"/>
            <w:vAlign w:val="bottom"/>
            <w:shd w:val="clear" w:color="auto" w:fill="CCEEFF"/>
          </w:tcPr>
          <w:p>
            <w:pPr>
              <w:spacing w:after="0"/>
              <w:rPr>
                <w:sz w:val="21"/>
                <w:szCs w:val="21"/>
                <w:color w:val="auto"/>
              </w:rPr>
            </w:pPr>
          </w:p>
        </w:tc>
        <w:tc>
          <w:tcPr>
            <w:tcW w:w="5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33"/>
        </w:trPr>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20"/>
                <w:szCs w:val="20"/>
                <w:color w:val="auto"/>
              </w:rPr>
            </w:pPr>
          </w:p>
        </w:tc>
        <w:tc>
          <w:tcPr>
            <w:tcW w:w="56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3"/>
        </w:trPr>
        <w:tc>
          <w:tcPr>
            <w:tcW w:w="56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auto"/>
                <w:w w:val="99"/>
              </w:rPr>
              <w:t>104</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cover page from this Current Report on Form 10-Q formatted as Inline XBRL</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6" w:name="page27"/>
    <w:bookmarkEnd w:id="26"/>
    <w:p>
      <w:pPr>
        <w:spacing w:after="0" w:line="2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50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CARTER’S, INC.</w:t>
            </w:r>
          </w:p>
        </w:tc>
      </w:tr>
      <w:tr>
        <w:trPr>
          <w:trHeight w:val="858"/>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April 26, 2024</w:t>
            </w:r>
          </w:p>
        </w:tc>
        <w:tc>
          <w:tcPr>
            <w:tcW w:w="9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MICHAEL D. CASEY</w:t>
            </w:r>
          </w:p>
        </w:tc>
      </w:tr>
      <w:tr>
        <w:trPr>
          <w:trHeight w:val="40"/>
        </w:trPr>
        <w:tc>
          <w:tcPr>
            <w:tcW w:w="1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223"/>
        </w:trPr>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D. Casey</w:t>
            </w:r>
          </w:p>
        </w:tc>
      </w:tr>
      <w:tr>
        <w:trPr>
          <w:trHeight w:val="243"/>
        </w:trPr>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Chairman, Chief Executive Officer and President</w:t>
            </w:r>
          </w:p>
        </w:tc>
      </w:tr>
      <w:tr>
        <w:trPr>
          <w:trHeight w:val="257"/>
        </w:trPr>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200" w:type="dxa"/>
        <w:tblCellMar>
          <w:top w:w="0" w:type="dxa"/>
          <w:left w:w="0" w:type="dxa"/>
          <w:bottom w:w="0" w:type="dxa"/>
          <w:right w:w="0" w:type="dxa"/>
        </w:tblCellMar>
      </w:tblPr>
      <w:tr>
        <w:trPr>
          <w:trHeight w:val="210"/>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April 26, 2024</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RICHARD F. WESTENBERGER</w:t>
            </w:r>
          </w:p>
        </w:tc>
      </w:tr>
      <w:tr>
        <w:trPr>
          <w:trHeight w:val="40"/>
        </w:trPr>
        <w:tc>
          <w:tcPr>
            <w:tcW w:w="278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223"/>
        </w:trPr>
        <w:tc>
          <w:tcPr>
            <w:tcW w:w="278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Richard F. Westenberger</w:t>
            </w:r>
          </w:p>
        </w:tc>
      </w:tr>
      <w:tr>
        <w:trPr>
          <w:trHeight w:val="243"/>
        </w:trPr>
        <w:tc>
          <w:tcPr>
            <w:tcW w:w="278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Senior Executive Vice President,</w:t>
            </w:r>
          </w:p>
        </w:tc>
      </w:tr>
      <w:tr>
        <w:trPr>
          <w:trHeight w:val="256"/>
        </w:trPr>
        <w:tc>
          <w:tcPr>
            <w:tcW w:w="2780" w:type="dxa"/>
            <w:vAlign w:val="bottom"/>
          </w:tcPr>
          <w:p>
            <w:pPr>
              <w:spacing w:after="0"/>
              <w:rPr>
                <w:sz w:val="22"/>
                <w:szCs w:val="22"/>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Chief Financial Officer and Chief Operating Officer</w:t>
            </w:r>
          </w:p>
        </w:tc>
      </w:tr>
      <w:tr>
        <w:trPr>
          <w:trHeight w:val="257"/>
        </w:trPr>
        <w:tc>
          <w:tcPr>
            <w:tcW w:w="2780" w:type="dxa"/>
            <w:vAlign w:val="bottom"/>
          </w:tcPr>
          <w:p>
            <w:pPr>
              <w:spacing w:after="0"/>
              <w:rPr>
                <w:sz w:val="22"/>
                <w:szCs w:val="22"/>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340"/>
          </w:cols>
          <w:pgMar w:left="320" w:top="1440" w:right="1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Award Agreement</w:t>
      </w:r>
    </w:p>
    <w:p>
      <w:pPr>
        <w:spacing w:after="0" w:line="224"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22"/>
          <w:szCs w:val="22"/>
          <w:color w:val="auto"/>
        </w:rPr>
        <w:t>This Restricted Stock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and Carter’s,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the Carter’s, Inc. Amended and Restated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All capitalized terms not otherwise defined herein shall have the meaning provided in the Plan.</w:t>
      </w:r>
    </w:p>
    <w:p>
      <w:pPr>
        <w:spacing w:after="0" w:line="167" w:lineRule="exact"/>
        <w:rPr>
          <w:sz w:val="20"/>
          <w:szCs w:val="20"/>
          <w:color w:val="auto"/>
        </w:rPr>
      </w:pPr>
    </w:p>
    <w:p>
      <w:pPr>
        <w:ind w:left="660" w:right="560"/>
        <w:spacing w:after="0" w:line="469" w:lineRule="auto"/>
        <w:rPr>
          <w:sz w:val="20"/>
          <w:szCs w:val="20"/>
          <w:color w:val="auto"/>
        </w:rPr>
      </w:pPr>
      <w:r>
        <w:rPr>
          <w:rFonts w:ascii="Times New Roman" w:cs="Times New Roman" w:eastAsia="Times New Roman" w:hAnsi="Times New Roman"/>
          <w:sz w:val="21"/>
          <w:szCs w:val="21"/>
          <w:color w:val="auto"/>
        </w:rPr>
        <w:t>WHEREAS, the Company has adopted the Plan, pursuant to which awards of Restricted Stock may be granted; WHEREAS, the Participant has agreed to terms of employment with the Company or certain of its subsidiaries; and</w:t>
      </w:r>
    </w:p>
    <w:p>
      <w:pPr>
        <w:spacing w:after="0" w:line="1" w:lineRule="exact"/>
        <w:rPr>
          <w:sz w:val="20"/>
          <w:szCs w:val="20"/>
          <w:color w:val="auto"/>
        </w:rPr>
      </w:pPr>
    </w:p>
    <w:p>
      <w:pPr>
        <w:ind w:right="860" w:firstLine="648"/>
        <w:spacing w:after="0" w:line="271" w:lineRule="auto"/>
        <w:rPr>
          <w:sz w:val="20"/>
          <w:szCs w:val="20"/>
          <w:color w:val="auto"/>
        </w:rPr>
      </w:pPr>
      <w:r>
        <w:rPr>
          <w:rFonts w:ascii="Times New Roman" w:cs="Times New Roman" w:eastAsia="Times New Roman" w:hAnsi="Times New Roman"/>
          <w:sz w:val="22"/>
          <w:szCs w:val="22"/>
          <w:color w:val="auto"/>
        </w:rPr>
        <w:t>WHEREAS, as part of the Participant’s compensation, the Company wishes to grant the Participant the award of Restricted Stock, and Participant wishes to accept such grant through an online system, as provided for herein.</w:t>
      </w:r>
    </w:p>
    <w:p>
      <w:pPr>
        <w:spacing w:after="0" w:line="171"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receipt and sufficiency of which are hereby acknowledged, the parties agree as follows:</w:t>
      </w:r>
    </w:p>
    <w:p>
      <w:pPr>
        <w:spacing w:after="0" w:line="154" w:lineRule="exact"/>
        <w:rPr>
          <w:sz w:val="20"/>
          <w:szCs w:val="20"/>
          <w:color w:val="auto"/>
        </w:rPr>
      </w:pPr>
    </w:p>
    <w:p>
      <w:pPr>
        <w:ind w:left="1300" w:right="40" w:hanging="644"/>
        <w:spacing w:after="0" w:line="252" w:lineRule="auto"/>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Award</w:t>
      </w:r>
      <w:r>
        <w:rPr>
          <w:rFonts w:ascii="Times New Roman" w:cs="Times New Roman" w:eastAsia="Times New Roman" w:hAnsi="Times New Roman"/>
          <w:sz w:val="22"/>
          <w:szCs w:val="22"/>
          <w:color w:val="auto"/>
        </w:rPr>
        <w:t>. The Company hereby grants an Award to the Participant on the “Grant Date” shown in the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Details” box in the “Grant Summary – Grant Detail” screen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consisting of the number of shares of Stock shown in the “Shares Granted” line of the “Award Details” box in the “Grant Summary – Grant Detail” screen (the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on the terms and conditions and subject to the restrictions described in this Agreement and in the Plan (which is incorporated herein by reference with the same effect as if set forth herein in full) in addition to such other restrictions, if any, as may be imposed by law.</w:t>
      </w:r>
    </w:p>
    <w:p>
      <w:pPr>
        <w:spacing w:after="0" w:line="174" w:lineRule="exact"/>
        <w:rPr>
          <w:rFonts w:ascii="Times New Roman" w:cs="Times New Roman" w:eastAsia="Times New Roman" w:hAnsi="Times New Roman"/>
          <w:sz w:val="22"/>
          <w:szCs w:val="22"/>
          <w:color w:val="auto"/>
        </w:rPr>
      </w:pPr>
    </w:p>
    <w:p>
      <w:pPr>
        <w:jc w:val="both"/>
        <w:ind w:left="1300" w:right="240" w:hanging="644"/>
        <w:spacing w:after="0" w:line="259" w:lineRule="auto"/>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Meaning of Certain Terms</w:t>
      </w:r>
      <w:r>
        <w:rPr>
          <w:rFonts w:ascii="Times New Roman" w:cs="Times New Roman" w:eastAsia="Times New Roman" w:hAnsi="Times New Roman"/>
          <w:sz w:val="22"/>
          <w:szCs w:val="22"/>
          <w:color w:val="auto"/>
        </w:rPr>
        <w:t>. Except as otherwise expressly provided herein, all terms used herein and not defined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shall have the same meaning as in the Plan. The term “vest” as used herein with respect to any Restricted Stock means the lapsing of the restrictions described herein with respect to such Restricted Stock.</w:t>
      </w:r>
    </w:p>
    <w:p>
      <w:pPr>
        <w:spacing w:after="0" w:line="179" w:lineRule="exact"/>
        <w:rPr>
          <w:rFonts w:ascii="Times New Roman" w:cs="Times New Roman" w:eastAsia="Times New Roman" w:hAnsi="Times New Roman"/>
          <w:sz w:val="22"/>
          <w:szCs w:val="22"/>
          <w:color w:val="auto"/>
        </w:rPr>
      </w:pPr>
    </w:p>
    <w:p>
      <w:pPr>
        <w:ind w:left="1300" w:right="140" w:hanging="644"/>
        <w:spacing w:after="0" w:line="250" w:lineRule="auto"/>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Restrictions</w:t>
      </w:r>
      <w:r>
        <w:rPr>
          <w:rFonts w:ascii="Times New Roman" w:cs="Times New Roman" w:eastAsia="Times New Roman" w:hAnsi="Times New Roman"/>
          <w:sz w:val="22"/>
          <w:szCs w:val="22"/>
          <w:color w:val="auto"/>
        </w:rPr>
        <w:t>. Subject to any exceptions set forth in this Agreement or the Plan, during the Restricted Period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defined herein), the Restricted Stock or the rights relating thereto may not be assigned, alienated, pledged, attached, sold or otherwise transferred or encumbered by the Participant. Any attempt to assign, alienate, pledge, attach, sell or otherwise transfer or encumber the Restricted Stock or the rights relating thereto during the Restricted Period shall be wholly ineffective and, if any such attempt is made, the Restricted Stock will be forfeited by the Participant and all of the Participant’s rights to such Restricted Stock shall immediately terminate without any payment or consideration by the Company.</w:t>
      </w:r>
    </w:p>
    <w:p>
      <w:pPr>
        <w:sectPr>
          <w:pgSz w:w="11900" w:h="16838" w:orient="portrait"/>
          <w:cols w:equalWidth="0" w:num="1">
            <w:col w:w="11240"/>
          </w:cols>
          <w:pgMar w:left="320" w:top="122" w:right="339" w:bottom="1440" w:gutter="0" w:footer="0" w:header="0"/>
        </w:sectPr>
      </w:pPr>
    </w:p>
    <w:bookmarkStart w:id="28" w:name="page29"/>
    <w:bookmarkEnd w:id="28"/>
    <w:p>
      <w:pPr>
        <w:ind w:left="644" w:right="120" w:hanging="644"/>
        <w:spacing w:after="0" w:line="250" w:lineRule="auto"/>
        <w:tabs>
          <w:tab w:leader="none" w:pos="64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Forfeiture Risk</w:t>
      </w:r>
      <w:r>
        <w:rPr>
          <w:rFonts w:ascii="Times New Roman" w:cs="Times New Roman" w:eastAsia="Times New Roman" w:hAnsi="Times New Roman"/>
          <w:sz w:val="22"/>
          <w:szCs w:val="22"/>
          <w:color w:val="auto"/>
        </w:rPr>
        <w:t>. If the Participant’s Employment ceases for any reason, except as specifically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Paragraph 7 below, any then-outstanding and unvested Restricted Stock shall be automatically and immediately forfeited. The Participant hereby (i) appoints the Company as the attorney-in-fact of the Participant to take such actions as may be necessary or appropriate to effectuate a transfer of the record ownership of any such Restricted Stock that is unvested and forfeited hereunder; (ii) agrees to deliver to the Company, as a precondition to the issuance of any certificate or certificates with respect to unvested Restricted Stock hereunder, one or more stock powers, endorsed in blank, with respect to such Restricted Stock; and (iii) agrees to sign such other powers and take such other actions as the Company may reasonably request to accomplish the transfer or forfeiture of any unvested Restricted Stock that is forfeited hereunder.</w:t>
      </w:r>
    </w:p>
    <w:p>
      <w:pPr>
        <w:spacing w:after="0" w:line="179" w:lineRule="exact"/>
        <w:rPr>
          <w:rFonts w:ascii="Times New Roman" w:cs="Times New Roman" w:eastAsia="Times New Roman" w:hAnsi="Times New Roman"/>
          <w:sz w:val="22"/>
          <w:szCs w:val="22"/>
          <w:color w:val="auto"/>
        </w:rPr>
      </w:pPr>
    </w:p>
    <w:p>
      <w:pPr>
        <w:jc w:val="both"/>
        <w:ind w:left="644" w:right="500" w:hanging="644"/>
        <w:spacing w:after="0" w:line="259" w:lineRule="auto"/>
        <w:tabs>
          <w:tab w:leader="none" w:pos="64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Retention of Certificates</w:t>
      </w:r>
      <w:r>
        <w:rPr>
          <w:rFonts w:ascii="Times New Roman" w:cs="Times New Roman" w:eastAsia="Times New Roman" w:hAnsi="Times New Roman"/>
          <w:sz w:val="22"/>
          <w:szCs w:val="22"/>
          <w:color w:val="auto"/>
        </w:rPr>
        <w:t>. The Company shall hold any certificates representing unvested Restricted Stock.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unvested Restricted Stock is held in book entry form, the Participant agrees that the Company may give stop transfer instructions to the depository to ensure compliance with the provisions hereof.</w:t>
      </w:r>
    </w:p>
    <w:p>
      <w:pPr>
        <w:spacing w:after="0" w:line="16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Vesting of Restricted Stock</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1304" w:hanging="656"/>
        <w:spacing w:after="0" w:line="284" w:lineRule="auto"/>
        <w:tabs>
          <w:tab w:leader="none" w:pos="129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Paragraph 7 below, the Restricted Stock acquired hereunder shall vest, in accordance with the provisions of this Agreement and applicable provisions of the Plan as follows:</w:t>
      </w:r>
    </w:p>
    <w:p>
      <w:pPr>
        <w:spacing w:after="0" w:line="143"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One-fourth (1/4) of the award shall become vested on the first anniversary of the Grant Date;</w:t>
      </w:r>
    </w:p>
    <w:p>
      <w:pPr>
        <w:spacing w:after="0" w:line="21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One-fourth (1/4) of the award shall become vested on the second anniversary of the Grant Date;</w:t>
      </w:r>
    </w:p>
    <w:p>
      <w:pPr>
        <w:spacing w:after="0" w:line="21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One-fourth (1/4) of the award shall become vested on the third anniversary of the Grant Date; and</w:t>
      </w:r>
    </w:p>
    <w:p>
      <w:pPr>
        <w:spacing w:after="0" w:line="231" w:lineRule="exact"/>
        <w:rPr>
          <w:rFonts w:ascii="Times New Roman" w:cs="Times New Roman" w:eastAsia="Times New Roman" w:hAnsi="Times New Roman"/>
          <w:sz w:val="21"/>
          <w:szCs w:val="21"/>
          <w:color w:val="auto"/>
        </w:rPr>
      </w:pPr>
    </w:p>
    <w:p>
      <w:pPr>
        <w:ind w:left="1944" w:right="320" w:hanging="648"/>
        <w:spacing w:after="0" w:line="284" w:lineRule="auto"/>
        <w:tabs>
          <w:tab w:leader="none" w:pos="1922"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final one-fourth (1/4) of the award shall become vested on the fourth anniversary of the Grant Date.</w:t>
      </w:r>
    </w:p>
    <w:p>
      <w:pPr>
        <w:spacing w:after="0" w:line="143" w:lineRule="exact"/>
        <w:rPr>
          <w:rFonts w:ascii="Times New Roman" w:cs="Times New Roman" w:eastAsia="Times New Roman" w:hAnsi="Times New Roman"/>
          <w:sz w:val="22"/>
          <w:szCs w:val="22"/>
          <w:color w:val="auto"/>
        </w:rPr>
      </w:pPr>
    </w:p>
    <w:p>
      <w:pPr>
        <w:ind w:left="1304" w:right="360" w:hanging="656"/>
        <w:spacing w:after="0" w:line="271" w:lineRule="auto"/>
        <w:tabs>
          <w:tab w:leader="none" w:pos="130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Restricted Stock shall vest as to one hundred percent (100%) of the total number of Restricted Stock on the date of a Covered Transaction.</w:t>
      </w:r>
    </w:p>
    <w:p>
      <w:pPr>
        <w:spacing w:after="0" w:line="157" w:lineRule="exact"/>
        <w:rPr>
          <w:rFonts w:ascii="Times New Roman" w:cs="Times New Roman" w:eastAsia="Times New Roman" w:hAnsi="Times New Roman"/>
          <w:sz w:val="22"/>
          <w:szCs w:val="22"/>
          <w:color w:val="auto"/>
        </w:rPr>
      </w:pPr>
    </w:p>
    <w:p>
      <w:pPr>
        <w:ind w:left="1304" w:right="200" w:hanging="656"/>
        <w:spacing w:after="0" w:line="271" w:lineRule="auto"/>
        <w:tabs>
          <w:tab w:leader="none" w:pos="129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over which the Restricted Stock vests is referred to as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for purposes of this Agreement.</w:t>
      </w:r>
    </w:p>
    <w:p>
      <w:pPr>
        <w:spacing w:after="0" w:line="16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Death or Disability; Covered Transaction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44"/>
          </w:cols>
          <w:pgMar w:left="976" w:top="1418" w:right="379" w:bottom="1440" w:gutter="0" w:footer="0" w:header="0"/>
        </w:sectPr>
      </w:pPr>
    </w:p>
    <w:bookmarkStart w:id="29" w:name="page30"/>
    <w:bookmarkEnd w:id="29"/>
    <w:p>
      <w:pPr>
        <w:ind w:left="1304" w:right="160" w:hanging="656"/>
        <w:spacing w:after="0" w:line="271" w:lineRule="auto"/>
        <w:tabs>
          <w:tab w:leader="none" w:pos="129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dies prior to the Restricted Stock vesting, one hundred percent (100%) of the Restricted Stock shall automatically vest upon Participant’s death.</w:t>
      </w:r>
    </w:p>
    <w:p>
      <w:pPr>
        <w:spacing w:after="0" w:line="157" w:lineRule="exact"/>
        <w:rPr>
          <w:rFonts w:ascii="Times New Roman" w:cs="Times New Roman" w:eastAsia="Times New Roman" w:hAnsi="Times New Roman"/>
          <w:sz w:val="22"/>
          <w:szCs w:val="22"/>
          <w:color w:val="auto"/>
        </w:rPr>
      </w:pPr>
    </w:p>
    <w:p>
      <w:pPr>
        <w:ind w:left="1304" w:right="160" w:hanging="656"/>
        <w:spacing w:after="0" w:line="252" w:lineRule="auto"/>
        <w:tabs>
          <w:tab w:leader="none" w:pos="1304"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becomes disabled due to injury or illness and is unable to serve as an Employee for a period of time not exceeding six (6) months and returns to serve as an Employee after such disability, the Participant’s vesting schedule in the Restricted Stock will not be affected by such disability. If the Participant becomes disabled due to injury or illness and the Company, in its sole discretion, determines the Participant is unable to serve as Employee for a period of time reasonably expected to exceed six (6) months, one hundred percent (100%) of the Participant’s Restricted Stock will vest automatically upon such determination.</w:t>
      </w:r>
    </w:p>
    <w:p>
      <w:pPr>
        <w:spacing w:after="0" w:line="179" w:lineRule="exact"/>
        <w:rPr>
          <w:rFonts w:ascii="Times New Roman" w:cs="Times New Roman" w:eastAsia="Times New Roman" w:hAnsi="Times New Roman"/>
          <w:sz w:val="22"/>
          <w:szCs w:val="22"/>
          <w:color w:val="auto"/>
        </w:rPr>
      </w:pPr>
    </w:p>
    <w:p>
      <w:pPr>
        <w:ind w:left="1304" w:right="780" w:hanging="656"/>
        <w:spacing w:after="0" w:line="271" w:lineRule="auto"/>
        <w:tabs>
          <w:tab w:leader="none" w:pos="129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Transaction is consummated, the Restricted Stock shall vest as provided in Paragraph 6(b).</w:t>
      </w:r>
    </w:p>
    <w:p>
      <w:pPr>
        <w:spacing w:after="0" w:line="153" w:lineRule="exact"/>
        <w:rPr>
          <w:rFonts w:ascii="Times New Roman" w:cs="Times New Roman" w:eastAsia="Times New Roman" w:hAnsi="Times New Roman"/>
          <w:sz w:val="22"/>
          <w:szCs w:val="22"/>
          <w:color w:val="auto"/>
        </w:rPr>
      </w:pPr>
    </w:p>
    <w:p>
      <w:pPr>
        <w:ind w:left="644" w:hanging="644"/>
        <w:spacing w:after="0" w:line="275" w:lineRule="auto"/>
        <w:tabs>
          <w:tab w:leader="none" w:pos="6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Legend</w:t>
      </w:r>
      <w:r>
        <w:rPr>
          <w:rFonts w:ascii="Times New Roman" w:cs="Times New Roman" w:eastAsia="Times New Roman" w:hAnsi="Times New Roman"/>
          <w:sz w:val="22"/>
          <w:szCs w:val="22"/>
          <w:color w:val="auto"/>
        </w:rPr>
        <w:t>. Book entry records representing unvested Restricted Stock shall be held by the Company’s transfer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any such records shall contain a legend substantially in the following form:</w:t>
      </w:r>
    </w:p>
    <w:p>
      <w:pPr>
        <w:spacing w:after="0" w:line="153" w:lineRule="exact"/>
        <w:rPr>
          <w:rFonts w:ascii="Times New Roman" w:cs="Times New Roman" w:eastAsia="Times New Roman" w:hAnsi="Times New Roman"/>
          <w:sz w:val="22"/>
          <w:szCs w:val="22"/>
          <w:color w:val="auto"/>
        </w:rPr>
      </w:pPr>
    </w:p>
    <w:p>
      <w:pPr>
        <w:ind w:left="644" w:right="58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TRANSFERABILITY OF THIS CERTIFICATE AND THE SHARES OF STOCK REPRESENTED HEREBY ARE SUBJECT TO THE TERMS AND CONDITIONS (INCLUDING FORFEITURE) OF CARTER’S, INC.’S AMENDED AND RESTATED EQUITY INCENTIVE PLAN AND A RESTRICTED STOCK AWARD AGREEMENT ENTERED INTO BETWEEN THE REGISTERED OWNER AND CARTER’S, INC. COPIES OF SUCH PLAN AND AGREEMENT ARE ON FILE IN THE OFFICES OF CARTER’S, INC.</w:t>
      </w:r>
    </w:p>
    <w:p>
      <w:pPr>
        <w:spacing w:after="0" w:line="194" w:lineRule="exact"/>
        <w:rPr>
          <w:rFonts w:ascii="Times New Roman" w:cs="Times New Roman" w:eastAsia="Times New Roman" w:hAnsi="Times New Roman"/>
          <w:sz w:val="22"/>
          <w:szCs w:val="22"/>
          <w:color w:val="auto"/>
        </w:rPr>
      </w:pPr>
    </w:p>
    <w:p>
      <w:pPr>
        <w:ind w:left="644" w:right="12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the vesting of any Restricted Stock, the Company shall cause shares of Stock underlying such Restricted Stock, without the aforesaid legend, to be issued and delivered to the Participant. The Company may take such steps, as it deems necessary or appropriate, to record and manifest the restrictions applicable to such Restricted Stock.</w:t>
      </w:r>
    </w:p>
    <w:p>
      <w:pPr>
        <w:spacing w:after="0" w:line="175" w:lineRule="exact"/>
        <w:rPr>
          <w:rFonts w:ascii="Times New Roman" w:cs="Times New Roman" w:eastAsia="Times New Roman" w:hAnsi="Times New Roman"/>
          <w:sz w:val="22"/>
          <w:szCs w:val="22"/>
          <w:color w:val="auto"/>
        </w:rPr>
      </w:pPr>
    </w:p>
    <w:p>
      <w:pPr>
        <w:ind w:left="644" w:hanging="644"/>
        <w:spacing w:after="0" w:line="251" w:lineRule="auto"/>
        <w:tabs>
          <w:tab w:leader="none" w:pos="6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Dividends Equivalents, etc</w:t>
      </w:r>
      <w:r>
        <w:rPr>
          <w:rFonts w:ascii="Times New Roman" w:cs="Times New Roman" w:eastAsia="Times New Roman" w:hAnsi="Times New Roman"/>
          <w:sz w:val="22"/>
          <w:szCs w:val="22"/>
          <w:color w:val="auto"/>
        </w:rPr>
        <w:t>. The Participant shall be entitled, as to one hundred percent (100%) of the total number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shares, to (i) receive a cash payment equal to the amount of any and all dividends or other cash distributions paid with respect to those shares of Restricted Stock of which Participant is the record owner on the record date for such dividend or other distribution, and (ii) vote any shares of Stock of which Participant is the record owner on the record date for such vote;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property (other than cash) distributed with respect to any share of Restricted Stock(the “</w:t>
      </w:r>
      <w:r>
        <w:rPr>
          <w:rFonts w:ascii="Times New Roman" w:cs="Times New Roman" w:eastAsia="Times New Roman" w:hAnsi="Times New Roman"/>
          <w:sz w:val="22"/>
          <w:szCs w:val="22"/>
          <w:u w:val="single" w:color="auto"/>
          <w:color w:val="auto"/>
        </w:rPr>
        <w:t>Associated Share</w:t>
      </w:r>
      <w:r>
        <w:rPr>
          <w:rFonts w:ascii="Times New Roman" w:cs="Times New Roman" w:eastAsia="Times New Roman" w:hAnsi="Times New Roman"/>
          <w:sz w:val="22"/>
          <w:szCs w:val="22"/>
          <w:color w:val="auto"/>
        </w:rPr>
        <w:t>”) acquired hereunder, including without limitation a distribution of Stock by reason of a stock dividend, stock split or otherwise, or a distribution of other securities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24"/>
          </w:cols>
          <w:pgMar w:left="976" w:top="1422" w:right="399" w:bottom="1440" w:gutter="0" w:footer="0" w:header="0"/>
        </w:sectPr>
      </w:pPr>
    </w:p>
    <w:bookmarkStart w:id="30" w:name="page31"/>
    <w:bookmarkEnd w:id="30"/>
    <w:p>
      <w:pPr>
        <w:ind w:left="644"/>
        <w:spacing w:after="0" w:line="250" w:lineRule="auto"/>
        <w:rPr>
          <w:sz w:val="20"/>
          <w:szCs w:val="20"/>
          <w:color w:val="auto"/>
        </w:rPr>
      </w:pPr>
      <w:r>
        <w:rPr>
          <w:rFonts w:ascii="Times New Roman" w:cs="Times New Roman" w:eastAsia="Times New Roman" w:hAnsi="Times New Roman"/>
          <w:sz w:val="22"/>
          <w:szCs w:val="22"/>
          <w:color w:val="auto"/>
        </w:rPr>
        <w:t xml:space="preserve">respect to an Associated Share, shall be subject to the restrictions of this Agreement in the same manner and for so long as the Associated Share remains subject to such restrictions, and shall be promptly forfeited if and when the Associated Share is so forfeited; </w:t>
      </w:r>
      <w:r>
        <w:rPr>
          <w:rFonts w:ascii="Times New Roman" w:cs="Times New Roman" w:eastAsia="Times New Roman" w:hAnsi="Times New Roman"/>
          <w:sz w:val="22"/>
          <w:szCs w:val="22"/>
          <w:i w:val="1"/>
          <w:iCs w:val="1"/>
          <w:color w:val="auto"/>
        </w:rPr>
        <w:t>and further provided</w:t>
      </w:r>
      <w:r>
        <w:rPr>
          <w:rFonts w:ascii="Times New Roman" w:cs="Times New Roman" w:eastAsia="Times New Roman" w:hAnsi="Times New Roman"/>
          <w:sz w:val="22"/>
          <w:szCs w:val="22"/>
          <w:color w:val="auto"/>
        </w:rPr>
        <w:t>, that the Administrator may require that any cash distribution with respect to the Restricted Stock other than a normal cash dividend be placed in escrow or otherwise made subject to such restrictions as the Administrator deems appropriate to carry out the intent of the Plan. References in this Agreement to the Restricted Stock shall refer in the same way to any such restricted amounts.</w:t>
      </w:r>
    </w:p>
    <w:p>
      <w:pPr>
        <w:spacing w:after="0" w:line="176" w:lineRule="exact"/>
        <w:rPr>
          <w:sz w:val="20"/>
          <w:szCs w:val="20"/>
          <w:color w:val="auto"/>
        </w:rPr>
      </w:pPr>
    </w:p>
    <w:p>
      <w:pPr>
        <w:ind w:left="644" w:right="20" w:hanging="644"/>
        <w:spacing w:after="0" w:line="258" w:lineRule="auto"/>
        <w:tabs>
          <w:tab w:leader="none" w:pos="64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Sale of Vested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Participant understands that any sale of vested Restricted Stock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 will be subject to the satisfaction of (i) any applicable tax withholding requirements with respect to the vesting or transfer of such Restricted Stock; (ii) any requirements that the Company may reasonably impose; and (iii) applicable requirements of federal and state securities laws.</w:t>
      </w:r>
    </w:p>
    <w:p>
      <w:pPr>
        <w:spacing w:after="0" w:line="167" w:lineRule="exact"/>
        <w:rPr>
          <w:rFonts w:ascii="Times New Roman" w:cs="Times New Roman" w:eastAsia="Times New Roman" w:hAnsi="Times New Roman"/>
          <w:sz w:val="22"/>
          <w:szCs w:val="22"/>
          <w:color w:val="auto"/>
        </w:rPr>
      </w:pPr>
    </w:p>
    <w:p>
      <w:pPr>
        <w:ind w:left="644" w:hanging="644"/>
        <w:spacing w:after="0" w:line="247" w:lineRule="auto"/>
        <w:tabs>
          <w:tab w:leader="none" w:pos="63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Certain Tax Matters</w:t>
      </w:r>
      <w:r>
        <w:rPr>
          <w:rFonts w:ascii="Times New Roman" w:cs="Times New Roman" w:eastAsia="Times New Roman" w:hAnsi="Times New Roman"/>
          <w:sz w:val="22"/>
          <w:szCs w:val="22"/>
          <w:color w:val="auto"/>
        </w:rPr>
        <w:t>. The Participant expressly acknowledges that the Participant has been advised to confer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promptly with a professional tax advisor to consider whether the Participant should make a so-called “83(b) election” with respect to the Restricted Stock. Any such election, to be effective, must be made in accordance with applicable regulations (including, without limitation, the requirement to provide a copy of such election to the Company in advance of filing such election under the Internal Revenue Code) and within thirty (30) days following the date of this award. The Company has made no recommendation to the Participant with respect to the advisability of making such an election. In addition, the award or vesting of the Restricted Stock acquired hereunder, and the payment of dividends with respect to such Restricted Stock, may give rise to “wages” subject to withholding. The undersigned expressly acknowledges and agrees that his/her rights hereunder are subject to his/her promptly paying to the Company in cash (or by such other means as may be acceptable to the Administrator in its discretion, including, if the Administrator so determines, by the delivery of previously acquired Stock or Restricted Stock acquired hereunder or by the withholding of amounts from any payment hereunder) all taxes required to be withheld in connection with such award, vesting or payment. Notwithstanding any action the Company takes with respect to any or all income tax, social insurance, payroll tax, or other tax-related withholding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the ultimate liability for all Tax-Related Items is and remains the Participant’s responsibility and the Company (i) makes no representation or undertakings regarding the treatment of any Tax-Related Items in connection with the grant or vesting of the Restricted Stock or the subsequent sale of any shares; and (ii) does not commit to structure the Restricted Stock to reduce or eliminate the Participant’s liability for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44"/>
          </w:cols>
          <w:pgMar w:left="976" w:top="1422" w:right="379" w:bottom="1440" w:gutter="0" w:footer="0" w:header="0"/>
        </w:sectPr>
      </w:pPr>
    </w:p>
    <w:bookmarkStart w:id="31" w:name="page32"/>
    <w:bookmarkEnd w:id="31"/>
    <w:p>
      <w:pPr>
        <w:ind w:left="644" w:right="120" w:hanging="644"/>
        <w:spacing w:after="0" w:line="259" w:lineRule="auto"/>
        <w:tabs>
          <w:tab w:leader="none" w:pos="6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Clawback</w:t>
      </w:r>
      <w:r>
        <w:rPr>
          <w:rFonts w:ascii="Times New Roman" w:cs="Times New Roman" w:eastAsia="Times New Roman" w:hAnsi="Times New Roman"/>
          <w:sz w:val="22"/>
          <w:szCs w:val="22"/>
          <w:color w:val="auto"/>
        </w:rPr>
        <w:t>. The Participant acknowledges and agrees that the Restricted Stock is subject to Section 10 of the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Clawback Policy, and by accepting this award, the Participant is agreeing to be bound by the Clawback Policy.</w:t>
      </w:r>
    </w:p>
    <w:p>
      <w:pPr>
        <w:spacing w:after="0" w:line="179" w:lineRule="exact"/>
        <w:rPr>
          <w:rFonts w:ascii="Times New Roman" w:cs="Times New Roman" w:eastAsia="Times New Roman" w:hAnsi="Times New Roman"/>
          <w:sz w:val="22"/>
          <w:szCs w:val="22"/>
          <w:color w:val="auto"/>
        </w:rPr>
      </w:pPr>
    </w:p>
    <w:p>
      <w:pPr>
        <w:ind w:left="644" w:hanging="644"/>
        <w:spacing w:after="0" w:line="252" w:lineRule="auto"/>
        <w:tabs>
          <w:tab w:leader="none" w:pos="6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Plan Document</w:t>
      </w:r>
      <w:r>
        <w:rPr>
          <w:rFonts w:ascii="Times New Roman" w:cs="Times New Roman" w:eastAsia="Times New Roman" w:hAnsi="Times New Roman"/>
          <w:sz w:val="22"/>
          <w:szCs w:val="22"/>
          <w:color w:val="auto"/>
        </w:rPr>
        <w:t>. By signing below, the Participant acknowledges receipt of a copy of the Plan and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Participant has read and understands the terms and provisions thereof and hereof, and accepts the Restricted Stock subject to all of the terms and conditions of the Plan and this Agreement. The Participant acknowledges that there may be adverse tax consequences upon the grant or vesting of the Restricted Stock or disposition of the underlying shares and that the Participant has been advised to consult his or her tax advisor prior to such grant, vesting, or disposition.</w:t>
      </w:r>
    </w:p>
    <w:p>
      <w:pPr>
        <w:spacing w:after="0" w:line="174" w:lineRule="exact"/>
        <w:rPr>
          <w:rFonts w:ascii="Times New Roman" w:cs="Times New Roman" w:eastAsia="Times New Roman" w:hAnsi="Times New Roman"/>
          <w:sz w:val="22"/>
          <w:szCs w:val="22"/>
          <w:color w:val="auto"/>
        </w:rPr>
      </w:pPr>
    </w:p>
    <w:p>
      <w:pPr>
        <w:ind w:left="644" w:hanging="644"/>
        <w:spacing w:after="0" w:line="253" w:lineRule="auto"/>
        <w:tabs>
          <w:tab w:leader="none" w:pos="6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Governing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and all claims or disputes arising out of or based upon this Agreement or relating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75" w:lineRule="exact"/>
        <w:rPr>
          <w:rFonts w:ascii="Times New Roman" w:cs="Times New Roman" w:eastAsia="Times New Roman" w:hAnsi="Times New Roman"/>
          <w:sz w:val="22"/>
          <w:szCs w:val="22"/>
          <w:color w:val="auto"/>
        </w:rPr>
      </w:pPr>
    </w:p>
    <w:p>
      <w:pPr>
        <w:ind w:left="644" w:right="60" w:hanging="644"/>
        <w:spacing w:after="0" w:line="265" w:lineRule="auto"/>
        <w:tabs>
          <w:tab w:leader="none" w:pos="6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Interpretation</w:t>
      </w:r>
      <w:r>
        <w:rPr>
          <w:rFonts w:ascii="Times New Roman" w:cs="Times New Roman" w:eastAsia="Times New Roman" w:hAnsi="Times New Roman"/>
          <w:sz w:val="22"/>
          <w:szCs w:val="22"/>
          <w:color w:val="auto"/>
        </w:rPr>
        <w:t>. Any dispute regarding the interpretation of this Agreement shall be submitted by the Participant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to the Administrator for review. The resolution of such dispute by the Administrator shall be final and binding on the Participant and the Company.</w:t>
      </w:r>
    </w:p>
    <w:p>
      <w:pPr>
        <w:spacing w:after="0" w:line="161" w:lineRule="exact"/>
        <w:rPr>
          <w:rFonts w:ascii="Times New Roman" w:cs="Times New Roman" w:eastAsia="Times New Roman" w:hAnsi="Times New Roman"/>
          <w:sz w:val="22"/>
          <w:szCs w:val="22"/>
          <w:color w:val="auto"/>
        </w:rPr>
      </w:pPr>
    </w:p>
    <w:p>
      <w:pPr>
        <w:ind w:left="644" w:right="160" w:hanging="644"/>
        <w:spacing w:after="0" w:line="258" w:lineRule="auto"/>
        <w:tabs>
          <w:tab w:leader="none" w:pos="6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Restricted Stock Subject to Plan</w:t>
      </w:r>
      <w:r>
        <w:rPr>
          <w:rFonts w:ascii="Times New Roman" w:cs="Times New Roman" w:eastAsia="Times New Roman" w:hAnsi="Times New Roman"/>
          <w:sz w:val="22"/>
          <w:szCs w:val="22"/>
          <w:color w:val="auto"/>
        </w:rPr>
        <w:t>. This Agreement is subject to the Plan as approved by the Company’s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67" w:lineRule="exact"/>
        <w:rPr>
          <w:rFonts w:ascii="Times New Roman" w:cs="Times New Roman" w:eastAsia="Times New Roman" w:hAnsi="Times New Roman"/>
          <w:sz w:val="22"/>
          <w:szCs w:val="22"/>
          <w:color w:val="auto"/>
        </w:rPr>
      </w:pPr>
    </w:p>
    <w:p>
      <w:pPr>
        <w:ind w:left="644" w:hanging="644"/>
        <w:spacing w:after="0" w:line="254" w:lineRule="auto"/>
        <w:tabs>
          <w:tab w:leader="none" w:pos="6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Agreement. This Agreement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may be transferred by will or the laws of descent or distribution.</w:t>
      </w:r>
    </w:p>
    <w:p>
      <w:pPr>
        <w:spacing w:after="0" w:line="173" w:lineRule="exact"/>
        <w:rPr>
          <w:rFonts w:ascii="Times New Roman" w:cs="Times New Roman" w:eastAsia="Times New Roman" w:hAnsi="Times New Roman"/>
          <w:sz w:val="22"/>
          <w:szCs w:val="22"/>
          <w:color w:val="auto"/>
        </w:rPr>
      </w:pPr>
    </w:p>
    <w:p>
      <w:pPr>
        <w:jc w:val="both"/>
        <w:ind w:left="644" w:right="80" w:hanging="644"/>
        <w:spacing w:after="0" w:line="259" w:lineRule="auto"/>
        <w:tabs>
          <w:tab w:leader="none" w:pos="6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validity or enforceability of any other provision of the Plan or this Agreement, and each provision of the Plan and this Agreement shall be severable and enforceable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44"/>
          </w:cols>
          <w:pgMar w:left="976" w:top="1418" w:right="379" w:bottom="1440" w:gutter="0" w:footer="0" w:header="0"/>
        </w:sectPr>
      </w:pPr>
    </w:p>
    <w:bookmarkStart w:id="32" w:name="page33"/>
    <w:bookmarkEnd w:id="32"/>
    <w:p>
      <w:pPr>
        <w:ind w:left="1300" w:hanging="644"/>
        <w:spacing w:after="0" w:line="269" w:lineRule="auto"/>
        <w:tabs>
          <w:tab w:leader="none" w:pos="13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Discretionary Nature of Plan</w:t>
      </w:r>
      <w:r>
        <w:rPr>
          <w:rFonts w:ascii="Times New Roman" w:cs="Times New Roman" w:eastAsia="Times New Roman" w:hAnsi="Times New Roman"/>
          <w:sz w:val="21"/>
          <w:szCs w:val="21"/>
          <w:color w:val="auto"/>
        </w:rPr>
        <w:t>. The Plan is discretionary and may be amended, cancelled or terminated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at any time, in its discretion. The grant of the Restricted Stock in this Agreement does not create any contractual right or other right to receive any Restricted Stock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58" w:lineRule="exact"/>
        <w:rPr>
          <w:rFonts w:ascii="Times New Roman" w:cs="Times New Roman" w:eastAsia="Times New Roman" w:hAnsi="Times New Roman"/>
          <w:sz w:val="21"/>
          <w:szCs w:val="21"/>
          <w:color w:val="auto"/>
        </w:rPr>
      </w:pPr>
    </w:p>
    <w:p>
      <w:pPr>
        <w:jc w:val="both"/>
        <w:ind w:left="1300" w:right="160" w:hanging="644"/>
        <w:spacing w:after="0" w:line="259" w:lineRule="auto"/>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Amendment</w:t>
      </w:r>
      <w:r>
        <w:rPr>
          <w:rFonts w:ascii="Times New Roman" w:cs="Times New Roman" w:eastAsia="Times New Roman" w:hAnsi="Times New Roman"/>
          <w:sz w:val="22"/>
          <w:szCs w:val="22"/>
          <w:color w:val="auto"/>
        </w:rPr>
        <w:t>. The Administrator has the right to amend, alter, suspend, discontinue or cancel the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prospectively or retroactively; provided that, no such amendment shall adversely affect the Participant’s material rights under this Agreement without the Participant’s consent.</w:t>
      </w:r>
    </w:p>
    <w:p>
      <w:pPr>
        <w:spacing w:after="0" w:line="179" w:lineRule="exact"/>
        <w:rPr>
          <w:rFonts w:ascii="Times New Roman" w:cs="Times New Roman" w:eastAsia="Times New Roman" w:hAnsi="Times New Roman"/>
          <w:sz w:val="22"/>
          <w:szCs w:val="22"/>
          <w:color w:val="auto"/>
        </w:rPr>
      </w:pPr>
    </w:p>
    <w:p>
      <w:pPr>
        <w:ind w:left="1300" w:right="80" w:hanging="644"/>
        <w:spacing w:after="0" w:line="251" w:lineRule="auto"/>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80"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parties to this Agreement have duly authorized this Agreement to be effective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rTSR Performance-Based Restricted Stock Award Agreement</w:t>
      </w:r>
    </w:p>
    <w:p>
      <w:pPr>
        <w:spacing w:after="0" w:line="224"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22"/>
          <w:szCs w:val="22"/>
          <w:color w:val="auto"/>
        </w:rPr>
        <w:t>This rTSR Performance-Based Restricted Stock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and Carter’s,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the Carter’s, Inc. Amended and Restated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All capitalized terms not otherwise defined herein shall have the meaning provided in the Plan.</w:t>
      </w:r>
    </w:p>
    <w:p>
      <w:pPr>
        <w:spacing w:after="0" w:line="176" w:lineRule="exact"/>
        <w:rPr>
          <w:sz w:val="20"/>
          <w:szCs w:val="20"/>
          <w:color w:val="auto"/>
        </w:rPr>
      </w:pPr>
    </w:p>
    <w:p>
      <w:pPr>
        <w:ind w:left="640" w:right="560"/>
        <w:spacing w:after="0" w:line="469" w:lineRule="auto"/>
        <w:rPr>
          <w:sz w:val="20"/>
          <w:szCs w:val="20"/>
          <w:color w:val="auto"/>
        </w:rPr>
      </w:pPr>
      <w:r>
        <w:rPr>
          <w:rFonts w:ascii="Times New Roman" w:cs="Times New Roman" w:eastAsia="Times New Roman" w:hAnsi="Times New Roman"/>
          <w:sz w:val="21"/>
          <w:szCs w:val="21"/>
          <w:color w:val="auto"/>
        </w:rPr>
        <w:t>WHEREAS, the Company has adopted the Plan, pursuant to which awards of Restricted Stock may be granted; WHEREAS, the Participant has agreed to terms of employment with the Company or certain of its subsidiaries; and</w:t>
      </w:r>
    </w:p>
    <w:p>
      <w:pPr>
        <w:spacing w:after="0" w:line="1"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22"/>
          <w:szCs w:val="22"/>
          <w:color w:val="auto"/>
        </w:rPr>
        <w:t>WHEREAS, as part of the Participant’s compensation, the Company wishes to grant the Participant two separate performance-based awards of Restricted Stock, consisting of (1) a performance-based award with performance goals tied to the performance of the Company (to be set forth in a separate agreement) and (2) a performance-based award with a performance goal tied to rTSR metrics as described herein, and Participant wishes to accept such grant through an online system, as provided for herein.</w:t>
      </w:r>
    </w:p>
    <w:p>
      <w:pPr>
        <w:spacing w:after="0" w:line="179" w:lineRule="exact"/>
        <w:rPr>
          <w:sz w:val="20"/>
          <w:szCs w:val="20"/>
          <w:color w:val="auto"/>
        </w:rPr>
      </w:pPr>
    </w:p>
    <w:p>
      <w:pPr>
        <w:jc w:val="both"/>
        <w:ind w:firstLine="645"/>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receipt and sufficiency of which are hereby acknowledged, the parties agree as follows:</w:t>
      </w:r>
    </w:p>
    <w:p>
      <w:pPr>
        <w:spacing w:after="0" w:line="167" w:lineRule="exact"/>
        <w:rPr>
          <w:sz w:val="20"/>
          <w:szCs w:val="20"/>
          <w:color w:val="auto"/>
        </w:rPr>
      </w:pPr>
    </w:p>
    <w:p>
      <w:pPr>
        <w:jc w:val="both"/>
        <w:ind w:left="1280" w:hanging="644"/>
        <w:spacing w:after="0" w:line="247" w:lineRule="auto"/>
        <w:tabs>
          <w:tab w:leader="none" w:pos="12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Award</w:t>
      </w:r>
      <w:r>
        <w:rPr>
          <w:rFonts w:ascii="Times New Roman" w:cs="Times New Roman" w:eastAsia="Times New Roman" w:hAnsi="Times New Roman"/>
          <w:sz w:val="22"/>
          <w:szCs w:val="22"/>
          <w:color w:val="auto"/>
        </w:rPr>
        <w:t>. The Company hereby grants an award of Restricted Stock to the Participant on the “Grant Date” shown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“Grant Summary” box in the “Online Grant Summary” screen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consisting of (a) the number of shares of Stock shown in the “Granted” line of “Grant Summary” box in the “Online Grant Summary” screen (such amount, the “</w:t>
      </w:r>
      <w:r>
        <w:rPr>
          <w:rFonts w:ascii="Times New Roman" w:cs="Times New Roman" w:eastAsia="Times New Roman" w:hAnsi="Times New Roman"/>
          <w:sz w:val="22"/>
          <w:szCs w:val="22"/>
          <w:u w:val="single" w:color="auto"/>
          <w:color w:val="auto"/>
        </w:rPr>
        <w:t>Target Amount</w:t>
      </w:r>
      <w:r>
        <w:rPr>
          <w:rFonts w:ascii="Times New Roman" w:cs="Times New Roman" w:eastAsia="Times New Roman" w:hAnsi="Times New Roman"/>
          <w:sz w:val="22"/>
          <w:szCs w:val="22"/>
          <w:color w:val="auto"/>
        </w:rPr>
        <w:t>” and such Stock, the “</w:t>
      </w:r>
      <w:r>
        <w:rPr>
          <w:rFonts w:ascii="Times New Roman" w:cs="Times New Roman" w:eastAsia="Times New Roman" w:hAnsi="Times New Roman"/>
          <w:sz w:val="22"/>
          <w:szCs w:val="22"/>
          <w:u w:val="single" w:color="auto"/>
          <w:color w:val="auto"/>
        </w:rPr>
        <w:t>Target Stock</w:t>
      </w:r>
      <w:r>
        <w:rPr>
          <w:rFonts w:ascii="Times New Roman" w:cs="Times New Roman" w:eastAsia="Times New Roman" w:hAnsi="Times New Roman"/>
          <w:sz w:val="22"/>
          <w:szCs w:val="22"/>
          <w:color w:val="auto"/>
        </w:rPr>
        <w:t>”) and (b) an additional number of shares of Stock equal to up to one hundred percent (100%) of the Target Amount (the “</w:t>
      </w:r>
      <w:r>
        <w:rPr>
          <w:rFonts w:ascii="Times New Roman" w:cs="Times New Roman" w:eastAsia="Times New Roman" w:hAnsi="Times New Roman"/>
          <w:sz w:val="22"/>
          <w:szCs w:val="22"/>
          <w:u w:val="single" w:color="auto"/>
          <w:color w:val="auto"/>
        </w:rPr>
        <w:t>Bonus Stock</w:t>
      </w:r>
      <w:r>
        <w:rPr>
          <w:rFonts w:ascii="Times New Roman" w:cs="Times New Roman" w:eastAsia="Times New Roman" w:hAnsi="Times New Roman"/>
          <w:sz w:val="22"/>
          <w:szCs w:val="22"/>
          <w:color w:val="auto"/>
        </w:rPr>
        <w:t>,” and together with the Target Stock,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each on the terms and conditions and subject to the restrictions described in this Agreement and in the Plan (which is incorporated herein by reference with the same effect as if set forth herein in full) in addition to such other restrictions, if any, as may be imposed by law. The number of shares of Restricted Stock that the Participant actually earns for the Performance Periods (up to the maximum numbers set forth above) will be determined by the level of achievement of the Performance Goal set forth in Paragraph 6 of this Agreement. For the avoidance of doubt, (x) shares of Target Stock will be issued to the Participant, subject to the provisions of the Plan and this Agreement (including Paragraph 3 and 4 hereof as to restrictions and forfeiture risks) as well as the performance goal and vesting requirements, and (y) shares of Bonus Stock, if any, will be issued to the Participant after the Certification Date set forth in Paragraph 6.c.</w:t>
      </w:r>
    </w:p>
    <w:p>
      <w:pPr>
        <w:sectPr>
          <w:pgSz w:w="11900" w:h="16838" w:orient="portrait"/>
          <w:cols w:equalWidth="0" w:num="1">
            <w:col w:w="11220"/>
          </w:cols>
          <w:pgMar w:left="340" w:top="122" w:right="339" w:bottom="1440" w:gutter="0" w:footer="0" w:header="0"/>
        </w:sectPr>
      </w:pPr>
    </w:p>
    <w:bookmarkStart w:id="34" w:name="page35"/>
    <w:bookmarkEnd w:id="34"/>
    <w:p>
      <w:pPr>
        <w:spacing w:after="0" w:line="86" w:lineRule="exact"/>
        <w:rPr>
          <w:sz w:val="20"/>
          <w:szCs w:val="20"/>
          <w:color w:val="auto"/>
        </w:rPr>
      </w:pPr>
    </w:p>
    <w:p>
      <w:pPr>
        <w:jc w:val="both"/>
        <w:ind w:left="644" w:hanging="644"/>
        <w:spacing w:after="0" w:line="259" w:lineRule="auto"/>
        <w:tabs>
          <w:tab w:leader="none" w:pos="6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Meaning of Certain Terms</w:t>
      </w:r>
      <w:r>
        <w:rPr>
          <w:rFonts w:ascii="Times New Roman" w:cs="Times New Roman" w:eastAsia="Times New Roman" w:hAnsi="Times New Roman"/>
          <w:sz w:val="22"/>
          <w:szCs w:val="22"/>
          <w:color w:val="auto"/>
        </w:rPr>
        <w:t>. Except as otherwise expressly provided herein, all terms used herein and not defined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shall have the same meaning as in the Plan. The term “vest” as used herein with respect to any Award means the lapsing of the restrictions described herein with respect to such Award.</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50" w:lineRule="auto"/>
        <w:tabs>
          <w:tab w:leader="none" w:pos="6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Restrictions</w:t>
      </w:r>
      <w:r>
        <w:rPr>
          <w:rFonts w:ascii="Times New Roman" w:cs="Times New Roman" w:eastAsia="Times New Roman" w:hAnsi="Times New Roman"/>
          <w:sz w:val="22"/>
          <w:szCs w:val="22"/>
          <w:color w:val="auto"/>
        </w:rPr>
        <w:t>. Subject to any exceptions set forth in this Agreement or the Plan, during the Restricted Period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defined herein), neither the Award nor the rights relating thereto, may be assigned, alienated, pledged, attached, sold or otherwise transferred or encumbered by the Participant. Any attempt to assign, alienate, pledge, attach, sell or otherwise transfer or encumber the Award or the rights relating thereto during the Restricted Period shall be wholly ineffective and, if any such attempt is made, the Award will be forfeited by the Participant and all of the Participant’s rights to such Award shall immediately terminate without any payment or consideration by the Company.</w:t>
      </w:r>
    </w:p>
    <w:p>
      <w:pPr>
        <w:spacing w:after="0" w:line="180" w:lineRule="exact"/>
        <w:rPr>
          <w:rFonts w:ascii="Times New Roman" w:cs="Times New Roman" w:eastAsia="Times New Roman" w:hAnsi="Times New Roman"/>
          <w:sz w:val="22"/>
          <w:szCs w:val="22"/>
          <w:color w:val="auto"/>
        </w:rPr>
      </w:pPr>
    </w:p>
    <w:p>
      <w:pPr>
        <w:jc w:val="both"/>
        <w:ind w:left="644" w:hanging="644"/>
        <w:spacing w:after="0" w:line="248" w:lineRule="auto"/>
        <w:tabs>
          <w:tab w:leader="none" w:pos="6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Forfeiture Risk</w:t>
      </w:r>
      <w:r>
        <w:rPr>
          <w:rFonts w:ascii="Times New Roman" w:cs="Times New Roman" w:eastAsia="Times New Roman" w:hAnsi="Times New Roman"/>
          <w:sz w:val="22"/>
          <w:szCs w:val="22"/>
          <w:color w:val="auto"/>
        </w:rPr>
        <w:t>. If the Participant’s Employment ceases for any reason, except as specifically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Paragraph 7 below, any then-outstanding and unvested Award shall be automatically and immediately forfeited. The Participant hereby (a) appoints the Company as the attorney-in-fact of the Participant to take such actions as may be necessary or appropriate to effectuate a transfer of the record ownership of any such Restricted Stock that is unvested and forfeited hereunder; (b) agrees to deliver to the Company, as a precondition to the issuance of any certificate or certificates with respect to unvested Restricted Stock hereunder, one or more stock powers, endorsed in blank, with respect to such Restricted Stock; and (c) agrees to sign such other powers and take such other actions as the Company may reasonably request to accomplish the transfer or forfeiture of any unvested Restricted Stock that is forfeited hereunder.</w:t>
      </w:r>
    </w:p>
    <w:p>
      <w:pPr>
        <w:spacing w:after="0" w:line="198" w:lineRule="exact"/>
        <w:rPr>
          <w:rFonts w:ascii="Times New Roman" w:cs="Times New Roman" w:eastAsia="Times New Roman" w:hAnsi="Times New Roman"/>
          <w:sz w:val="22"/>
          <w:szCs w:val="22"/>
          <w:color w:val="auto"/>
        </w:rPr>
      </w:pPr>
    </w:p>
    <w:p>
      <w:pPr>
        <w:jc w:val="both"/>
        <w:ind w:left="644" w:hanging="644"/>
        <w:spacing w:after="0" w:line="251" w:lineRule="auto"/>
        <w:tabs>
          <w:tab w:leader="none" w:pos="6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Retention of Certificates</w:t>
      </w:r>
      <w:r>
        <w:rPr>
          <w:rFonts w:ascii="Times New Roman" w:cs="Times New Roman" w:eastAsia="Times New Roman" w:hAnsi="Times New Roman"/>
          <w:sz w:val="22"/>
          <w:szCs w:val="22"/>
          <w:color w:val="auto"/>
        </w:rPr>
        <w:t>. The Company shall hold any certificates representing unvested Restricted Stock.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unvested Restricted Stock is held in book entry form, the Participant agrees that the Company may give stop transfer instructions to the depository to ensure compliance with the provisions hereof. Book entry records representing unvested Restricted Stock shall be held by the Company’s transfer agent, and any such records shall contain a legend substantially in the following form:</w:t>
      </w:r>
    </w:p>
    <w:p>
      <w:pPr>
        <w:spacing w:after="0" w:line="193" w:lineRule="exact"/>
        <w:rPr>
          <w:rFonts w:ascii="Times New Roman" w:cs="Times New Roman" w:eastAsia="Times New Roman" w:hAnsi="Times New Roman"/>
          <w:sz w:val="22"/>
          <w:szCs w:val="22"/>
          <w:color w:val="auto"/>
        </w:rPr>
      </w:pPr>
    </w:p>
    <w:p>
      <w:pPr>
        <w:jc w:val="both"/>
        <w:ind w:left="644"/>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TRANSFERABILITY OF THIS CERTIFICATE AND THE SHARES OF STOCK REPRESENTED HEREBY ARE SUBJECT TO THE TERMS AND CONDITIONS (INCLUDING FORFEITURE) OF CARTER’S, INC.’S AMENDED AND RESTATED EQUITY INCENTIVE PLAN AND A PERFORMANCE-BASED RESTRICTED STOCK AGREEMENT ENTERED INTO BETWEEN THE REGISTERED OWNER AND CARTER’S, INC. COPIES OF SUCH PLAN AND AGREEMENT ARE ON FILE IN THE OFFICES OF CARTER’S,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40" w:right="339" w:bottom="1440" w:gutter="0" w:footer="0" w:header="0"/>
        </w:sectPr>
      </w:pPr>
    </w:p>
    <w:bookmarkStart w:id="35" w:name="page36"/>
    <w:bookmarkEnd w:id="35"/>
    <w:p>
      <w:pPr>
        <w:spacing w:after="0" w:line="90"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22"/>
          <w:szCs w:val="22"/>
          <w:color w:val="auto"/>
        </w:rPr>
        <w:t>As soon as practicable following the vesting of any Restricted Stock, the Company shall cause shares of Stock underlying such Restricted Stock, without the aforesaid legend, to be issued and delivered to the Participant. The Company may take such steps, as it deems necessary or appropriate, to record and manifest the restrictions applicable to such Restricted Stock.</w:t>
      </w:r>
    </w:p>
    <w:p>
      <w:pPr>
        <w:spacing w:after="0" w:line="172" w:lineRule="exact"/>
        <w:rPr>
          <w:sz w:val="20"/>
          <w:szCs w:val="20"/>
          <w:color w:val="auto"/>
        </w:rPr>
      </w:pPr>
    </w:p>
    <w:p>
      <w:pPr>
        <w:ind w:left="644" w:hanging="644"/>
        <w:spacing w:after="0"/>
        <w:tabs>
          <w:tab w:leader="none" w:pos="6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Performance Goal and Vesting of Award</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1304" w:hanging="656"/>
        <w:spacing w:after="0" w:line="257" w:lineRule="auto"/>
        <w:tabs>
          <w:tab w:leader="none" w:pos="129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shall mean the Company’s [YEAR 1], [YEAR 2] and [YEAR 3] Fiscal Years. For purposes of this Agreement, the performance criteria used to establish the Performance Goal shall be rTSR (as defined below) (the “</w:t>
      </w:r>
      <w:r>
        <w:rPr>
          <w:rFonts w:ascii="Times New Roman" w:cs="Times New Roman" w:eastAsia="Times New Roman" w:hAnsi="Times New Roman"/>
          <w:sz w:val="22"/>
          <w:szCs w:val="22"/>
          <w:u w:val="single" w:color="auto"/>
          <w:color w:val="auto"/>
        </w:rPr>
        <w:t>Performance Goal</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the following terms have the following meanings:</w:t>
      </w:r>
    </w:p>
    <w:p>
      <w:pPr>
        <w:spacing w:after="0" w:line="219" w:lineRule="exact"/>
        <w:rPr>
          <w:rFonts w:ascii="Times New Roman" w:cs="Times New Roman" w:eastAsia="Times New Roman" w:hAnsi="Times New Roman"/>
          <w:sz w:val="22"/>
          <w:szCs w:val="22"/>
          <w:color w:val="auto"/>
        </w:rPr>
      </w:pPr>
    </w:p>
    <w:p>
      <w:pPr>
        <w:jc w:val="both"/>
        <w:ind w:left="1944" w:hanging="648"/>
        <w:spacing w:after="0" w:line="257" w:lineRule="auto"/>
        <w:tabs>
          <w:tab w:leader="none" w:pos="1936"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Comparator Group</w:t>
      </w:r>
      <w:r>
        <w:rPr>
          <w:rFonts w:ascii="Times New Roman" w:cs="Times New Roman" w:eastAsia="Times New Roman" w:hAnsi="Times New Roman"/>
          <w:sz w:val="22"/>
          <w:szCs w:val="22"/>
          <w:color w:val="auto"/>
        </w:rPr>
        <w:t xml:space="preserve">” consists of the companies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are from the [COMPARATOR GROUP INDEX], and subject to the Comparator Group Modification Rules set forth in Section 8.</w:t>
      </w:r>
    </w:p>
    <w:p>
      <w:pPr>
        <w:spacing w:after="0" w:line="172" w:lineRule="exact"/>
        <w:rPr>
          <w:rFonts w:ascii="Times New Roman" w:cs="Times New Roman" w:eastAsia="Times New Roman" w:hAnsi="Times New Roman"/>
          <w:sz w:val="22"/>
          <w:szCs w:val="22"/>
          <w:color w:val="auto"/>
        </w:rPr>
      </w:pPr>
    </w:p>
    <w:p>
      <w:pPr>
        <w:ind w:left="1944" w:hanging="648"/>
        <w:spacing w:after="0" w:line="271" w:lineRule="auto"/>
        <w:tabs>
          <w:tab w:leader="none" w:pos="1943"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rTSR</w:t>
      </w:r>
      <w:r>
        <w:rPr>
          <w:rFonts w:ascii="Times New Roman" w:cs="Times New Roman" w:eastAsia="Times New Roman" w:hAnsi="Times New Roman"/>
          <w:sz w:val="22"/>
          <w:szCs w:val="22"/>
          <w:color w:val="auto"/>
        </w:rPr>
        <w:t>” means the percentile ranking of the Company’s TSR, as measured relative to the TSR of each company in the Comparator Group for the Performance Period.</w:t>
      </w:r>
    </w:p>
    <w:p>
      <w:pPr>
        <w:spacing w:after="0" w:line="171" w:lineRule="exact"/>
        <w:rPr>
          <w:rFonts w:ascii="Times New Roman" w:cs="Times New Roman" w:eastAsia="Times New Roman" w:hAnsi="Times New Roman"/>
          <w:sz w:val="22"/>
          <w:szCs w:val="22"/>
          <w:color w:val="auto"/>
        </w:rPr>
      </w:pPr>
    </w:p>
    <w:p>
      <w:pPr>
        <w:jc w:val="both"/>
        <w:ind w:left="1944" w:hanging="648"/>
        <w:spacing w:after="0" w:line="247" w:lineRule="auto"/>
        <w:tabs>
          <w:tab w:leader="none" w:pos="1935"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or “Total Shareholder Return” for the Company, and for each company in the Comparator Group, as determined by the Administrator, shall be determined by comparing the rate of growth between (i) the average stock price for the Company and each company in the Comparator Group for the twenty (20) trading days prior to the start of the Performance Period, with dividends reinvested at the closing stock price of the applicable stock on the ex-dividend date, and (ii) the average stock price for the Company and each company in the Comparator Group for the final twenty (20) trading days of the Performance Period, with dividends reinvested at the closing stock price of the applicable stock on the ex-dividend date. The Total Shareholder Return calculation shall be adjusted in an equitable manner for any stock splits, reverse stock splits, or other similar transactions to the extent determined in the sole discretion of the Administrator.</w:t>
      </w:r>
    </w:p>
    <w:p>
      <w:pPr>
        <w:spacing w:after="0" w:line="204" w:lineRule="exact"/>
        <w:rPr>
          <w:rFonts w:ascii="Times New Roman" w:cs="Times New Roman" w:eastAsia="Times New Roman" w:hAnsi="Times New Roman"/>
          <w:sz w:val="22"/>
          <w:szCs w:val="22"/>
          <w:color w:val="auto"/>
        </w:rPr>
      </w:pPr>
    </w:p>
    <w:p>
      <w:pPr>
        <w:jc w:val="both"/>
        <w:ind w:left="1304" w:hanging="656"/>
        <w:spacing w:after="0" w:line="257" w:lineRule="auto"/>
        <w:tabs>
          <w:tab w:leader="none" w:pos="129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Paragraph 7 below, the number of shares of Target Stock and Bonus Stock underlying the Award that are eligible to vest as of the Vesting Date (as defined below) will be determined by the Administrator after the end of the [YEAR 3]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4"/>
          </w:cols>
          <w:pgMar w:left="976" w:top="1440" w:right="339" w:bottom="1440" w:gutter="0" w:footer="0" w:header="0"/>
        </w:sectPr>
      </w:pPr>
    </w:p>
    <w:bookmarkStart w:id="36" w:name="page37"/>
    <w:bookmarkEnd w:id="36"/>
    <w:p>
      <w:pPr>
        <w:spacing w:after="0" w:line="90" w:lineRule="exact"/>
        <w:rPr>
          <w:sz w:val="20"/>
          <w:szCs w:val="20"/>
          <w:color w:val="auto"/>
        </w:rPr>
      </w:pPr>
    </w:p>
    <w:p>
      <w:pPr>
        <w:jc w:val="both"/>
        <w:ind w:left="840"/>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End Date</w:t>
      </w:r>
      <w:r>
        <w:rPr>
          <w:rFonts w:ascii="Times New Roman" w:cs="Times New Roman" w:eastAsia="Times New Roman" w:hAnsi="Times New Roman"/>
          <w:sz w:val="22"/>
          <w:szCs w:val="22"/>
          <w:color w:val="auto"/>
        </w:rPr>
        <w:t>”), based on the level of achievement at the end of the Performance Period and the application of the Performance Formula to such Performance Goal, in accordance with this Paragraph 6. All determinations of whether the Performance Goal has been achieved, the maximum number of shares of Target Stock and Bonus Stock underlying the Award that are eligible to vest as a result of the application of the Performance Formula to the Performance Goal, and all other matters related to this Paragraph 6 shall be made by the Administrator in its sole discretion.</w:t>
      </w:r>
    </w:p>
    <w:p>
      <w:pPr>
        <w:spacing w:after="0" w:line="181" w:lineRule="exact"/>
        <w:rPr>
          <w:sz w:val="20"/>
          <w:szCs w:val="20"/>
          <w:color w:val="auto"/>
        </w:rPr>
      </w:pPr>
    </w:p>
    <w:p>
      <w:pPr>
        <w:jc w:val="both"/>
        <w:ind w:left="1480" w:hanging="648"/>
        <w:spacing w:after="0" w:line="251" w:lineRule="auto"/>
        <w:tabs>
          <w:tab w:leader="none" w:pos="147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completion of the [YEAR 3] Performance Period, the Administrator shall review and certify in writing whether, and to what extent, the Performance Goal has been achieved and, if so, calculate and certify in writing the number of shares of Target Stock and Bonus Stock that are eligible to vest, if any, based upon the application of the Performance Formula to the Performance Goal (such date of certification, the “</w:t>
      </w:r>
      <w:r>
        <w:rPr>
          <w:rFonts w:ascii="Times New Roman" w:cs="Times New Roman" w:eastAsia="Times New Roman" w:hAnsi="Times New Roman"/>
          <w:sz w:val="22"/>
          <w:szCs w:val="22"/>
          <w:u w:val="single" w:color="auto"/>
          <w:color w:val="auto"/>
        </w:rPr>
        <w:t>Certification Date</w:t>
      </w:r>
      <w:r>
        <w:rPr>
          <w:rFonts w:ascii="Times New Roman" w:cs="Times New Roman" w:eastAsia="Times New Roman" w:hAnsi="Times New Roman"/>
          <w:sz w:val="22"/>
          <w:szCs w:val="22"/>
          <w:color w:val="auto"/>
        </w:rPr>
        <w:t>,” and such shares of Stock, if any, the “</w:t>
      </w:r>
      <w:r>
        <w:rPr>
          <w:rFonts w:ascii="Times New Roman" w:cs="Times New Roman" w:eastAsia="Times New Roman" w:hAnsi="Times New Roman"/>
          <w:sz w:val="22"/>
          <w:szCs w:val="22"/>
          <w:u w:val="single" w:color="auto"/>
          <w:color w:val="auto"/>
        </w:rPr>
        <w:t>Earned Stock</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840" w:hanging="656"/>
        <w:spacing w:after="0" w:line="256" w:lineRule="auto"/>
        <w:tabs>
          <w:tab w:leader="none" w:pos="8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noted herein, the maximum number of Restricted Stock (and underlying shares of Stock), if any, as certified by the Administrator in accordance with Paragraph 6.c. of this Agreement, shall vest (and the restrictions set forth in this Agreement with respect to such Restricted Stock shall be lifted) on the Certification Date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840" w:hanging="656"/>
        <w:spacing w:after="0" w:line="271" w:lineRule="auto"/>
        <w:tabs>
          <w:tab w:leader="none" w:pos="82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Target Stock.</w:t>
      </w:r>
      <w:r>
        <w:rPr>
          <w:rFonts w:ascii="Times New Roman" w:cs="Times New Roman" w:eastAsia="Times New Roman" w:hAnsi="Times New Roman"/>
          <w:sz w:val="22"/>
          <w:szCs w:val="22"/>
          <w:color w:val="auto"/>
        </w:rPr>
        <w:t xml:space="preserve"> The number of shares of Target Stock eligible to vest, if any, shall be determined based on achievement of rTSR (such Target Stock, the “</w:t>
      </w:r>
      <w:r>
        <w:rPr>
          <w:rFonts w:ascii="Times New Roman" w:cs="Times New Roman" w:eastAsia="Times New Roman" w:hAnsi="Times New Roman"/>
          <w:sz w:val="22"/>
          <w:szCs w:val="22"/>
          <w:u w:val="single" w:color="auto"/>
          <w:color w:val="auto"/>
        </w:rPr>
        <w:t>rTSR Target Stock</w:t>
      </w:r>
      <w:r>
        <w:rPr>
          <w:rFonts w:ascii="Times New Roman" w:cs="Times New Roman" w:eastAsia="Times New Roman" w:hAnsi="Times New Roman"/>
          <w:sz w:val="22"/>
          <w:szCs w:val="22"/>
          <w:color w:val="auto"/>
        </w:rPr>
        <w:t>”) as set forth in the table below.</w:t>
      </w:r>
    </w:p>
    <w:p>
      <w:pPr>
        <w:spacing w:after="0" w:line="157" w:lineRule="exact"/>
        <w:rPr>
          <w:rFonts w:ascii="Times New Roman" w:cs="Times New Roman" w:eastAsia="Times New Roman" w:hAnsi="Times New Roman"/>
          <w:sz w:val="22"/>
          <w:szCs w:val="22"/>
          <w:color w:val="auto"/>
        </w:rPr>
      </w:pPr>
    </w:p>
    <w:p>
      <w:pPr>
        <w:jc w:val="both"/>
        <w:ind w:left="1480" w:hanging="648"/>
        <w:spacing w:after="0" w:line="263" w:lineRule="auto"/>
        <w:tabs>
          <w:tab w:leader="none" w:pos="147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rTSR Target Stock are eligible to vest based on rTSR measured at the end of [YEAR 3]. Shares of rTSR Target Stock that do not vest based on the Company’s actual performance are forfeited.</w:t>
      </w:r>
    </w:p>
    <w:p>
      <w:pPr>
        <w:spacing w:after="0" w:line="167" w:lineRule="exact"/>
        <w:rPr>
          <w:sz w:val="20"/>
          <w:szCs w:val="20"/>
          <w:color w:val="auto"/>
        </w:rPr>
      </w:pPr>
    </w:p>
    <w:p>
      <w:pPr>
        <w:ind w:left="1480" w:right="180" w:hanging="648"/>
        <w:spacing w:after="0" w:line="251" w:lineRule="auto"/>
        <w:tabs>
          <w:tab w:leader="none" w:pos="147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rTSR is below the Threshold set forth below, then zero percent (0%) of the rTSR Target Stock will vest. If rTSR is at the Threshold set forth below, then [THRESHOLD PERCENTAGE] of the rTSR Target Stock will vest. If rTSR is at or above the Target set forth below, then one hundred percent (100%) of the rTSR Target Stock will vest. If rTSR is between the various thresholds set forth in the table below, a pro-rata percentage of rTSR Target Stock relative to the applicable percentages will vest,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440" w:right="339" w:bottom="1440" w:gutter="0" w:footer="0" w:header="0"/>
        </w:sectPr>
      </w:pPr>
    </w:p>
    <w:bookmarkStart w:id="37" w:name="page38"/>
    <w:bookmarkEnd w:id="37"/>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997585</wp:posOffset>
            </wp:positionV>
            <wp:extent cx="5357495" cy="127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357495" cy="1277620"/>
                    </a:xfrm>
                    <a:prstGeom prst="rect">
                      <a:avLst/>
                    </a:prstGeom>
                    <a:noFill/>
                  </pic:spPr>
                </pic:pic>
              </a:graphicData>
            </a:graphic>
          </wp:anchor>
        </w:drawing>
      </w:r>
    </w:p>
    <w:p>
      <w:pPr>
        <w:ind w:left="3520"/>
        <w:spacing w:after="0"/>
        <w:rPr>
          <w:sz w:val="20"/>
          <w:szCs w:val="20"/>
          <w:color w:val="auto"/>
        </w:rPr>
      </w:pPr>
      <w:r>
        <w:rPr>
          <w:rFonts w:ascii="Times New Roman" w:cs="Times New Roman" w:eastAsia="Times New Roman" w:hAnsi="Times New Roman"/>
          <w:sz w:val="22"/>
          <w:szCs w:val="22"/>
          <w:b w:val="1"/>
          <w:bCs w:val="1"/>
          <w:color w:val="auto"/>
        </w:rPr>
        <w:t>rTSR Target Stock</w:t>
      </w:r>
    </w:p>
    <w:p>
      <w:pPr>
        <w:spacing w:after="0" w:line="42" w:lineRule="exact"/>
        <w:rPr>
          <w:sz w:val="20"/>
          <w:szCs w:val="20"/>
          <w:color w:val="auto"/>
        </w:rPr>
      </w:pPr>
    </w:p>
    <w:tbl>
      <w:tblPr>
        <w:tblLayout w:type="fixed"/>
        <w:tblInd w:w="180" w:type="dxa"/>
        <w:tblCellMar>
          <w:top w:w="0" w:type="dxa"/>
          <w:left w:w="0" w:type="dxa"/>
          <w:bottom w:w="0" w:type="dxa"/>
          <w:right w:w="0" w:type="dxa"/>
        </w:tblCellMar>
      </w:tblPr>
      <w:tr>
        <w:trPr>
          <w:trHeight w:val="320"/>
        </w:trPr>
        <w:tc>
          <w:tcPr>
            <w:tcW w:w="2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2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Actual rTSR</w:t>
            </w: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rTSR Target</w:t>
            </w:r>
          </w:p>
        </w:tc>
      </w:tr>
      <w:tr>
        <w:trPr>
          <w:trHeight w:val="286"/>
        </w:trPr>
        <w:tc>
          <w:tcPr>
            <w:tcW w:w="288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Stock Earned</w:t>
            </w:r>
          </w:p>
        </w:tc>
      </w:tr>
      <w:tr>
        <w:trPr>
          <w:trHeight w:val="42"/>
        </w:trPr>
        <w:tc>
          <w:tcPr>
            <w:tcW w:w="2880" w:type="dxa"/>
            <w:vAlign w:val="bottom"/>
            <w:tcBorders>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r>
      <w:tr>
        <w:trPr>
          <w:trHeight w:val="303"/>
        </w:trPr>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Threshold</w:t>
            </w: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[THRESHOLD</w:t>
            </w:r>
          </w:p>
        </w:tc>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[THRESHOLD</w:t>
            </w:r>
          </w:p>
        </w:tc>
      </w:tr>
      <w:tr>
        <w:trPr>
          <w:trHeight w:val="283"/>
        </w:trPr>
        <w:tc>
          <w:tcPr>
            <w:tcW w:w="288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PERFORMANCE]</w:t>
            </w:r>
          </w:p>
        </w:tc>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PERCENTAGE]</w:t>
            </w:r>
          </w:p>
        </w:tc>
      </w:tr>
      <w:tr>
        <w:trPr>
          <w:trHeight w:val="42"/>
        </w:trPr>
        <w:tc>
          <w:tcPr>
            <w:tcW w:w="2880" w:type="dxa"/>
            <w:vAlign w:val="bottom"/>
            <w:tcBorders>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r>
      <w:tr>
        <w:trPr>
          <w:trHeight w:val="302"/>
        </w:trPr>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Target</w:t>
            </w: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[TARGET PERFORMANCE]</w:t>
            </w:r>
          </w:p>
        </w:tc>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9"/>
        </w:trPr>
        <w:tc>
          <w:tcPr>
            <w:tcW w:w="288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bl>
    <w:p>
      <w:pPr>
        <w:spacing w:after="0" w:line="297" w:lineRule="exact"/>
        <w:rPr>
          <w:sz w:val="20"/>
          <w:szCs w:val="20"/>
          <w:color w:val="auto"/>
        </w:rPr>
      </w:pPr>
    </w:p>
    <w:p>
      <w:pPr>
        <w:jc w:val="both"/>
        <w:ind w:left="840" w:hanging="656"/>
        <w:spacing w:after="0" w:line="257" w:lineRule="auto"/>
        <w:tabs>
          <w:tab w:leader="none" w:pos="83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Stock</w:t>
      </w:r>
      <w:r>
        <w:rPr>
          <w:rFonts w:ascii="Times New Roman" w:cs="Times New Roman" w:eastAsia="Times New Roman" w:hAnsi="Times New Roman"/>
          <w:sz w:val="22"/>
          <w:szCs w:val="22"/>
          <w:color w:val="auto"/>
        </w:rPr>
        <w:t>. The number of shares of Bonus Stock eligible to be issued and vest, if any, shall be determined based on achievement of the Performance Goals set forth in the table below (such Bonus Stock, the “</w:t>
      </w:r>
      <w:r>
        <w:rPr>
          <w:rFonts w:ascii="Times New Roman" w:cs="Times New Roman" w:eastAsia="Times New Roman" w:hAnsi="Times New Roman"/>
          <w:sz w:val="22"/>
          <w:szCs w:val="22"/>
          <w:u w:val="single" w:color="auto"/>
          <w:color w:val="auto"/>
        </w:rPr>
        <w:t>rTSR Bonus Stock</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1480" w:hanging="648"/>
        <w:spacing w:after="0" w:line="263" w:lineRule="auto"/>
        <w:tabs>
          <w:tab w:leader="none" w:pos="147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rTSR Bonus Stock are eligible to be issued and vest based on rTSR measured at the end of [YEAR 3]. Shares of rTSR Bonus Stock that do not vest based on the Company’s actual performance are not eligible to be issued.</w:t>
      </w:r>
    </w:p>
    <w:p>
      <w:pPr>
        <w:spacing w:after="0" w:line="167" w:lineRule="exact"/>
        <w:rPr>
          <w:rFonts w:ascii="Times New Roman" w:cs="Times New Roman" w:eastAsia="Times New Roman" w:hAnsi="Times New Roman"/>
          <w:sz w:val="22"/>
          <w:szCs w:val="22"/>
          <w:color w:val="auto"/>
        </w:rPr>
      </w:pPr>
    </w:p>
    <w:p>
      <w:pPr>
        <w:jc w:val="both"/>
        <w:ind w:left="1480" w:hanging="648"/>
        <w:spacing w:after="0" w:line="253" w:lineRule="auto"/>
        <w:tabs>
          <w:tab w:leader="none" w:pos="147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rTSR is at or below the Bonus Stock Threshold set forth below, then zero percent (0%) of the rTSR Bonus Stock will vest. If rTSR is at or above the Bonus Stock Maximum set forth below, then one hundred percent (100%) of the rTSR Bonus Stock will vest. If rTSR is between the various thresholds set forth in the table below, a pro-rata percentage of rTSR Bonus Stock relative to the applicable percentages will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139700</wp:posOffset>
            </wp:positionV>
            <wp:extent cx="5357495" cy="1465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357495" cy="1465580"/>
                    </a:xfrm>
                    <a:prstGeom prst="rect">
                      <a:avLst/>
                    </a:prstGeom>
                    <a:noFill/>
                  </pic:spPr>
                </pic:pic>
              </a:graphicData>
            </a:graphic>
          </wp:anchor>
        </w:drawing>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rTSR Bonus Stock</w:t>
      </w:r>
    </w:p>
    <w:p>
      <w:pPr>
        <w:spacing w:after="0" w:line="42" w:lineRule="exact"/>
        <w:rPr>
          <w:sz w:val="20"/>
          <w:szCs w:val="20"/>
          <w:color w:val="auto"/>
        </w:rPr>
      </w:pPr>
    </w:p>
    <w:tbl>
      <w:tblPr>
        <w:tblLayout w:type="fixed"/>
        <w:tblInd w:w="180" w:type="dxa"/>
        <w:tblCellMar>
          <w:top w:w="0" w:type="dxa"/>
          <w:left w:w="0" w:type="dxa"/>
          <w:bottom w:w="0" w:type="dxa"/>
          <w:right w:w="0" w:type="dxa"/>
        </w:tblCellMar>
      </w:tblPr>
      <w:tr>
        <w:trPr>
          <w:trHeight w:val="320"/>
        </w:trPr>
        <w:tc>
          <w:tcPr>
            <w:tcW w:w="2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2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Actual rTSR</w:t>
            </w: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of rTSR Bonus</w:t>
            </w:r>
          </w:p>
        </w:tc>
        <w:tc>
          <w:tcPr>
            <w:tcW w:w="0" w:type="dxa"/>
            <w:vAlign w:val="bottom"/>
          </w:tcPr>
          <w:p>
            <w:pPr>
              <w:spacing w:after="0"/>
              <w:rPr>
                <w:sz w:val="1"/>
                <w:szCs w:val="1"/>
                <w:color w:val="auto"/>
              </w:rPr>
            </w:pPr>
          </w:p>
        </w:tc>
      </w:tr>
      <w:tr>
        <w:trPr>
          <w:trHeight w:val="151"/>
        </w:trPr>
        <w:tc>
          <w:tcPr>
            <w:tcW w:w="2880" w:type="dxa"/>
            <w:vAlign w:val="bottom"/>
            <w:tcBorders>
              <w:right w:val="single" w:sz="8" w:color="auto"/>
            </w:tcBorders>
          </w:tcPr>
          <w:p>
            <w:pPr>
              <w:spacing w:after="0"/>
              <w:rPr>
                <w:sz w:val="13"/>
                <w:szCs w:val="13"/>
                <w:color w:val="auto"/>
              </w:rPr>
            </w:pPr>
          </w:p>
        </w:tc>
        <w:tc>
          <w:tcPr>
            <w:tcW w:w="2960" w:type="dxa"/>
            <w:vAlign w:val="bottom"/>
            <w:tcBorders>
              <w:right w:val="single" w:sz="8" w:color="auto"/>
            </w:tcBorders>
            <w:vMerge w:val="continue"/>
          </w:tcPr>
          <w:p>
            <w:pPr>
              <w:spacing w:after="0"/>
              <w:rPr>
                <w:sz w:val="13"/>
                <w:szCs w:val="13"/>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Stock Earned</w:t>
            </w:r>
          </w:p>
        </w:tc>
        <w:tc>
          <w:tcPr>
            <w:tcW w:w="0" w:type="dxa"/>
            <w:vAlign w:val="bottom"/>
          </w:tcPr>
          <w:p>
            <w:pPr>
              <w:spacing w:after="0"/>
              <w:rPr>
                <w:sz w:val="1"/>
                <w:szCs w:val="1"/>
                <w:color w:val="auto"/>
              </w:rPr>
            </w:pPr>
          </w:p>
        </w:tc>
      </w:tr>
      <w:tr>
        <w:trPr>
          <w:trHeight w:val="135"/>
        </w:trPr>
        <w:tc>
          <w:tcPr>
            <w:tcW w:w="288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880" w:type="dxa"/>
            <w:vAlign w:val="bottom"/>
            <w:tcBorders>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Bonus Stock Threshold</w:t>
            </w: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[BONUS STOCK THRESHOLD</w:t>
            </w:r>
          </w:p>
        </w:tc>
        <w:tc>
          <w:tcPr>
            <w:tcW w:w="2600" w:type="dxa"/>
            <w:vAlign w:val="bottom"/>
            <w:vMerge w:val="restart"/>
          </w:tcPr>
          <w:p>
            <w:pPr>
              <w:jc w:val="right"/>
              <w:ind w:right="105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8"/>
        </w:trPr>
        <w:tc>
          <w:tcPr>
            <w:tcW w:w="2880" w:type="dxa"/>
            <w:vAlign w:val="bottom"/>
            <w:tcBorders>
              <w:right w:val="single" w:sz="8" w:color="auto"/>
            </w:tcBorders>
          </w:tcPr>
          <w:p>
            <w:pPr>
              <w:spacing w:after="0"/>
              <w:rPr>
                <w:sz w:val="12"/>
                <w:szCs w:val="12"/>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PERFORMANCE]</w:t>
            </w:r>
          </w:p>
        </w:tc>
        <w:tc>
          <w:tcPr>
            <w:tcW w:w="2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8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vMerge w:val="continue"/>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880" w:type="dxa"/>
            <w:vAlign w:val="bottom"/>
            <w:tcBorders>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Bonus Stock Maximum</w:t>
            </w: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[BONUS STOCK MAXIMUM</w:t>
            </w:r>
          </w:p>
        </w:tc>
        <w:tc>
          <w:tcPr>
            <w:tcW w:w="2600" w:type="dxa"/>
            <w:vAlign w:val="bottom"/>
            <w:vMerge w:val="restart"/>
          </w:tcPr>
          <w:p>
            <w:pPr>
              <w:jc w:val="right"/>
              <w:ind w:right="952"/>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148"/>
        </w:trPr>
        <w:tc>
          <w:tcPr>
            <w:tcW w:w="2880" w:type="dxa"/>
            <w:vAlign w:val="bottom"/>
            <w:tcBorders>
              <w:right w:val="single" w:sz="8" w:color="auto"/>
            </w:tcBorders>
          </w:tcPr>
          <w:p>
            <w:pPr>
              <w:spacing w:after="0"/>
              <w:rPr>
                <w:sz w:val="12"/>
                <w:szCs w:val="12"/>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PERFORMANCE]</w:t>
            </w:r>
          </w:p>
        </w:tc>
        <w:tc>
          <w:tcPr>
            <w:tcW w:w="2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8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vMerge w:val="continue"/>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880" w:type="dxa"/>
            <w:vAlign w:val="bottom"/>
            <w:tcBorders>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20"/>
          </w:cols>
          <w:pgMar w:left="1440" w:top="1440" w:right="339" w:bottom="1440" w:gutter="0" w:footer="0" w:header="0"/>
        </w:sectPr>
      </w:pPr>
    </w:p>
    <w:bookmarkStart w:id="38" w:name="page39"/>
    <w:bookmarkEnd w:id="38"/>
    <w:p>
      <w:pPr>
        <w:spacing w:after="0" w:line="90" w:lineRule="exact"/>
        <w:rPr>
          <w:sz w:val="20"/>
          <w:szCs w:val="20"/>
          <w:color w:val="auto"/>
        </w:rPr>
      </w:pPr>
    </w:p>
    <w:p>
      <w:pPr>
        <w:jc w:val="both"/>
        <w:ind w:left="1304" w:hanging="656"/>
        <w:spacing w:after="0" w:line="262" w:lineRule="auto"/>
        <w:tabs>
          <w:tab w:leader="none" w:pos="1304"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Award</w:t>
      </w:r>
      <w:r>
        <w:rPr>
          <w:rFonts w:ascii="Times New Roman" w:cs="Times New Roman" w:eastAsia="Times New Roman" w:hAnsi="Times New Roman"/>
          <w:sz w:val="21"/>
          <w:szCs w:val="21"/>
          <w:color w:val="auto"/>
        </w:rPr>
        <w:t>. The Company shall, as soon as administratively practicable after the Vesting Date of any portion of the Bonus Stock (but in no event later than March 11, [YEAR AFTER YEAR 3]) issue and effect delivery of the shares of Bonus Stock with respect to such vested portion to the Participant in accordance with Paragraph 6.d of this Agreement. No shares of the Bonus Stock will be issued to Participant pursuant to this award unless and until all legal requirements applicable to the issuance or transfer of such Bonus Stock have been complied with to the satisfaction of the Administrator. The Participant understands that any issuance of Stock upon vesting and settlement of the Award or any portion thereof by the Participant will be subject to the satisfaction of (i) any applicable tax withholding requirements with respect to the vesting or transfer of such Restricted Stock; (ii) any requirements that the Company may reasonably impose; and (iii) applicable requirements of federal and state securities laws.</w:t>
      </w:r>
    </w:p>
    <w:p>
      <w:pPr>
        <w:spacing w:after="0" w:line="171" w:lineRule="exact"/>
        <w:rPr>
          <w:rFonts w:ascii="Times New Roman" w:cs="Times New Roman" w:eastAsia="Times New Roman" w:hAnsi="Times New Roman"/>
          <w:sz w:val="21"/>
          <w:szCs w:val="21"/>
          <w:color w:val="auto"/>
        </w:rPr>
      </w:pPr>
    </w:p>
    <w:p>
      <w:pPr>
        <w:jc w:val="both"/>
        <w:ind w:left="1304" w:hanging="656"/>
        <w:spacing w:after="0" w:line="249" w:lineRule="auto"/>
        <w:tabs>
          <w:tab w:leader="none" w:pos="130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Transactions</w:t>
      </w:r>
      <w:r>
        <w:rPr>
          <w:rFonts w:ascii="Times New Roman" w:cs="Times New Roman" w:eastAsia="Times New Roman" w:hAnsi="Times New Roman"/>
          <w:sz w:val="22"/>
          <w:szCs w:val="22"/>
          <w:color w:val="auto"/>
        </w:rPr>
        <w:t>. Notwithstanding the foregoing, (i) if a Covered Transaction occurs on or after the Grant Date and before or on the Certification Date, then one hundred percent (100%) of the Target Stock shall vest on such date of the Covered Transaction and (ii) if a Covered Transaction occurs after the Certification Date and before or on the Vesting Date, then the Earned Stock shall vest on such date of the Covered Transaction. For the avoidance of doubt, no Bonus Stock shall vest in the event of a Covered Transaction that occurs on or after the Grant Date and before or on the Certification Date. Settlement shall be made as soon as practicable following the occurrence or consummation (as applicable) of the Covered Transaction but in no event later than the 60th day following such event.</w:t>
      </w:r>
    </w:p>
    <w:p>
      <w:pPr>
        <w:spacing w:after="0" w:line="181" w:lineRule="exact"/>
        <w:rPr>
          <w:rFonts w:ascii="Times New Roman" w:cs="Times New Roman" w:eastAsia="Times New Roman" w:hAnsi="Times New Roman"/>
          <w:sz w:val="22"/>
          <w:szCs w:val="22"/>
          <w:color w:val="auto"/>
        </w:rPr>
      </w:pPr>
    </w:p>
    <w:p>
      <w:pPr>
        <w:ind w:left="1304" w:hanging="656"/>
        <w:spacing w:after="0" w:line="284" w:lineRule="auto"/>
        <w:tabs>
          <w:tab w:leader="none" w:pos="129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period from the Grant Date until the Vesting Date is referred to as the “</w:t>
      </w:r>
      <w:r>
        <w:rPr>
          <w:rFonts w:ascii="Times New Roman" w:cs="Times New Roman" w:eastAsia="Times New Roman" w:hAnsi="Times New Roman"/>
          <w:sz w:val="22"/>
          <w:szCs w:val="22"/>
          <w:u w:val="single" w:color="auto"/>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for purposes of this Agreement.</w:t>
      </w:r>
    </w:p>
    <w:p>
      <w:pPr>
        <w:spacing w:after="0" w:line="13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Death, Disability, or Retirement; Covered Transaction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1304" w:hanging="656"/>
        <w:spacing w:after="0" w:line="250" w:lineRule="auto"/>
        <w:tabs>
          <w:tab w:leader="none" w:pos="129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If (i) the Participant dies on or after the Grant Date and before or on the Certification Date, then one hundred percent (100%) of the Target Stock shall vest automatically on the date of the Participant’s death and (ii) if the Participant dies after the Certification Date and before or on the Vesting Date, then the Earned Stock shall vest automatically upon Participant’s death, provided that such Stock would have otherwise vested in accordance with this Agreement with the passage of time and the Participant’s continued service as an Employee. For the avoidance of doubt, no Bonus Stock shall vest if the Participant dies on or after the Grant Date and before or on the Certification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4"/>
          </w:cols>
          <w:pgMar w:left="976" w:top="1440" w:right="339" w:bottom="1440" w:gutter="0" w:footer="0" w:header="0"/>
        </w:sectPr>
      </w:pPr>
    </w:p>
    <w:bookmarkStart w:id="39" w:name="page40"/>
    <w:bookmarkEnd w:id="39"/>
    <w:p>
      <w:pPr>
        <w:spacing w:after="0" w:line="90" w:lineRule="exact"/>
        <w:rPr>
          <w:sz w:val="20"/>
          <w:szCs w:val="20"/>
          <w:color w:val="auto"/>
        </w:rPr>
      </w:pPr>
    </w:p>
    <w:p>
      <w:pPr>
        <w:jc w:val="both"/>
        <w:ind w:left="840" w:hanging="656"/>
        <w:spacing w:after="0" w:line="248" w:lineRule="auto"/>
        <w:tabs>
          <w:tab w:leader="none" w:pos="8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the Participant becomes disabled due to injury or illness and is unable to serve as an Employee for a period of time not exceeding six (6) months and returns to serve as an Employee after such disability, the vesting of the Stock will not be affected by such disability. If the Participant becomes disabled due to injury or illness and the Company, in its sole discretion, determines the Participant is unable to serve as Employee for a period of time reasonably expected to exceed six (6) months (such determination date, a “</w:t>
      </w:r>
      <w:r>
        <w:rPr>
          <w:rFonts w:ascii="Times New Roman" w:cs="Times New Roman" w:eastAsia="Times New Roman" w:hAnsi="Times New Roman"/>
          <w:sz w:val="22"/>
          <w:szCs w:val="22"/>
          <w:u w:val="single" w:color="auto"/>
          <w:color w:val="auto"/>
        </w:rPr>
        <w:t>Disability Date</w:t>
      </w:r>
      <w:r>
        <w:rPr>
          <w:rFonts w:ascii="Times New Roman" w:cs="Times New Roman" w:eastAsia="Times New Roman" w:hAnsi="Times New Roman"/>
          <w:sz w:val="22"/>
          <w:szCs w:val="22"/>
          <w:color w:val="auto"/>
        </w:rPr>
        <w:t>”), then if, (i) the Disability Date is on or after the Grant Date and before or on the Certification Date, then one hundred percent (100%) of the Target Stock shall vest automatically and (ii) the Disability Date is after the Certification Date and before or on the Vesting Date, then the Earned Stock shall vest automatically, in each case on the Disability Date. For the avoidance of doubt, no Bonus Stock shall vest in the event of a Disability Date that occurs on or after the Grant Date and before or on the Certification Date.</w:t>
      </w:r>
    </w:p>
    <w:p>
      <w:pPr>
        <w:spacing w:after="0" w:line="188" w:lineRule="exact"/>
        <w:rPr>
          <w:rFonts w:ascii="Times New Roman" w:cs="Times New Roman" w:eastAsia="Times New Roman" w:hAnsi="Times New Roman"/>
          <w:sz w:val="22"/>
          <w:szCs w:val="22"/>
          <w:color w:val="auto"/>
        </w:rPr>
      </w:pPr>
    </w:p>
    <w:p>
      <w:pPr>
        <w:ind w:left="840" w:hanging="656"/>
        <w:spacing w:after="0" w:line="271" w:lineRule="auto"/>
        <w:tabs>
          <w:tab w:leader="none" w:pos="82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If the Participant’s Employment terminates due to Retirement during the Restricted Period (such date, the “</w:t>
      </w:r>
      <w:r>
        <w:rPr>
          <w:rFonts w:ascii="Times New Roman" w:cs="Times New Roman" w:eastAsia="Times New Roman" w:hAnsi="Times New Roman"/>
          <w:sz w:val="22"/>
          <w:szCs w:val="22"/>
          <w:u w:val="single" w:color="auto"/>
          <w:color w:val="auto"/>
        </w:rPr>
        <w:t>Retirement Date</w:t>
      </w:r>
      <w:r>
        <w:rPr>
          <w:rFonts w:ascii="Times New Roman" w:cs="Times New Roman" w:eastAsia="Times New Roman" w:hAnsi="Times New Roman"/>
          <w:sz w:val="22"/>
          <w:szCs w:val="22"/>
          <w:color w:val="auto"/>
        </w:rPr>
        <w:t>”), then if:</w:t>
      </w:r>
    </w:p>
    <w:p>
      <w:pPr>
        <w:spacing w:after="0" w:line="157" w:lineRule="exact"/>
        <w:rPr>
          <w:rFonts w:ascii="Times New Roman" w:cs="Times New Roman" w:eastAsia="Times New Roman" w:hAnsi="Times New Roman"/>
          <w:sz w:val="22"/>
          <w:szCs w:val="22"/>
          <w:color w:val="auto"/>
        </w:rPr>
      </w:pPr>
    </w:p>
    <w:p>
      <w:pPr>
        <w:jc w:val="both"/>
        <w:ind w:left="1480" w:hanging="648"/>
        <w:spacing w:after="0" w:line="252" w:lineRule="auto"/>
        <w:tabs>
          <w:tab w:leader="none" w:pos="147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Date is on or after the Grant Date and before or on the Performance End Date, then the amount of Earned Stock that is earned, if any, shall be equal to the product of (x) the number of Earned Stock, if any, as certified by the Administrator in accordance with Paragraph 6.c. of this Agreement, multiplied by (y) the quotient of (I) the total number of calendar days between the Grant Date and the Retirement Date (inclusive), divided by (II) the total number of calendar days between the Grant Date and the Performance End Date; and any such Earned Stock shall vest on the Certification Date; and</w:t>
      </w:r>
    </w:p>
    <w:p>
      <w:pPr>
        <w:spacing w:after="0" w:line="179" w:lineRule="exact"/>
        <w:rPr>
          <w:rFonts w:ascii="Times New Roman" w:cs="Times New Roman" w:eastAsia="Times New Roman" w:hAnsi="Times New Roman"/>
          <w:sz w:val="22"/>
          <w:szCs w:val="22"/>
          <w:color w:val="auto"/>
        </w:rPr>
      </w:pPr>
    </w:p>
    <w:p>
      <w:pPr>
        <w:ind w:left="1480" w:hanging="648"/>
        <w:spacing w:after="0" w:line="271" w:lineRule="auto"/>
        <w:tabs>
          <w:tab w:leader="none" w:pos="1479"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Date is after the Performance Date and before or on the Vesting Date, then the Earned Stock shall vest automatically on the Retirement Date.</w:t>
      </w:r>
    </w:p>
    <w:p>
      <w:pPr>
        <w:spacing w:after="0" w:line="158"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22"/>
          <w:szCs w:val="22"/>
          <w:color w:val="auto"/>
        </w:rPr>
        <w:t>For the purposes of this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termination of employment by the Participant on or after the date on which the Participant has attained age 60 and completed at least five years of service with the Company or any of its Affiliates, but only to the extent that circumstances constituting Cause do not exist.</w:t>
      </w:r>
    </w:p>
    <w:p>
      <w:pPr>
        <w:spacing w:after="0" w:line="176" w:lineRule="exact"/>
        <w:rPr>
          <w:sz w:val="20"/>
          <w:szCs w:val="20"/>
          <w:color w:val="auto"/>
        </w:rPr>
      </w:pPr>
    </w:p>
    <w:p>
      <w:pPr>
        <w:ind w:left="840" w:hanging="656"/>
        <w:spacing w:after="0" w:line="271" w:lineRule="auto"/>
        <w:tabs>
          <w:tab w:leader="none" w:pos="8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Transaction</w:t>
      </w:r>
      <w:r>
        <w:rPr>
          <w:rFonts w:ascii="Times New Roman" w:cs="Times New Roman" w:eastAsia="Times New Roman" w:hAnsi="Times New Roman"/>
          <w:sz w:val="22"/>
          <w:szCs w:val="22"/>
          <w:color w:val="auto"/>
        </w:rPr>
        <w:t>. In the event a Covered Transaction is consummated, the Restricted Stock shall vest as provided in Paragraph 6.h.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20"/>
          </w:cols>
          <w:pgMar w:left="1440" w:top="1440" w:right="339" w:bottom="1440" w:gutter="0" w:footer="0" w:header="0"/>
        </w:sectPr>
      </w:pPr>
    </w:p>
    <w:bookmarkStart w:id="40" w:name="page41"/>
    <w:bookmarkEnd w:id="40"/>
    <w:p>
      <w:pPr>
        <w:spacing w:after="0" w:line="86" w:lineRule="exact"/>
        <w:rPr>
          <w:sz w:val="20"/>
          <w:szCs w:val="20"/>
          <w:color w:val="auto"/>
        </w:rPr>
      </w:pPr>
    </w:p>
    <w:p>
      <w:pPr>
        <w:jc w:val="both"/>
        <w:ind w:left="644" w:hanging="644"/>
        <w:spacing w:after="0" w:line="259" w:lineRule="auto"/>
        <w:tabs>
          <w:tab w:leader="none" w:pos="6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Comparator Group Modification Rules</w:t>
      </w:r>
      <w:r>
        <w:rPr>
          <w:rFonts w:ascii="Times New Roman" w:cs="Times New Roman" w:eastAsia="Times New Roman" w:hAnsi="Times New Roman"/>
          <w:sz w:val="22"/>
          <w:szCs w:val="22"/>
          <w:color w:val="auto"/>
        </w:rPr>
        <w:t>. During the Performance Period, the corporate structure of a company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Comparator Group may fundamentally change. The following provisions describe these scenarios and their impact on the Comparator Group during the Performance Period, as determined by the Administrator:</w:t>
      </w:r>
    </w:p>
    <w:p>
      <w:pPr>
        <w:spacing w:after="0" w:line="183" w:lineRule="exact"/>
        <w:rPr>
          <w:rFonts w:ascii="Times New Roman" w:cs="Times New Roman" w:eastAsia="Times New Roman" w:hAnsi="Times New Roman"/>
          <w:sz w:val="22"/>
          <w:szCs w:val="22"/>
          <w:color w:val="auto"/>
        </w:rPr>
      </w:pPr>
    </w:p>
    <w:p>
      <w:pPr>
        <w:jc w:val="both"/>
        <w:ind w:left="1304" w:hanging="656"/>
        <w:spacing w:after="0" w:line="265" w:lineRule="auto"/>
        <w:tabs>
          <w:tab w:leader="none" w:pos="1292"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bankruptcy, liquidation or delisting of a Comparator Group company at any time during the Performance Period, such company shall remain a Comparator Group company and be assigned a TSR of negative 100%. “Delisting” means that a company ceases to be publicly traded on a national securities exchange as a result of any involuntary failure to meet the listing requirements of such national securities exchange, but shall not include delisting as a result of any voluntary going private or similar transaction.</w:t>
      </w:r>
    </w:p>
    <w:p>
      <w:pPr>
        <w:spacing w:after="0" w:line="178" w:lineRule="exact"/>
        <w:rPr>
          <w:rFonts w:ascii="Times New Roman" w:cs="Times New Roman" w:eastAsia="Times New Roman" w:hAnsi="Times New Roman"/>
          <w:sz w:val="21"/>
          <w:szCs w:val="21"/>
          <w:color w:val="auto"/>
        </w:rPr>
      </w:pPr>
    </w:p>
    <w:p>
      <w:pPr>
        <w:ind w:left="1304" w:hanging="656"/>
        <w:spacing w:after="0" w:line="271" w:lineRule="auto"/>
        <w:tabs>
          <w:tab w:leader="none" w:pos="130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company is added to the [COMPARATOR GROUP INDEX], such company will not join the Comparator Group.</w:t>
      </w:r>
    </w:p>
    <w:p>
      <w:pPr>
        <w:spacing w:after="0" w:line="157" w:lineRule="exact"/>
        <w:rPr>
          <w:rFonts w:ascii="Times New Roman" w:cs="Times New Roman" w:eastAsia="Times New Roman" w:hAnsi="Times New Roman"/>
          <w:sz w:val="22"/>
          <w:szCs w:val="22"/>
          <w:color w:val="auto"/>
        </w:rPr>
      </w:pPr>
    </w:p>
    <w:p>
      <w:pPr>
        <w:ind w:left="1304" w:right="340" w:hanging="656"/>
        <w:spacing w:after="0" w:line="271" w:lineRule="auto"/>
        <w:tabs>
          <w:tab w:leader="none" w:pos="129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two Comparator Group companies merge and become one company, the newly-formed company will remain in the Comparator Group.</w:t>
      </w:r>
    </w:p>
    <w:p>
      <w:pPr>
        <w:spacing w:after="0" w:line="157" w:lineRule="exact"/>
        <w:rPr>
          <w:rFonts w:ascii="Times New Roman" w:cs="Times New Roman" w:eastAsia="Times New Roman" w:hAnsi="Times New Roman"/>
          <w:sz w:val="22"/>
          <w:szCs w:val="22"/>
          <w:color w:val="auto"/>
        </w:rPr>
      </w:pPr>
    </w:p>
    <w:p>
      <w:pPr>
        <w:jc w:val="both"/>
        <w:ind w:left="1304" w:hanging="656"/>
        <w:spacing w:after="0" w:line="267" w:lineRule="auto"/>
        <w:tabs>
          <w:tab w:leader="none" w:pos="1304"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Comparator Group company merges with a company not in the Comparator Group, then (x) the surviving company that was originally in the Comparator Group will remain in the Comparator Group and</w:t>
      </w:r>
    </w:p>
    <w:p>
      <w:pPr>
        <w:spacing w:after="0" w:line="1" w:lineRule="exact"/>
        <w:rPr>
          <w:rFonts w:ascii="Times New Roman" w:cs="Times New Roman" w:eastAsia="Times New Roman" w:hAnsi="Times New Roman"/>
          <w:sz w:val="21"/>
          <w:szCs w:val="21"/>
          <w:color w:val="auto"/>
        </w:rPr>
      </w:pPr>
    </w:p>
    <w:p>
      <w:pPr>
        <w:ind w:left="1304" w:hanging="8"/>
        <w:spacing w:after="0" w:line="259" w:lineRule="auto"/>
        <w:tabs>
          <w:tab w:leader="none" w:pos="1624"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surviving company was not originally in the Comparator Group, the surviving company will be removed from the Comparator Group.</w:t>
      </w:r>
    </w:p>
    <w:p>
      <w:pPr>
        <w:spacing w:after="0" w:line="170" w:lineRule="exact"/>
        <w:rPr>
          <w:rFonts w:ascii="Times New Roman" w:cs="Times New Roman" w:eastAsia="Times New Roman" w:hAnsi="Times New Roman"/>
          <w:sz w:val="22"/>
          <w:szCs w:val="22"/>
          <w:color w:val="auto"/>
        </w:rPr>
      </w:pPr>
    </w:p>
    <w:p>
      <w:pPr>
        <w:jc w:val="both"/>
        <w:ind w:left="1304" w:hanging="656"/>
        <w:spacing w:after="0" w:line="256" w:lineRule="auto"/>
        <w:tabs>
          <w:tab w:leader="none" w:pos="129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Comparator Group company spins off another company, the newly-formed company will not be included in the Comparator Group. The original Comparator Group company will remain in the Comparator Group and the dividend of the stock in the spun-off company will be reflected in the calculation of TSR for the Comparator Group company as set forth in Section 6(b)(iii).</w:t>
      </w:r>
    </w:p>
    <w:p>
      <w:pPr>
        <w:spacing w:after="0" w:line="176" w:lineRule="exact"/>
        <w:rPr>
          <w:rFonts w:ascii="Times New Roman" w:cs="Times New Roman" w:eastAsia="Times New Roman" w:hAnsi="Times New Roman"/>
          <w:sz w:val="22"/>
          <w:szCs w:val="22"/>
          <w:color w:val="auto"/>
        </w:rPr>
      </w:pPr>
    </w:p>
    <w:p>
      <w:pPr>
        <w:ind w:left="1304" w:hanging="656"/>
        <w:spacing w:after="0" w:line="271" w:lineRule="auto"/>
        <w:tabs>
          <w:tab w:leader="none" w:pos="129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Comparator Group company becomes a private company, the company will be removed from the Comparator Group.</w:t>
      </w:r>
    </w:p>
    <w:p>
      <w:pPr>
        <w:spacing w:after="0" w:line="157" w:lineRule="exact"/>
        <w:rPr>
          <w:rFonts w:ascii="Times New Roman" w:cs="Times New Roman" w:eastAsia="Times New Roman" w:hAnsi="Times New Roman"/>
          <w:sz w:val="22"/>
          <w:szCs w:val="22"/>
          <w:color w:val="auto"/>
        </w:rPr>
      </w:pPr>
    </w:p>
    <w:p>
      <w:pPr>
        <w:jc w:val="both"/>
        <w:ind w:left="1304" w:hanging="656"/>
        <w:spacing w:after="0" w:line="263" w:lineRule="auto"/>
        <w:tabs>
          <w:tab w:leader="none" w:pos="130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scenarios will be reviewed by the Administrator on a case-by-case basis to determine, in the sole discretion of the Administrator, the status of the Comparator Group company as it relates to the Performance Period. Any such determination shall be final and binding on all parties.</w:t>
      </w:r>
    </w:p>
    <w:p>
      <w:pPr>
        <w:spacing w:after="0" w:line="163" w:lineRule="exact"/>
        <w:rPr>
          <w:rFonts w:ascii="Times New Roman" w:cs="Times New Roman" w:eastAsia="Times New Roman" w:hAnsi="Times New Roman"/>
          <w:sz w:val="22"/>
          <w:szCs w:val="22"/>
          <w:color w:val="auto"/>
        </w:rPr>
      </w:pPr>
    </w:p>
    <w:p>
      <w:pPr>
        <w:jc w:val="both"/>
        <w:ind w:left="644" w:hanging="644"/>
        <w:spacing w:after="0" w:line="268" w:lineRule="auto"/>
        <w:tabs>
          <w:tab w:leader="none" w:pos="64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Dividend Equivalents, Voting, etc</w:t>
      </w:r>
      <w:r>
        <w:rPr>
          <w:rFonts w:ascii="Times New Roman" w:cs="Times New Roman" w:eastAsia="Times New Roman" w:hAnsi="Times New Roman"/>
          <w:sz w:val="21"/>
          <w:szCs w:val="21"/>
          <w:color w:val="auto"/>
        </w:rPr>
        <w:t>. The Participant shall be entitled, as to (a) if on or after the Grant Date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before or on the Certification Date, one hundred percent (100%) of the total number of shares of Target Stock and</w:t>
      </w:r>
    </w:p>
    <w:p>
      <w:pPr>
        <w:spacing w:after="0" w:line="1" w:lineRule="exact"/>
        <w:rPr>
          <w:rFonts w:ascii="Times New Roman" w:cs="Times New Roman" w:eastAsia="Times New Roman" w:hAnsi="Times New Roman"/>
          <w:sz w:val="21"/>
          <w:szCs w:val="21"/>
          <w:color w:val="auto"/>
        </w:rPr>
      </w:pPr>
    </w:p>
    <w:p>
      <w:pPr>
        <w:ind w:left="64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if after the Certification Date and before or on the Vesting Date, any Earned Stock,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4"/>
          </w:cols>
          <w:pgMar w:left="976" w:top="1440" w:right="339" w:bottom="1440" w:gutter="0" w:footer="0" w:header="0"/>
        </w:sectPr>
      </w:pPr>
    </w:p>
    <w:bookmarkStart w:id="41" w:name="page42"/>
    <w:bookmarkEnd w:id="41"/>
    <w:p>
      <w:pPr>
        <w:spacing w:after="0" w:line="90" w:lineRule="exact"/>
        <w:rPr>
          <w:sz w:val="20"/>
          <w:szCs w:val="20"/>
          <w:color w:val="auto"/>
        </w:rPr>
      </w:pPr>
    </w:p>
    <w:p>
      <w:pPr>
        <w:jc w:val="both"/>
        <w:ind w:left="644"/>
        <w:spacing w:after="0" w:line="260" w:lineRule="auto"/>
        <w:rPr>
          <w:sz w:val="20"/>
          <w:szCs w:val="20"/>
          <w:color w:val="auto"/>
        </w:rPr>
      </w:pPr>
      <w:r>
        <w:rPr>
          <w:rFonts w:ascii="Times New Roman" w:cs="Times New Roman" w:eastAsia="Times New Roman" w:hAnsi="Times New Roman"/>
          <w:sz w:val="21"/>
          <w:szCs w:val="21"/>
          <w:color w:val="auto"/>
        </w:rPr>
        <w:t xml:space="preserve">case to (i) receive a cash payment equal to the amount of any and all cash dividends or other cash distributions paid with respect to one share of Stock times the number of shares of Target Stock or Earned Stock, as the case may be and (ii) vote any Stock of which Participant is the record owner on the record date for such vote;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property (other than cash) distributed with respect to any such share of Target Stock or Earned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Stock (the “Associated Share”), including without limitation a distribution of Stock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 </w:t>
      </w:r>
      <w:r>
        <w:rPr>
          <w:rFonts w:ascii="Times New Roman" w:cs="Times New Roman" w:eastAsia="Times New Roman" w:hAnsi="Times New Roman"/>
          <w:sz w:val="21"/>
          <w:szCs w:val="21"/>
          <w:i w:val="1"/>
          <w:iCs w:val="1"/>
          <w:color w:val="auto"/>
        </w:rPr>
        <w:t>and 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the Administrator may require that any cash distribution with respect to the Target Stock or Earned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(as the case may be) other than a normal cash dividend be placed in escrow or otherwise made subject to such restrictions as the Administrator deems appropriate to carry out the intent of the Plan. References in this Agreement to the Target Stock or Earned Stock (as the case may be) shall refer in the same way to any such restricted amounts. For the avoidance of doubt, Bonus Stock is not issued and outstanding as of the Grant Date, does not have the right to vote or to receive dividends or other distributions that may be made with respect to shares of Common Stock of the Company, and may vest and be issued as and to the extent set forth in Paragraph 6.</w:t>
      </w:r>
    </w:p>
    <w:p>
      <w:pPr>
        <w:spacing w:after="0" w:line="176" w:lineRule="exact"/>
        <w:rPr>
          <w:sz w:val="20"/>
          <w:szCs w:val="20"/>
          <w:color w:val="auto"/>
        </w:rPr>
      </w:pPr>
    </w:p>
    <w:p>
      <w:pPr>
        <w:jc w:val="both"/>
        <w:ind w:left="644" w:hanging="644"/>
        <w:spacing w:after="0" w:line="247" w:lineRule="auto"/>
        <w:tabs>
          <w:tab w:leader="none" w:pos="6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Certain Tax Matters</w:t>
      </w:r>
      <w:r>
        <w:rPr>
          <w:rFonts w:ascii="Times New Roman" w:cs="Times New Roman" w:eastAsia="Times New Roman" w:hAnsi="Times New Roman"/>
          <w:sz w:val="22"/>
          <w:szCs w:val="22"/>
          <w:color w:val="auto"/>
        </w:rPr>
        <w:t>. The Participant expressly acknowledges that the Participant has been advised to confer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promptly with a professional tax advisor to consider whether the Participant should make a so-called “83(b) election” with respect to the Restricted Stock. Any such election, to be effective, must be made in accordance with applicable regulations (including, without limitation, the requirement to provide a copy of such election to the Company in advance of filing such election under the Internal Revenue Code) and within thirty (30) days following the date of this award. The Company has made no recommendation to the Participant with respect to the advisability of making such an election. In addition, the award or vesting of the Restricted Stock acquired hereunder, and the payment of dividends with respect to such Restricted Stock, may give rise to “wages” subject to withholding. The undersigned expressly acknowledges and agrees that his/her rights hereunder are subject to his/her promptly paying to the Company in cash (or by such other means as may be acceptable to the Administrator in its discretion, including, if the Administrator so determines, by the delivery of previously acquired Stock or Restricted Stock acquired hereunder or by the withholding of amounts from any payment hereunder) all taxes required to be withheld in connection with such award, vesting or payment. Notwithstanding any action the Company takes with respect to any or all income tax, social insurance, payroll tax, or other tax-related withholding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the ultimate liability for all Tax-Related Items is and remains the Participant’s responsibility and the Company (i) makes no representation or undertakings regarding the treatment of any Tax-Related Items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4"/>
          </w:cols>
          <w:pgMar w:left="976" w:top="1440" w:right="339" w:bottom="1440" w:gutter="0" w:footer="0" w:header="0"/>
        </w:sectPr>
      </w:pPr>
    </w:p>
    <w:bookmarkStart w:id="42" w:name="page43"/>
    <w:bookmarkEnd w:id="42"/>
    <w:p>
      <w:pPr>
        <w:spacing w:after="0" w:line="90" w:lineRule="exact"/>
        <w:rPr>
          <w:sz w:val="20"/>
          <w:szCs w:val="20"/>
          <w:color w:val="auto"/>
        </w:rPr>
      </w:pPr>
    </w:p>
    <w:p>
      <w:pPr>
        <w:ind w:left="644"/>
        <w:spacing w:after="0" w:line="271" w:lineRule="auto"/>
        <w:rPr>
          <w:sz w:val="20"/>
          <w:szCs w:val="20"/>
          <w:color w:val="auto"/>
        </w:rPr>
      </w:pPr>
      <w:r>
        <w:rPr>
          <w:rFonts w:ascii="Times New Roman" w:cs="Times New Roman" w:eastAsia="Times New Roman" w:hAnsi="Times New Roman"/>
          <w:sz w:val="22"/>
          <w:szCs w:val="22"/>
          <w:color w:val="auto"/>
        </w:rPr>
        <w:t>the grant or vesting of the Restricted Stock or the subsequent sale of any shares; and (ii) does not commit to structure the Restricted Stock to reduce or eliminate the Participant’s liability for Tax-Related Items.</w:t>
      </w:r>
    </w:p>
    <w:p>
      <w:pPr>
        <w:spacing w:after="0" w:line="154" w:lineRule="exact"/>
        <w:rPr>
          <w:sz w:val="20"/>
          <w:szCs w:val="20"/>
          <w:color w:val="auto"/>
        </w:rPr>
      </w:pPr>
    </w:p>
    <w:p>
      <w:pPr>
        <w:jc w:val="both"/>
        <w:ind w:left="644" w:hanging="644"/>
        <w:spacing w:after="0" w:line="265" w:lineRule="auto"/>
        <w:tabs>
          <w:tab w:leader="none" w:pos="63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Clawback</w:t>
      </w:r>
      <w:r>
        <w:rPr>
          <w:rFonts w:ascii="Times New Roman" w:cs="Times New Roman" w:eastAsia="Times New Roman" w:hAnsi="Times New Roman"/>
          <w:sz w:val="22"/>
          <w:szCs w:val="22"/>
          <w:color w:val="auto"/>
        </w:rPr>
        <w:t>. The Participant acknowledges and agrees that the Restricted Stock is subject to Section 10 of the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Clawback Policy, and by accepting this award, the Participant is agreeing to be bound by the Clawback Policy.</w:t>
      </w:r>
    </w:p>
    <w:p>
      <w:pPr>
        <w:spacing w:after="0" w:line="161" w:lineRule="exact"/>
        <w:rPr>
          <w:rFonts w:ascii="Times New Roman" w:cs="Times New Roman" w:eastAsia="Times New Roman" w:hAnsi="Times New Roman"/>
          <w:sz w:val="22"/>
          <w:szCs w:val="22"/>
          <w:color w:val="auto"/>
        </w:rPr>
      </w:pPr>
    </w:p>
    <w:p>
      <w:pPr>
        <w:jc w:val="both"/>
        <w:ind w:left="644" w:hanging="644"/>
        <w:spacing w:after="0" w:line="252"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Plan Document</w:t>
      </w:r>
      <w:r>
        <w:rPr>
          <w:rFonts w:ascii="Times New Roman" w:cs="Times New Roman" w:eastAsia="Times New Roman" w:hAnsi="Times New Roman"/>
          <w:sz w:val="22"/>
          <w:szCs w:val="22"/>
          <w:color w:val="auto"/>
        </w:rPr>
        <w:t>. By signing below, the Participant acknowledges receipt of a copy of the Plan and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Participant has read and understands the terms and provisions thereof and hereof, and accepts the Award subject to all of the terms and conditions of the Plan and this Agreement. The Participant acknowledges that there may be adverse tax consequences upon the grant or vesting of the Award or disposition of the underlying shares and that the Participant has been advised to consult his or her tax advisor prior to such grant, vesting, or disposition.</w:t>
      </w:r>
    </w:p>
    <w:p>
      <w:pPr>
        <w:spacing w:after="0" w:line="174" w:lineRule="exact"/>
        <w:rPr>
          <w:rFonts w:ascii="Times New Roman" w:cs="Times New Roman" w:eastAsia="Times New Roman" w:hAnsi="Times New Roman"/>
          <w:sz w:val="22"/>
          <w:szCs w:val="22"/>
          <w:color w:val="auto"/>
        </w:rPr>
      </w:pPr>
    </w:p>
    <w:p>
      <w:pPr>
        <w:jc w:val="both"/>
        <w:ind w:left="644" w:hanging="644"/>
        <w:spacing w:after="0" w:line="258"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Governing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and all claims or disputes arising out of or based upon this Agreement or relating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67" w:lineRule="exact"/>
        <w:rPr>
          <w:rFonts w:ascii="Times New Roman" w:cs="Times New Roman" w:eastAsia="Times New Roman" w:hAnsi="Times New Roman"/>
          <w:sz w:val="22"/>
          <w:szCs w:val="22"/>
          <w:color w:val="auto"/>
        </w:rPr>
      </w:pPr>
    </w:p>
    <w:p>
      <w:pPr>
        <w:jc w:val="both"/>
        <w:ind w:left="644" w:hanging="644"/>
        <w:spacing w:after="0" w:line="259"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Interpretation</w:t>
      </w:r>
      <w:r>
        <w:rPr>
          <w:rFonts w:ascii="Times New Roman" w:cs="Times New Roman" w:eastAsia="Times New Roman" w:hAnsi="Times New Roman"/>
          <w:sz w:val="22"/>
          <w:szCs w:val="22"/>
          <w:color w:val="auto"/>
        </w:rPr>
        <w:t>. Any dispute regarding the interpretation of this Agreement shall be submitted by the Participant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to the Administrator for review. The resolution of such dispute by the Administrator shall be final and binding on the Participant and the Company.</w:t>
      </w:r>
    </w:p>
    <w:p>
      <w:pPr>
        <w:spacing w:after="0" w:line="166" w:lineRule="exact"/>
        <w:rPr>
          <w:rFonts w:ascii="Times New Roman" w:cs="Times New Roman" w:eastAsia="Times New Roman" w:hAnsi="Times New Roman"/>
          <w:sz w:val="22"/>
          <w:szCs w:val="22"/>
          <w:color w:val="auto"/>
        </w:rPr>
      </w:pPr>
    </w:p>
    <w:p>
      <w:pPr>
        <w:jc w:val="both"/>
        <w:ind w:left="644" w:hanging="644"/>
        <w:spacing w:after="0" w:line="258"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Award Subject to Plan</w:t>
      </w:r>
      <w:r>
        <w:rPr>
          <w:rFonts w:ascii="Times New Roman" w:cs="Times New Roman" w:eastAsia="Times New Roman" w:hAnsi="Times New Roman"/>
          <w:sz w:val="22"/>
          <w:szCs w:val="22"/>
          <w:color w:val="auto"/>
        </w:rPr>
        <w:t>. This Agreement is subject to the Plan as approved by the Company’s shareholders.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67" w:lineRule="exact"/>
        <w:rPr>
          <w:rFonts w:ascii="Times New Roman" w:cs="Times New Roman" w:eastAsia="Times New Roman" w:hAnsi="Times New Roman"/>
          <w:sz w:val="22"/>
          <w:szCs w:val="22"/>
          <w:color w:val="auto"/>
        </w:rPr>
      </w:pPr>
    </w:p>
    <w:p>
      <w:pPr>
        <w:jc w:val="both"/>
        <w:ind w:left="644" w:hanging="644"/>
        <w:spacing w:after="0" w:line="254"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Successors and Assigns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may assign any of its rights under this Agreement. This Agreement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Award may be transferred by will or the laws of descent or distribution.</w:t>
      </w:r>
    </w:p>
    <w:p>
      <w:pPr>
        <w:spacing w:after="0" w:line="173" w:lineRule="exact"/>
        <w:rPr>
          <w:rFonts w:ascii="Times New Roman" w:cs="Times New Roman" w:eastAsia="Times New Roman" w:hAnsi="Times New Roman"/>
          <w:sz w:val="22"/>
          <w:szCs w:val="22"/>
          <w:color w:val="auto"/>
        </w:rPr>
      </w:pPr>
    </w:p>
    <w:p>
      <w:pPr>
        <w:ind w:left="644" w:hanging="644"/>
        <w:spacing w:after="0" w:line="275"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validity or enforceability of any other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4"/>
          </w:cols>
          <w:pgMar w:left="976" w:top="1440" w:right="339" w:bottom="1440" w:gutter="0" w:footer="0" w:header="0"/>
        </w:sectPr>
      </w:pPr>
    </w:p>
    <w:bookmarkStart w:id="43" w:name="page44"/>
    <w:bookmarkEnd w:id="43"/>
    <w:p>
      <w:pPr>
        <w:spacing w:after="0" w:line="90" w:lineRule="exact"/>
        <w:rPr>
          <w:sz w:val="20"/>
          <w:szCs w:val="20"/>
          <w:color w:val="auto"/>
        </w:rPr>
      </w:pPr>
    </w:p>
    <w:p>
      <w:pPr>
        <w:ind w:left="1280"/>
        <w:spacing w:after="0" w:line="271" w:lineRule="auto"/>
        <w:rPr>
          <w:sz w:val="20"/>
          <w:szCs w:val="20"/>
          <w:color w:val="auto"/>
        </w:rPr>
      </w:pPr>
      <w:r>
        <w:rPr>
          <w:rFonts w:ascii="Times New Roman" w:cs="Times New Roman" w:eastAsia="Times New Roman" w:hAnsi="Times New Roman"/>
          <w:sz w:val="22"/>
          <w:szCs w:val="22"/>
          <w:color w:val="auto"/>
        </w:rPr>
        <w:t>the Plan or this Agreement, and each provision of the Plan and this Agreement shall be severable and enforceable to the extent permitted by law.</w:t>
      </w:r>
    </w:p>
    <w:p>
      <w:pPr>
        <w:spacing w:after="0" w:line="154" w:lineRule="exact"/>
        <w:rPr>
          <w:sz w:val="20"/>
          <w:szCs w:val="20"/>
          <w:color w:val="auto"/>
        </w:rPr>
      </w:pPr>
    </w:p>
    <w:p>
      <w:pPr>
        <w:jc w:val="both"/>
        <w:ind w:left="1280" w:hanging="644"/>
        <w:spacing w:after="0" w:line="269" w:lineRule="auto"/>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Discretionary Nature of Plan</w:t>
      </w:r>
      <w:r>
        <w:rPr>
          <w:rFonts w:ascii="Times New Roman" w:cs="Times New Roman" w:eastAsia="Times New Roman" w:hAnsi="Times New Roman"/>
          <w:sz w:val="21"/>
          <w:szCs w:val="21"/>
          <w:color w:val="auto"/>
        </w:rPr>
        <w:t>. The Plan is discretionary and may be amended, cancelled, or terminated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at any time, in its discretion. The grant of the Award in this Agreement does not create any contractual right or other right to receive any Award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58" w:lineRule="exact"/>
        <w:rPr>
          <w:rFonts w:ascii="Times New Roman" w:cs="Times New Roman" w:eastAsia="Times New Roman" w:hAnsi="Times New Roman"/>
          <w:sz w:val="21"/>
          <w:szCs w:val="21"/>
          <w:color w:val="auto"/>
        </w:rPr>
      </w:pPr>
    </w:p>
    <w:p>
      <w:pPr>
        <w:jc w:val="both"/>
        <w:ind w:left="1280" w:hanging="644"/>
        <w:spacing w:after="0" w:line="265" w:lineRule="auto"/>
        <w:tabs>
          <w:tab w:leader="none" w:pos="12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Amendment</w:t>
      </w:r>
      <w:r>
        <w:rPr>
          <w:rFonts w:ascii="Times New Roman" w:cs="Times New Roman" w:eastAsia="Times New Roman" w:hAnsi="Times New Roman"/>
          <w:sz w:val="22"/>
          <w:szCs w:val="22"/>
          <w:color w:val="auto"/>
        </w:rPr>
        <w:t>. The Administrator has the right to amend, alter, suspend, discontinue, or cancel the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prospectively or retroactively; provided, that, no such amendment shall adversely affect the Participant’s material rights under this Agreement without the Participant’s consent.</w:t>
      </w:r>
    </w:p>
    <w:p>
      <w:pPr>
        <w:spacing w:after="0" w:line="161" w:lineRule="exact"/>
        <w:rPr>
          <w:rFonts w:ascii="Times New Roman" w:cs="Times New Roman" w:eastAsia="Times New Roman" w:hAnsi="Times New Roman"/>
          <w:sz w:val="22"/>
          <w:szCs w:val="22"/>
          <w:color w:val="auto"/>
        </w:rPr>
      </w:pPr>
    </w:p>
    <w:p>
      <w:pPr>
        <w:jc w:val="both"/>
        <w:ind w:left="1280" w:hanging="644"/>
        <w:spacing w:after="0" w:line="254" w:lineRule="auto"/>
        <w:tabs>
          <w:tab w:leader="none" w:pos="12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7" w:lineRule="exact"/>
        <w:rPr>
          <w:sz w:val="20"/>
          <w:szCs w:val="20"/>
          <w:color w:val="auto"/>
        </w:rPr>
      </w:pPr>
    </w:p>
    <w:p>
      <w:pPr>
        <w:ind w:firstLine="645"/>
        <w:spacing w:after="0" w:line="271" w:lineRule="auto"/>
        <w:rPr>
          <w:sz w:val="20"/>
          <w:szCs w:val="20"/>
          <w:color w:val="auto"/>
        </w:rPr>
      </w:pPr>
      <w:r>
        <w:rPr>
          <w:rFonts w:ascii="Times New Roman" w:cs="Times New Roman" w:eastAsia="Times New Roman" w:hAnsi="Times New Roman"/>
          <w:sz w:val="22"/>
          <w:szCs w:val="22"/>
          <w:color w:val="auto"/>
        </w:rPr>
        <w:t>IN WITNESS WHEREOF, the parties to this Agreement have duly authorized this Agreement to be effective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40" w:top="1440" w:right="339" w:bottom="1440" w:gutter="0" w:footer="0" w:header="0"/>
        </w:sectPr>
      </w:pPr>
    </w:p>
    <w:bookmarkStart w:id="44" w:name="page45"/>
    <w:bookmarkEnd w:id="44"/>
    <w:p>
      <w:pPr>
        <w:spacing w:after="0" w:line="8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color w:val="auto"/>
        </w:rPr>
        <w:t>[COMPARATOR GROUP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019"/>
          </w:cols>
          <w:pgMar w:left="1440" w:top="1440"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Company Performance-Based Restricted Stock Award Agreement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This Company Performance-Based Restricted Stock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and Carter’s,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the Carter’s, Inc. Amended and Restated Equity Incentive Plan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All capitalized terms not otherwise defined herein shall have the meaning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in the Plan.</w:t>
      </w:r>
    </w:p>
    <w:p>
      <w:pPr>
        <w:spacing w:after="0" w:line="196" w:lineRule="exact"/>
        <w:rPr>
          <w:sz w:val="20"/>
          <w:szCs w:val="20"/>
          <w:color w:val="auto"/>
        </w:rPr>
      </w:pPr>
    </w:p>
    <w:p>
      <w:pPr>
        <w:ind w:left="640" w:right="560"/>
        <w:spacing w:after="0" w:line="406" w:lineRule="auto"/>
        <w:rPr>
          <w:sz w:val="20"/>
          <w:szCs w:val="20"/>
          <w:color w:val="auto"/>
        </w:rPr>
      </w:pPr>
      <w:r>
        <w:rPr>
          <w:rFonts w:ascii="Times New Roman" w:cs="Times New Roman" w:eastAsia="Times New Roman" w:hAnsi="Times New Roman"/>
          <w:sz w:val="21"/>
          <w:szCs w:val="21"/>
          <w:color w:val="auto"/>
        </w:rPr>
        <w:t>WHEREAS, the Company has adopted the Plan, pursuant to which awards of Restricted Stock may be granted; WHEREAS, the Participant has agreed to terms of employment with the Company or certain of its subsidiaries; and WHEREAS, as part of the Participant’s compensation, the Company wishes to grant the Participant two separate</w:t>
      </w:r>
    </w:p>
    <w:p>
      <w:pPr>
        <w:spacing w:after="0" w:line="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2"/>
          <w:szCs w:val="22"/>
          <w:color w:val="auto"/>
        </w:rPr>
        <w:t>performance-based awards of Restricted Stock, consisting of (1) a performance-based award with performance goals tied to the performance of the Company (as set forth in this Agreement) and (2) a performance-based award with a performance goal tied to rTSR (to be set forth in a separate agreement), and Participant wishes to accept such grant through an online system, as provided for herein.</w:t>
      </w:r>
    </w:p>
    <w:p>
      <w:pPr>
        <w:spacing w:after="0" w:line="184" w:lineRule="exact"/>
        <w:rPr>
          <w:sz w:val="20"/>
          <w:szCs w:val="20"/>
          <w:color w:val="auto"/>
        </w:rPr>
      </w:pPr>
    </w:p>
    <w:p>
      <w:pPr>
        <w:ind w:right="20" w:firstLine="645"/>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receipt and sufficiency of which are hereby acknowledged, the parties agree as follows:</w:t>
      </w:r>
    </w:p>
    <w:p>
      <w:pPr>
        <w:spacing w:after="0" w:line="167" w:lineRule="exact"/>
        <w:rPr>
          <w:sz w:val="20"/>
          <w:szCs w:val="20"/>
          <w:color w:val="auto"/>
        </w:rPr>
      </w:pPr>
    </w:p>
    <w:p>
      <w:pPr>
        <w:ind w:left="1280" w:hanging="644"/>
        <w:spacing w:after="0" w:line="260" w:lineRule="auto"/>
        <w:tabs>
          <w:tab w:leader="none" w:pos="12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Award</w:t>
      </w:r>
      <w:r>
        <w:rPr>
          <w:rFonts w:ascii="Times New Roman" w:cs="Times New Roman" w:eastAsia="Times New Roman" w:hAnsi="Times New Roman"/>
          <w:sz w:val="21"/>
          <w:szCs w:val="21"/>
          <w:color w:val="auto"/>
        </w:rPr>
        <w:t>. The Company hereby grants an award of Restricted Stock to the Participant on the “Grant Date” shown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“Grant Summary” box in the “Online Grant Summary” screen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consisting of (a) the number of shares of Stock shown in the “Granted” line of “Grant Summary” box in the “Online Grant Summary” screen (such amount, the “</w:t>
      </w:r>
      <w:r>
        <w:rPr>
          <w:rFonts w:ascii="Times New Roman" w:cs="Times New Roman" w:eastAsia="Times New Roman" w:hAnsi="Times New Roman"/>
          <w:sz w:val="21"/>
          <w:szCs w:val="21"/>
          <w:u w:val="single" w:color="auto"/>
          <w:color w:val="auto"/>
        </w:rPr>
        <w:t>Target Amount</w:t>
      </w:r>
      <w:r>
        <w:rPr>
          <w:rFonts w:ascii="Times New Roman" w:cs="Times New Roman" w:eastAsia="Times New Roman" w:hAnsi="Times New Roman"/>
          <w:sz w:val="21"/>
          <w:szCs w:val="21"/>
          <w:color w:val="auto"/>
        </w:rPr>
        <w:t>” and such Stock, the “</w:t>
      </w:r>
      <w:r>
        <w:rPr>
          <w:rFonts w:ascii="Times New Roman" w:cs="Times New Roman" w:eastAsia="Times New Roman" w:hAnsi="Times New Roman"/>
          <w:sz w:val="21"/>
          <w:szCs w:val="21"/>
          <w:u w:val="single" w:color="auto"/>
          <w:color w:val="auto"/>
        </w:rPr>
        <w:t>Target Stock</w:t>
      </w:r>
      <w:r>
        <w:rPr>
          <w:rFonts w:ascii="Times New Roman" w:cs="Times New Roman" w:eastAsia="Times New Roman" w:hAnsi="Times New Roman"/>
          <w:sz w:val="21"/>
          <w:szCs w:val="21"/>
          <w:color w:val="auto"/>
        </w:rPr>
        <w:t>”) and (b) an additional number of shares of Stock equal to up to one hundred percent (100%) of the Target Amount (the “</w:t>
      </w:r>
      <w:r>
        <w:rPr>
          <w:rFonts w:ascii="Times New Roman" w:cs="Times New Roman" w:eastAsia="Times New Roman" w:hAnsi="Times New Roman"/>
          <w:sz w:val="21"/>
          <w:szCs w:val="21"/>
          <w:u w:val="single" w:color="auto"/>
          <w:color w:val="auto"/>
        </w:rPr>
        <w:t>Bonus Stock</w:t>
      </w:r>
      <w:r>
        <w:rPr>
          <w:rFonts w:ascii="Times New Roman" w:cs="Times New Roman" w:eastAsia="Times New Roman" w:hAnsi="Times New Roman"/>
          <w:sz w:val="21"/>
          <w:szCs w:val="21"/>
          <w:color w:val="auto"/>
        </w:rPr>
        <w:t>,” and together with the Target Stock, the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each on the terms and conditions and subject to the restrictions described in this Agreement and in the Plan (which is incorporated herein by reference with the same effect as if set forth herein in full) in addition to such other restrictions, if any, as may be imposed by law. The number of shares of Restricted Stock that the Participant actually earns for the Performance Periods (up to the maximum numbers set forth above) will be determined by the level of achievement of the Performance Goals set forth in Paragraph 6 of this Agreement. For the avoidance of doubt, (x) shares of Target Stock will be issued to the Participant, subject to the provisions of the Plan and this Agreement (including Paragraph 3 and 4 hereof as to restrictions and forfeiture risks) as well as the performance goals and vesting requirements, and (y) shares of Bonus Stock, if any, will be issued to the Participant after the Certification Date set forth in Paragraph 6.b.</w:t>
      </w:r>
    </w:p>
    <w:p>
      <w:pPr>
        <w:sectPr>
          <w:pgSz w:w="11900" w:h="16838" w:orient="portrait"/>
          <w:cols w:equalWidth="0" w:num="1">
            <w:col w:w="11220"/>
          </w:cols>
          <w:pgMar w:left="340" w:top="122" w:right="339" w:bottom="1440" w:gutter="0" w:footer="0" w:header="0"/>
        </w:sectPr>
      </w:pPr>
    </w:p>
    <w:bookmarkStart w:id="46" w:name="page47"/>
    <w:bookmarkEnd w:id="46"/>
    <w:p>
      <w:pPr>
        <w:spacing w:after="0" w:line="86" w:lineRule="exact"/>
        <w:rPr>
          <w:sz w:val="20"/>
          <w:szCs w:val="20"/>
          <w:color w:val="auto"/>
        </w:rPr>
      </w:pPr>
    </w:p>
    <w:p>
      <w:pPr>
        <w:ind w:left="644" w:right="200" w:hanging="644"/>
        <w:spacing w:after="0" w:line="259" w:lineRule="auto"/>
        <w:tabs>
          <w:tab w:leader="none" w:pos="64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Meaning of Certain Terms</w:t>
      </w:r>
      <w:r>
        <w:rPr>
          <w:rFonts w:ascii="Times New Roman" w:cs="Times New Roman" w:eastAsia="Times New Roman" w:hAnsi="Times New Roman"/>
          <w:sz w:val="22"/>
          <w:szCs w:val="22"/>
          <w:color w:val="auto"/>
        </w:rPr>
        <w:t>. Except as otherwise expressly provided herein, all terms used herein and not defined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shall have the same meaning as in the Plan. The term “vest” as used herein with respect to any Award means the lapsing of the restrictions described herein with respect to such Award.</w:t>
      </w:r>
    </w:p>
    <w:p>
      <w:pPr>
        <w:spacing w:after="0" w:line="179" w:lineRule="exact"/>
        <w:rPr>
          <w:rFonts w:ascii="Times New Roman" w:cs="Times New Roman" w:eastAsia="Times New Roman" w:hAnsi="Times New Roman"/>
          <w:sz w:val="22"/>
          <w:szCs w:val="22"/>
          <w:color w:val="auto"/>
        </w:rPr>
      </w:pPr>
    </w:p>
    <w:p>
      <w:pPr>
        <w:ind w:left="644" w:hanging="644"/>
        <w:spacing w:after="0" w:line="250" w:lineRule="auto"/>
        <w:tabs>
          <w:tab w:leader="none" w:pos="64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Restrictions</w:t>
      </w:r>
      <w:r>
        <w:rPr>
          <w:rFonts w:ascii="Times New Roman" w:cs="Times New Roman" w:eastAsia="Times New Roman" w:hAnsi="Times New Roman"/>
          <w:sz w:val="22"/>
          <w:szCs w:val="22"/>
          <w:color w:val="auto"/>
        </w:rPr>
        <w:t>. Subject to any exceptions set forth in this Agreement or the Plan, during the Restricted Period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defined herein), neither the Award nor the rights relating thereto, may be assigned, alienated, pledged, attached, sold or otherwise transferred or encumbered by the Participant. Any attempt to assign, alienate, pledge, attach, sell or otherwise transfer or encumber the Award or the rights relating thereto during the Restricted Period shall be wholly ineffective and, if any such attempt is made, the Award will be forfeited by the Participant and all of the Participant’s rights to such Award shall immediately terminate without any payment or consideration by the Company.</w:t>
      </w:r>
    </w:p>
    <w:p>
      <w:pPr>
        <w:spacing w:after="0" w:line="180" w:lineRule="exact"/>
        <w:rPr>
          <w:rFonts w:ascii="Times New Roman" w:cs="Times New Roman" w:eastAsia="Times New Roman" w:hAnsi="Times New Roman"/>
          <w:sz w:val="22"/>
          <w:szCs w:val="22"/>
          <w:color w:val="auto"/>
        </w:rPr>
      </w:pPr>
    </w:p>
    <w:p>
      <w:pPr>
        <w:ind w:left="644" w:hanging="644"/>
        <w:spacing w:after="0" w:line="248" w:lineRule="auto"/>
        <w:tabs>
          <w:tab w:leader="none" w:pos="64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Forfeiture Risk</w:t>
      </w:r>
      <w:r>
        <w:rPr>
          <w:rFonts w:ascii="Times New Roman" w:cs="Times New Roman" w:eastAsia="Times New Roman" w:hAnsi="Times New Roman"/>
          <w:sz w:val="22"/>
          <w:szCs w:val="22"/>
          <w:color w:val="auto"/>
        </w:rPr>
        <w:t>. If the Participant’s Employment ceases for any reason, except as specifically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Paragraph 7 below, any then-outstanding and unvested Award shall be automatically and immediately forfeited. The Participant hereby (i) appoints the Company as the attorney-in-fact of the Participant to take such actions as may be necessary or appropriate to effectuate a transfer of the record ownership of any such Restricted Stock that is unvested and forfeited hereunder; (ii) agrees to deliver to the Company, as a precondition to the issuance of any certificate or certificates with respect to unvested Restricted Stock hereunder, one or more stock powers, endorsed in blank, with respect to such Restricted Stock; and (iii) agrees to sign such other powers and take such other actions as the Company may reasonably request to accomplish the transfer or forfeiture of any unvested Restricted Stock that is forfeited hereunder.</w:t>
      </w:r>
    </w:p>
    <w:p>
      <w:pPr>
        <w:spacing w:after="0" w:line="198" w:lineRule="exact"/>
        <w:rPr>
          <w:rFonts w:ascii="Times New Roman" w:cs="Times New Roman" w:eastAsia="Times New Roman" w:hAnsi="Times New Roman"/>
          <w:sz w:val="22"/>
          <w:szCs w:val="22"/>
          <w:color w:val="auto"/>
        </w:rPr>
      </w:pPr>
    </w:p>
    <w:p>
      <w:pPr>
        <w:ind w:left="644" w:right="140" w:hanging="644"/>
        <w:spacing w:after="0" w:line="251" w:lineRule="auto"/>
        <w:tabs>
          <w:tab w:leader="none" w:pos="64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Retention of Certificates</w:t>
      </w:r>
      <w:r>
        <w:rPr>
          <w:rFonts w:ascii="Times New Roman" w:cs="Times New Roman" w:eastAsia="Times New Roman" w:hAnsi="Times New Roman"/>
          <w:sz w:val="22"/>
          <w:szCs w:val="22"/>
          <w:color w:val="auto"/>
        </w:rPr>
        <w:t>. The Company shall hold any certificates representing unvested Restricted Stock.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unvested Restricted Stock is held in book entry form, the Participant agrees that the Company may give stop transfer instructions to the depository to ensure compliance with the provisions hereof. Book entry records representing unvested Restricted Stock shall be held by the Company’s transfer agent, and any such records shall contain a legend substantially in the following form:</w:t>
      </w:r>
    </w:p>
    <w:p>
      <w:pPr>
        <w:spacing w:after="0" w:line="193" w:lineRule="exact"/>
        <w:rPr>
          <w:rFonts w:ascii="Times New Roman" w:cs="Times New Roman" w:eastAsia="Times New Roman" w:hAnsi="Times New Roman"/>
          <w:sz w:val="22"/>
          <w:szCs w:val="22"/>
          <w:color w:val="auto"/>
        </w:rPr>
      </w:pPr>
    </w:p>
    <w:p>
      <w:pPr>
        <w:ind w:left="644" w:right="16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TRANSFERABILITY OF THIS CERTIFICATE AND THE SHARES OF STOCK REPRESENTED HEREBY ARE SUBJECT TO THE TERMS AND CONDITIONS (INCLUDING FORFEITURE) OF CARTER’S, INC.’S AMENDED AND RESTATED EQUITY INCENTIVE PLAN AND A PERFORMANCE-BASED RESTRICTED STOCK AGREEMENT ENTERED INTO BETWEEN THE REGISTERED OWNER AND CARTER’S, INC. COPIES OF SUCH PLAN AND AGREEMENT ARE ON FILE IN THE OFFICES OF CARTER’S,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44"/>
          </w:cols>
          <w:pgMar w:left="976" w:top="1440" w:right="379" w:bottom="1440" w:gutter="0" w:footer="0" w:header="0"/>
        </w:sectPr>
      </w:pPr>
    </w:p>
    <w:bookmarkStart w:id="47" w:name="page48"/>
    <w:bookmarkEnd w:id="47"/>
    <w:p>
      <w:pPr>
        <w:spacing w:after="0" w:line="90" w:lineRule="exact"/>
        <w:rPr>
          <w:sz w:val="20"/>
          <w:szCs w:val="20"/>
          <w:color w:val="auto"/>
        </w:rPr>
      </w:pPr>
    </w:p>
    <w:p>
      <w:pPr>
        <w:ind w:left="644" w:right="160"/>
        <w:spacing w:after="0" w:line="256" w:lineRule="auto"/>
        <w:rPr>
          <w:sz w:val="20"/>
          <w:szCs w:val="20"/>
          <w:color w:val="auto"/>
        </w:rPr>
      </w:pPr>
      <w:r>
        <w:rPr>
          <w:rFonts w:ascii="Times New Roman" w:cs="Times New Roman" w:eastAsia="Times New Roman" w:hAnsi="Times New Roman"/>
          <w:sz w:val="22"/>
          <w:szCs w:val="22"/>
          <w:color w:val="auto"/>
        </w:rPr>
        <w:t>As soon as practicable following the vesting of any Restricted Stock, the Company shall cause shares of Stock underlying such Restricted Stock, without the aforesaid legend, to be issued and delivered to the Participant. The Company may take such steps, as it deems necessary or appropriate, to record and manifest the restrictions applicable to such Restricted Stock.</w:t>
      </w:r>
    </w:p>
    <w:p>
      <w:pPr>
        <w:spacing w:after="0" w:line="172" w:lineRule="exact"/>
        <w:rPr>
          <w:sz w:val="20"/>
          <w:szCs w:val="20"/>
          <w:color w:val="auto"/>
        </w:rPr>
      </w:pPr>
    </w:p>
    <w:p>
      <w:pPr>
        <w:ind w:left="644" w:hanging="644"/>
        <w:spacing w:after="0"/>
        <w:tabs>
          <w:tab w:leader="none" w:pos="6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Performance Goals and Vesting of Award</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1304" w:right="20" w:hanging="656"/>
        <w:spacing w:after="0" w:line="248" w:lineRule="auto"/>
        <w:tabs>
          <w:tab w:leader="none" w:pos="129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the term “Performance Period” shall mean each of the Company’s [YEAR 1], [YEAR 2] and [YEAR 3]. For purposes of this Agreement, the performance criteria used to establish the Performance Goals shall be the Company’s [YEAR 1], [YEAR 2] and [YEAR 3] (x) [INSERT METRIC 1] (“[</w:t>
      </w:r>
      <w:r>
        <w:rPr>
          <w:rFonts w:ascii="Times New Roman" w:cs="Times New Roman" w:eastAsia="Times New Roman" w:hAnsi="Times New Roman"/>
          <w:sz w:val="22"/>
          <w:szCs w:val="22"/>
          <w:u w:val="single" w:color="auto"/>
          <w:color w:val="auto"/>
        </w:rPr>
        <w:t>METRIC 1]</w:t>
      </w:r>
      <w:r>
        <w:rPr>
          <w:rFonts w:ascii="Times New Roman" w:cs="Times New Roman" w:eastAsia="Times New Roman" w:hAnsi="Times New Roman"/>
          <w:sz w:val="22"/>
          <w:szCs w:val="22"/>
          <w:color w:val="auto"/>
        </w:rPr>
        <w:t>”) and (y) [INSERT METRIC 2] (“</w:t>
      </w:r>
      <w:r>
        <w:rPr>
          <w:rFonts w:ascii="Times New Roman" w:cs="Times New Roman" w:eastAsia="Times New Roman" w:hAnsi="Times New Roman"/>
          <w:sz w:val="22"/>
          <w:szCs w:val="22"/>
          <w:u w:val="single" w:color="auto"/>
          <w:color w:val="auto"/>
        </w:rPr>
        <w:t>[METRIC 2]</w:t>
      </w:r>
      <w:r>
        <w:rPr>
          <w:rFonts w:ascii="Times New Roman" w:cs="Times New Roman" w:eastAsia="Times New Roman" w:hAnsi="Times New Roman"/>
          <w:sz w:val="22"/>
          <w:szCs w:val="22"/>
          <w:color w:val="auto"/>
        </w:rPr>
        <w:t>”), in each case that is approved by the Company’s Board of Directors, or a committee thereof, for presentation to the financial markets, provided that the financial impact of any business acquisition or combination the Company completed will be excluded from [METRIC 1] and [METRIC 2] for the fiscal year of the acquisition and the following fiscal year. No adjustments will be made for any other impacts (e.g., stock buybacks, tax changes, etc.).</w:t>
      </w:r>
    </w:p>
    <w:p>
      <w:pPr>
        <w:spacing w:after="0" w:line="198" w:lineRule="exact"/>
        <w:rPr>
          <w:rFonts w:ascii="Times New Roman" w:cs="Times New Roman" w:eastAsia="Times New Roman" w:hAnsi="Times New Roman"/>
          <w:sz w:val="22"/>
          <w:szCs w:val="22"/>
          <w:color w:val="auto"/>
        </w:rPr>
      </w:pPr>
    </w:p>
    <w:p>
      <w:pPr>
        <w:ind w:left="1304" w:hanging="656"/>
        <w:spacing w:after="0" w:line="248" w:lineRule="auto"/>
        <w:tabs>
          <w:tab w:leader="none" w:pos="130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Paragraph 7 below, the number of shares of Target Stock and Bonus Stock underlying the Award that are eligible to vest as of the Vesting Date (as defined below) will be determined by the Administrator after the end of the [YEAR 3] Performance Period (“</w:t>
      </w:r>
      <w:r>
        <w:rPr>
          <w:rFonts w:ascii="Times New Roman" w:cs="Times New Roman" w:eastAsia="Times New Roman" w:hAnsi="Times New Roman"/>
          <w:sz w:val="22"/>
          <w:szCs w:val="22"/>
          <w:u w:val="single" w:color="auto"/>
          <w:color w:val="auto"/>
        </w:rPr>
        <w:t>Performance End Date</w:t>
      </w:r>
      <w:r>
        <w:rPr>
          <w:rFonts w:ascii="Times New Roman" w:cs="Times New Roman" w:eastAsia="Times New Roman" w:hAnsi="Times New Roman"/>
          <w:sz w:val="22"/>
          <w:szCs w:val="22"/>
          <w:color w:val="auto"/>
        </w:rPr>
        <w:t>”), based on the level of achievement of the Performance Goals during all three Performance Periods and the application of the Performance Formula to such Performance Goals, in accordance with this Paragraph 6. All determinations of whether the Performance Goals have been achieved, the maximum number of shares of Target Stock and Bonus Stock underlying the Award that are eligible to vest as a result of the application of the Performance Formula to the Performance Goals, and all other matters related to this Paragraph 6 shall be made by the Administrator in its sole discretion.</w:t>
      </w:r>
    </w:p>
    <w:p>
      <w:pPr>
        <w:spacing w:after="0" w:line="185" w:lineRule="exact"/>
        <w:rPr>
          <w:rFonts w:ascii="Times New Roman" w:cs="Times New Roman" w:eastAsia="Times New Roman" w:hAnsi="Times New Roman"/>
          <w:sz w:val="22"/>
          <w:szCs w:val="22"/>
          <w:color w:val="auto"/>
        </w:rPr>
      </w:pPr>
    </w:p>
    <w:p>
      <w:pPr>
        <w:ind w:left="1944" w:right="40" w:hanging="648"/>
        <w:spacing w:after="0" w:line="251" w:lineRule="auto"/>
        <w:tabs>
          <w:tab w:leader="none" w:pos="1936"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completion of the [YEAR 3] Performance Period, the Administrator shall review and certify in writing whether, and to what extent, the Performance Goals for each of the Performance Periods have been achieved and, if so, calculate and certify in writing the number of shares of Target Stock and Bonus Stock that are eligible to vest, if any, based upon the application of the Performance Formula to the Performance Goals (such date of certification, the “</w:t>
      </w:r>
      <w:r>
        <w:rPr>
          <w:rFonts w:ascii="Times New Roman" w:cs="Times New Roman" w:eastAsia="Times New Roman" w:hAnsi="Times New Roman"/>
          <w:sz w:val="22"/>
          <w:szCs w:val="22"/>
          <w:u w:val="single" w:color="auto"/>
          <w:color w:val="auto"/>
        </w:rPr>
        <w:t>Certification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such shares of Stock, if any, the “</w:t>
      </w:r>
      <w:r>
        <w:rPr>
          <w:rFonts w:ascii="Times New Roman" w:cs="Times New Roman" w:eastAsia="Times New Roman" w:hAnsi="Times New Roman"/>
          <w:sz w:val="22"/>
          <w:szCs w:val="22"/>
          <w:u w:val="single" w:color="auto"/>
          <w:color w:val="auto"/>
        </w:rPr>
        <w:t>Earned Stock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64"/>
          </w:cols>
          <w:pgMar w:left="976" w:top="1440" w:right="359" w:bottom="1440" w:gutter="0" w:footer="0" w:header="0"/>
        </w:sectPr>
      </w:pPr>
    </w:p>
    <w:bookmarkStart w:id="48" w:name="page49"/>
    <w:bookmarkEnd w:id="48"/>
    <w:p>
      <w:pPr>
        <w:spacing w:after="0" w:line="90" w:lineRule="exact"/>
        <w:rPr>
          <w:sz w:val="20"/>
          <w:szCs w:val="20"/>
          <w:color w:val="auto"/>
        </w:rPr>
      </w:pPr>
    </w:p>
    <w:p>
      <w:pPr>
        <w:ind w:left="840" w:right="20" w:hanging="656"/>
        <w:spacing w:after="0" w:line="256" w:lineRule="auto"/>
        <w:tabs>
          <w:tab w:leader="none" w:pos="82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noted herein, the maximum number of shares of Restricted Stock (and underlying shares of stock), if any, as certified by the Administrator in accordance with Paragraph 6.b. of this Agreement, shall vest (and the restrictions set forth in this Agreement with respect to such Restricted Stock shall be lifted) on the Certification Date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840" w:hanging="656"/>
        <w:spacing w:after="0" w:line="253" w:lineRule="auto"/>
        <w:tabs>
          <w:tab w:leader="none" w:pos="8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Target Stock.</w:t>
      </w:r>
      <w:r>
        <w:rPr>
          <w:rFonts w:ascii="Times New Roman" w:cs="Times New Roman" w:eastAsia="Times New Roman" w:hAnsi="Times New Roman"/>
          <w:sz w:val="22"/>
          <w:szCs w:val="22"/>
          <w:color w:val="auto"/>
        </w:rPr>
        <w:t xml:space="preserve"> The number of shares of Target Stock eligible to vest, if any, shall be determined based on achievement of the following Performance Goals. [ ] percent ([ ]%) of the Target Stock will vest based on [METRIC 1] (such Target Stock, the “</w:t>
      </w:r>
      <w:r>
        <w:rPr>
          <w:rFonts w:ascii="Times New Roman" w:cs="Times New Roman" w:eastAsia="Times New Roman" w:hAnsi="Times New Roman"/>
          <w:sz w:val="22"/>
          <w:szCs w:val="22"/>
          <w:u w:val="single" w:color="auto"/>
          <w:color w:val="auto"/>
        </w:rPr>
        <w:t>[METRIC 1] Target Stock</w:t>
      </w:r>
      <w:r>
        <w:rPr>
          <w:rFonts w:ascii="Times New Roman" w:cs="Times New Roman" w:eastAsia="Times New Roman" w:hAnsi="Times New Roman"/>
          <w:sz w:val="22"/>
          <w:szCs w:val="22"/>
          <w:color w:val="auto"/>
        </w:rPr>
        <w:t>”), and [ ] percent ([ ]%) of the Target Stock will vest based on [METRIC 2] (such Target Stock, the “</w:t>
      </w:r>
      <w:r>
        <w:rPr>
          <w:rFonts w:ascii="Times New Roman" w:cs="Times New Roman" w:eastAsia="Times New Roman" w:hAnsi="Times New Roman"/>
          <w:sz w:val="22"/>
          <w:szCs w:val="22"/>
          <w:u w:val="single" w:color="auto"/>
          <w:color w:val="auto"/>
        </w:rPr>
        <w:t>[METRIC 2] Target Stock</w:t>
      </w:r>
      <w:r>
        <w:rPr>
          <w:rFonts w:ascii="Times New Roman" w:cs="Times New Roman" w:eastAsia="Times New Roman" w:hAnsi="Times New Roman"/>
          <w:sz w:val="22"/>
          <w:szCs w:val="22"/>
          <w:color w:val="auto"/>
        </w:rPr>
        <w:t>”), in each case as set forth in the tables below.</w:t>
      </w:r>
    </w:p>
    <w:p>
      <w:pPr>
        <w:spacing w:after="0" w:line="178" w:lineRule="exact"/>
        <w:rPr>
          <w:rFonts w:ascii="Times New Roman" w:cs="Times New Roman" w:eastAsia="Times New Roman" w:hAnsi="Times New Roman"/>
          <w:sz w:val="22"/>
          <w:szCs w:val="22"/>
          <w:color w:val="auto"/>
        </w:rPr>
      </w:pPr>
    </w:p>
    <w:p>
      <w:pPr>
        <w:ind w:left="1480" w:right="40" w:hanging="648"/>
        <w:spacing w:after="0" w:line="247" w:lineRule="auto"/>
        <w:tabs>
          <w:tab w:leader="none" w:pos="147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third (1/3) of the shares of [METRIC 1] Target Stock are eligible to vest based on actual [METRIC 1] for [YEAR 1], one third (1/3) of the [METRIC 1] Target Stock are eligible to vest based on actual [METRIC 1] for [YEAR 2], and one third (1/3) of the [METRIC 1] Target Stock are eligible to vest based on actual [METRIC 1] for [YEAR 3]. One third (1/3) of the shares of [METRIC 2] Target Stock are eligible to vest based on actual [METRIC 2] for [YEAR 1], one third (1/3) of the [METRIC 2] Target Stock are eligible to vest based on actual [METRIC 2] for [YEAR 2], and one third (1/3) of the [METRIC 2] Target Stock are eligible to vest based on actual [METRIC 2] for [YEAR 3]. Shares of Target Stock that do not vest for a particular Fiscal Year based on the Company’s actual performance for that Fiscal Year are forfeited and not eligible to vest in a subsequent year.</w:t>
      </w:r>
    </w:p>
    <w:p>
      <w:pPr>
        <w:spacing w:after="0" w:line="204" w:lineRule="exact"/>
        <w:rPr>
          <w:rFonts w:ascii="Times New Roman" w:cs="Times New Roman" w:eastAsia="Times New Roman" w:hAnsi="Times New Roman"/>
          <w:sz w:val="22"/>
          <w:szCs w:val="22"/>
          <w:color w:val="auto"/>
        </w:rPr>
      </w:pPr>
    </w:p>
    <w:p>
      <w:pPr>
        <w:ind w:left="1480" w:right="80" w:hanging="648"/>
        <w:spacing w:after="0" w:line="247" w:lineRule="auto"/>
        <w:tabs>
          <w:tab w:leader="none" w:pos="147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[METRIC 1] is below the applicable [METRIC 1] Threshold set forth below, then zero percent (0%) of the [METRIC 1] Target Stock will vest, and if [METRIC 2] is below the applicable [METRIC 2] Target Stock Threshold, then zero percent (0%) of the [METRIC 2] Target Stock will vest. If [METRIC 1] is at or above the applicable [METRIC 1] Target set forth below, then one hundred percent (100%) of the [METRIC 1] Target Stock will vest, and if [METRIC 2] is at or above the applicable [METRIC 2] Target Stock Target, then one hundred percent (100%) of the [METRIC 2] Target Stock will vest. If either [METRIC 1] and/or [METRIC 2] is between the various thresholds set forth in the table below, a pro-rata percentage of [METRIC 1] Target Stock and/or [METRIC 2] Target Stock relative to the applicable percentages will vest, as applicable. For the avoidance of doubt, [METRIC 1] Target Stock and [METRIC 2] Target Stock may vest at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440" w:right="339" w:bottom="1440" w:gutter="0" w:footer="0" w:header="0"/>
        </w:sectPr>
      </w:pPr>
    </w:p>
    <w:bookmarkStart w:id="49" w:name="page50"/>
    <w:bookmarkEnd w:id="49"/>
    <w:p>
      <w:pPr>
        <w:spacing w:after="0" w:line="90" w:lineRule="exact"/>
        <w:rPr>
          <w:sz w:val="20"/>
          <w:szCs w:val="20"/>
          <w:color w:val="auto"/>
        </w:rPr>
      </w:pPr>
    </w:p>
    <w:p>
      <w:pPr>
        <w:ind w:left="2592" w:right="740"/>
        <w:spacing w:after="0" w:line="271" w:lineRule="auto"/>
        <w:rPr>
          <w:sz w:val="20"/>
          <w:szCs w:val="20"/>
          <w:color w:val="auto"/>
        </w:rPr>
      </w:pPr>
      <w:r>
        <w:rPr>
          <w:rFonts w:ascii="Times New Roman" w:cs="Times New Roman" w:eastAsia="Times New Roman" w:hAnsi="Times New Roman"/>
          <w:sz w:val="22"/>
          <w:szCs w:val="22"/>
          <w:color w:val="auto"/>
        </w:rPr>
        <w:t>percentages, and in no event shall the aggregate amount of [METRIC 1] Target Stock and [METRIC 2] Target Stock that vests exceed the aggregate amount of Target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417830</wp:posOffset>
            </wp:positionV>
            <wp:extent cx="5983605" cy="1543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98360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32"/>
        <w:spacing w:after="0"/>
        <w:rPr>
          <w:sz w:val="20"/>
          <w:szCs w:val="20"/>
          <w:color w:val="auto"/>
        </w:rPr>
      </w:pPr>
      <w:r>
        <w:rPr>
          <w:rFonts w:ascii="Times New Roman" w:cs="Times New Roman" w:eastAsia="Times New Roman" w:hAnsi="Times New Roman"/>
          <w:sz w:val="22"/>
          <w:szCs w:val="22"/>
          <w:b w:val="1"/>
          <w:bCs w:val="1"/>
          <w:color w:val="auto"/>
        </w:rPr>
        <w:t>[YEAR 1] – Target Stock</w:t>
      </w:r>
    </w:p>
    <w:p>
      <w:pPr>
        <w:spacing w:after="0" w:line="244" w:lineRule="exact"/>
        <w:rPr>
          <w:sz w:val="20"/>
          <w:szCs w:val="20"/>
          <w:color w:val="auto"/>
        </w:rPr>
      </w:pPr>
    </w:p>
    <w:tbl>
      <w:tblPr>
        <w:tblLayout w:type="fixed"/>
        <w:tblInd w:w="1082" w:type="dxa"/>
        <w:tblCellMar>
          <w:top w:w="0" w:type="dxa"/>
          <w:left w:w="0" w:type="dxa"/>
          <w:bottom w:w="0" w:type="dxa"/>
          <w:right w:w="0" w:type="dxa"/>
        </w:tblCellMar>
      </w:tblPr>
      <w:tr>
        <w:trPr>
          <w:trHeight w:val="291"/>
        </w:trPr>
        <w:tc>
          <w:tcPr>
            <w:tcW w:w="1600" w:type="dxa"/>
            <w:vAlign w:val="bottom"/>
            <w:tcBorders>
              <w:top w:val="single" w:sz="8" w:color="auto"/>
              <w:right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[METRIC 1] (</w:t>
            </w:r>
            <w:r>
              <w:rPr>
                <w:rFonts w:ascii="Times New Roman" w:cs="Times New Roman" w:eastAsia="Times New Roman" w:hAnsi="Times New Roman"/>
                <w:sz w:val="22"/>
                <w:szCs w:val="22"/>
                <w:b w:val="1"/>
                <w:bCs w:val="1"/>
                <w:i w:val="1"/>
                <w:iCs w:val="1"/>
                <w:color w:val="auto"/>
                <w:w w:val="98"/>
              </w:rPr>
              <w:t>in</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[METRIC 2]</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of [METRIC</w:t>
            </w: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[METRIC</w:t>
            </w:r>
          </w:p>
        </w:tc>
        <w:tc>
          <w:tcPr>
            <w:tcW w:w="0" w:type="dxa"/>
            <w:vAlign w:val="bottom"/>
          </w:tcPr>
          <w:p>
            <w:pPr>
              <w:spacing w:after="0"/>
              <w:rPr>
                <w:sz w:val="1"/>
                <w:szCs w:val="1"/>
                <w:color w:val="auto"/>
              </w:rPr>
            </w:pPr>
          </w:p>
        </w:tc>
      </w:tr>
      <w:tr>
        <w:trPr>
          <w:trHeight w:val="288"/>
        </w:trPr>
        <w:tc>
          <w:tcPr>
            <w:tcW w:w="160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9"/>
              </w:rPr>
              <w:t>millions</w:t>
            </w:r>
            <w:r>
              <w:rPr>
                <w:rFonts w:ascii="Times New Roman" w:cs="Times New Roman" w:eastAsia="Times New Roman" w:hAnsi="Times New Roman"/>
                <w:sz w:val="22"/>
                <w:szCs w:val="22"/>
                <w:b w:val="1"/>
                <w:bCs w:val="1"/>
                <w:color w:val="auto"/>
                <w:w w:val="99"/>
              </w:rPr>
              <w:t>)</w:t>
            </w:r>
          </w:p>
        </w:tc>
        <w:tc>
          <w:tcPr>
            <w:tcW w:w="1560" w:type="dxa"/>
            <w:vAlign w:val="bottom"/>
            <w:tcBorders>
              <w:right w:val="single" w:sz="8" w:color="auto"/>
            </w:tcBorders>
            <w:vMerge w:val="continue"/>
          </w:tcPr>
          <w:p>
            <w:pPr>
              <w:spacing w:after="0"/>
              <w:rPr>
                <w:sz w:val="24"/>
                <w:szCs w:val="24"/>
                <w:color w:val="auto"/>
              </w:rPr>
            </w:pP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 Target Stock Earned</w:t>
            </w: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 Target Stock Earned</w:t>
            </w:r>
          </w:p>
        </w:tc>
        <w:tc>
          <w:tcPr>
            <w:tcW w:w="0" w:type="dxa"/>
            <w:vAlign w:val="bottom"/>
          </w:tcPr>
          <w:p>
            <w:pPr>
              <w:spacing w:after="0"/>
              <w:rPr>
                <w:sz w:val="1"/>
                <w:szCs w:val="1"/>
                <w:color w:val="auto"/>
              </w:rPr>
            </w:pPr>
          </w:p>
        </w:tc>
      </w:tr>
      <w:tr>
        <w:trPr>
          <w:trHeight w:val="218"/>
        </w:trPr>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Threshold</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 ]</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 ]</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 ]%</w:t>
            </w: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0" w:type="dxa"/>
            <w:vAlign w:val="bottom"/>
          </w:tcPr>
          <w:p>
            <w:pPr>
              <w:spacing w:after="0"/>
              <w:rPr>
                <w:sz w:val="1"/>
                <w:szCs w:val="1"/>
                <w:color w:val="auto"/>
              </w:rPr>
            </w:pPr>
          </w:p>
        </w:tc>
      </w:tr>
      <w:tr>
        <w:trPr>
          <w:trHeight w:val="231"/>
        </w:trPr>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Target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 ]</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 ]</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w:t>
            </w: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0" w:type="dxa"/>
            <w:vAlign w:val="bottom"/>
          </w:tcPr>
          <w:p>
            <w:pPr>
              <w:spacing w:after="0"/>
              <w:rPr>
                <w:sz w:val="1"/>
                <w:szCs w:val="1"/>
                <w:color w:val="auto"/>
              </w:rPr>
            </w:pPr>
          </w:p>
        </w:tc>
      </w:tr>
      <w:tr>
        <w:trPr>
          <w:trHeight w:val="231"/>
        </w:trPr>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1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600" w:type="dxa"/>
            <w:vAlign w:val="bottom"/>
            <w:tcBorders>
              <w:lef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3900" w:type="dxa"/>
            <w:vAlign w:val="bottom"/>
            <w:gridSpan w:val="2"/>
          </w:tcPr>
          <w:p>
            <w:pPr>
              <w:ind w:left="400"/>
              <w:spacing w:after="0"/>
              <w:rPr>
                <w:sz w:val="20"/>
                <w:szCs w:val="20"/>
                <w:color w:val="auto"/>
              </w:rPr>
            </w:pPr>
            <w:r>
              <w:rPr>
                <w:rFonts w:ascii="Times New Roman" w:cs="Times New Roman" w:eastAsia="Times New Roman" w:hAnsi="Times New Roman"/>
                <w:sz w:val="22"/>
                <w:szCs w:val="22"/>
                <w:b w:val="1"/>
                <w:bCs w:val="1"/>
                <w:color w:val="auto"/>
              </w:rPr>
              <w:t>[YEAR 2] – Target Stock</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600" w:type="dxa"/>
            <w:vAlign w:val="bottom"/>
            <w:tcBorders>
              <w:left w:val="single" w:sz="8" w:color="auto"/>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60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[METRIC 1]</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[METRIC 2]</w:t>
            </w:r>
          </w:p>
        </w:tc>
        <w:tc>
          <w:tcPr>
            <w:tcW w:w="234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60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Actual [YEAR 1]</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Actual [YEAR 1]</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of [METRIC</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[METRIC</w:t>
            </w:r>
          </w:p>
        </w:tc>
        <w:tc>
          <w:tcPr>
            <w:tcW w:w="0" w:type="dxa"/>
            <w:vAlign w:val="bottom"/>
          </w:tcPr>
          <w:p>
            <w:pPr>
              <w:spacing w:after="0"/>
              <w:rPr>
                <w:sz w:val="1"/>
                <w:szCs w:val="1"/>
                <w:color w:val="auto"/>
              </w:rPr>
            </w:pPr>
          </w:p>
        </w:tc>
      </w:tr>
      <w:tr>
        <w:trPr>
          <w:trHeight w:val="383"/>
        </w:trPr>
        <w:tc>
          <w:tcPr>
            <w:tcW w:w="160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5"/>
              </w:rPr>
              <w:t>+% below</w:t>
            </w:r>
            <w:r>
              <w:rPr>
                <w:rFonts w:ascii="Times New Roman" w:cs="Times New Roman" w:eastAsia="Times New Roman" w:hAnsi="Times New Roman"/>
                <w:sz w:val="28"/>
                <w:szCs w:val="28"/>
                <w:i w:val="1"/>
                <w:iCs w:val="1"/>
                <w:color w:val="auto"/>
                <w:w w:val="95"/>
                <w:vertAlign w:val="superscript"/>
              </w:rPr>
              <w:t>1</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 below</w:t>
            </w:r>
            <w:r>
              <w:rPr>
                <w:rFonts w:ascii="Times New Roman" w:cs="Times New Roman" w:eastAsia="Times New Roman" w:hAnsi="Times New Roman"/>
                <w:sz w:val="28"/>
                <w:szCs w:val="28"/>
                <w:i w:val="1"/>
                <w:iCs w:val="1"/>
                <w:color w:val="auto"/>
                <w:w w:val="97"/>
                <w:vertAlign w:val="superscript"/>
              </w:rPr>
              <w:t>1</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 Target Stock Earned</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 Target Stock Earned</w:t>
            </w:r>
          </w:p>
        </w:tc>
        <w:tc>
          <w:tcPr>
            <w:tcW w:w="0" w:type="dxa"/>
            <w:vAlign w:val="bottom"/>
          </w:tcPr>
          <w:p>
            <w:pPr>
              <w:spacing w:after="0"/>
              <w:rPr>
                <w:sz w:val="1"/>
                <w:szCs w:val="1"/>
                <w:color w:val="auto"/>
              </w:rPr>
            </w:pPr>
          </w:p>
        </w:tc>
      </w:tr>
      <w:tr>
        <w:trPr>
          <w:trHeight w:val="148"/>
        </w:trPr>
        <w:tc>
          <w:tcPr>
            <w:tcW w:w="1600" w:type="dxa"/>
            <w:vAlign w:val="bottom"/>
            <w:tcBorders>
              <w:left w:val="single" w:sz="8" w:color="auto"/>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Threshold</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 ]%</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0" w:type="dxa"/>
            <w:vAlign w:val="bottom"/>
          </w:tcPr>
          <w:p>
            <w:pPr>
              <w:spacing w:after="0"/>
              <w:rPr>
                <w:sz w:val="1"/>
                <w:szCs w:val="1"/>
                <w:color w:val="auto"/>
              </w:rPr>
            </w:pPr>
          </w:p>
        </w:tc>
      </w:tr>
      <w:tr>
        <w:trPr>
          <w:trHeight w:val="231"/>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Target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0" w:type="dxa"/>
            <w:vAlign w:val="bottom"/>
          </w:tcPr>
          <w:p>
            <w:pPr>
              <w:spacing w:after="0"/>
              <w:rPr>
                <w:sz w:val="1"/>
                <w:szCs w:val="1"/>
                <w:color w:val="auto"/>
              </w:rPr>
            </w:pPr>
          </w:p>
        </w:tc>
      </w:tr>
      <w:tr>
        <w:trPr>
          <w:trHeight w:val="231"/>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436880</wp:posOffset>
            </wp:positionV>
            <wp:extent cx="5983605" cy="3511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9836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32"/>
        <w:spacing w:after="0"/>
        <w:rPr>
          <w:sz w:val="20"/>
          <w:szCs w:val="20"/>
          <w:color w:val="auto"/>
        </w:rPr>
      </w:pPr>
      <w:r>
        <w:rPr>
          <w:rFonts w:ascii="Times New Roman" w:cs="Times New Roman" w:eastAsia="Times New Roman" w:hAnsi="Times New Roman"/>
          <w:sz w:val="22"/>
          <w:szCs w:val="22"/>
          <w:b w:val="1"/>
          <w:bCs w:val="1"/>
          <w:color w:val="auto"/>
        </w:rPr>
        <w:t>[YEAR 3] – Target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347980</wp:posOffset>
            </wp:positionV>
            <wp:extent cx="1714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 w:firstLine="8"/>
        <w:spacing w:after="0" w:line="239" w:lineRule="auto"/>
        <w:tabs>
          <w:tab w:leader="none" w:pos="95"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[METRIC 1] and [METRIC 2] Performance Goal metrics for [YEAR 2] are based on a percentage increase from actual performance for [YEAR 1], and for [YEAR 3] are based on a percentage increase from actual performance for [YEAR 2]. For example, if actual [METRIC 1] for [YEAR 2] represented a [ ]% increase from actual [METRIC 1] for [YEAR 1], the percentage of [METRIC 1] Target Stock eligible to vest for [YEAR 2] would be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72"/>
          </w:cols>
          <w:pgMar w:left="328" w:top="1440" w:right="499" w:bottom="1440" w:gutter="0" w:footer="0" w:header="0"/>
        </w:sectPr>
      </w:pPr>
    </w:p>
    <w:bookmarkStart w:id="50" w:name="page51"/>
    <w:bookmarkEnd w:id="50"/>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1600" w:type="dxa"/>
            <w:vAlign w:val="bottom"/>
            <w:tcBorders>
              <w:top w:val="single" w:sz="8" w:color="auto"/>
              <w:left w:val="single" w:sz="8" w:color="auto"/>
              <w:right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[METRIC 1]</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[METRIC 2]</w:t>
            </w:r>
          </w:p>
        </w:tc>
        <w:tc>
          <w:tcPr>
            <w:tcW w:w="2340" w:type="dxa"/>
            <w:vAlign w:val="bottom"/>
            <w:tcBorders>
              <w:top w:val="single" w:sz="8" w:color="auto"/>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spacing w:after="0"/>
              <w:rPr>
                <w:sz w:val="24"/>
                <w:szCs w:val="24"/>
                <w:color w:val="auto"/>
              </w:rPr>
            </w:pPr>
          </w:p>
        </w:tc>
      </w:tr>
      <w:tr>
        <w:trPr>
          <w:trHeight w:val="443"/>
        </w:trPr>
        <w:tc>
          <w:tcPr>
            <w:tcW w:w="160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Actual [YEAR 2]</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Actual [YEAR 2]</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of [METRIC</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[METRIC</w:t>
            </w:r>
          </w:p>
        </w:tc>
      </w:tr>
      <w:tr>
        <w:trPr>
          <w:trHeight w:val="383"/>
        </w:trPr>
        <w:tc>
          <w:tcPr>
            <w:tcW w:w="160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5"/>
              </w:rPr>
              <w:t>+% below</w:t>
            </w:r>
            <w:r>
              <w:rPr>
                <w:rFonts w:ascii="Times New Roman" w:cs="Times New Roman" w:eastAsia="Times New Roman" w:hAnsi="Times New Roman"/>
                <w:sz w:val="28"/>
                <w:szCs w:val="28"/>
                <w:i w:val="1"/>
                <w:iCs w:val="1"/>
                <w:color w:val="auto"/>
                <w:w w:val="95"/>
                <w:vertAlign w:val="superscript"/>
              </w:rPr>
              <w:t>1</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 below</w:t>
            </w:r>
            <w:r>
              <w:rPr>
                <w:rFonts w:ascii="Times New Roman" w:cs="Times New Roman" w:eastAsia="Times New Roman" w:hAnsi="Times New Roman"/>
                <w:sz w:val="28"/>
                <w:szCs w:val="28"/>
                <w:i w:val="1"/>
                <w:iCs w:val="1"/>
                <w:color w:val="auto"/>
                <w:w w:val="97"/>
                <w:vertAlign w:val="superscript"/>
              </w:rPr>
              <w:t>1</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 Target Stock Earned</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 Target Stock Earned</w:t>
            </w:r>
          </w:p>
        </w:tc>
      </w:tr>
      <w:tr>
        <w:trPr>
          <w:trHeight w:val="148"/>
        </w:trPr>
        <w:tc>
          <w:tcPr>
            <w:tcW w:w="1600" w:type="dxa"/>
            <w:vAlign w:val="bottom"/>
            <w:tcBorders>
              <w:left w:val="single" w:sz="8" w:color="auto"/>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r>
      <w:tr>
        <w:trPr>
          <w:trHeight w:val="289"/>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Threshold</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2340" w:type="dxa"/>
            <w:vAlign w:val="bottom"/>
            <w:tcBorders>
              <w:right w:val="single" w:sz="8" w:color="auto"/>
            </w:tcBorders>
          </w:tcPr>
          <w:p>
            <w:pPr>
              <w:jc w:val="right"/>
              <w:ind w:right="892"/>
              <w:spacing w:after="0"/>
              <w:rPr>
                <w:sz w:val="20"/>
                <w:szCs w:val="20"/>
                <w:color w:val="auto"/>
              </w:rPr>
            </w:pPr>
            <w:r>
              <w:rPr>
                <w:rFonts w:ascii="Times New Roman" w:cs="Times New Roman" w:eastAsia="Times New Roman" w:hAnsi="Times New Roman"/>
                <w:sz w:val="22"/>
                <w:szCs w:val="22"/>
                <w:color w:val="auto"/>
              </w:rPr>
              <w:t>[ ]%</w:t>
            </w:r>
          </w:p>
        </w:tc>
        <w:tc>
          <w:tcPr>
            <w:tcW w:w="2360" w:type="dxa"/>
            <w:vAlign w:val="bottom"/>
            <w:tcBorders>
              <w:right w:val="single" w:sz="8" w:color="auto"/>
            </w:tcBorders>
          </w:tcPr>
          <w:p>
            <w:pPr>
              <w:jc w:val="right"/>
              <w:ind w:right="892"/>
              <w:spacing w:after="0"/>
              <w:rPr>
                <w:sz w:val="20"/>
                <w:szCs w:val="20"/>
                <w:color w:val="auto"/>
              </w:rPr>
            </w:pPr>
            <w:r>
              <w:rPr>
                <w:rFonts w:ascii="Times New Roman" w:cs="Times New Roman" w:eastAsia="Times New Roman" w:hAnsi="Times New Roman"/>
                <w:sz w:val="22"/>
                <w:szCs w:val="22"/>
                <w:color w:val="auto"/>
              </w:rPr>
              <w:t>[ ]%</w:t>
            </w:r>
          </w:p>
        </w:tc>
      </w:tr>
      <w:tr>
        <w:trPr>
          <w:trHeight w:val="231"/>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r>
      <w:tr>
        <w:trPr>
          <w:trHeight w:val="289"/>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Target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2340" w:type="dxa"/>
            <w:vAlign w:val="bottom"/>
            <w:tcBorders>
              <w:right w:val="single" w:sz="8" w:color="auto"/>
            </w:tcBorders>
          </w:tcPr>
          <w:p>
            <w:pPr>
              <w:jc w:val="right"/>
              <w:ind w:right="812"/>
              <w:spacing w:after="0"/>
              <w:rPr>
                <w:sz w:val="20"/>
                <w:szCs w:val="20"/>
                <w:color w:val="auto"/>
              </w:rPr>
            </w:pPr>
            <w:r>
              <w:rPr>
                <w:rFonts w:ascii="Times New Roman" w:cs="Times New Roman" w:eastAsia="Times New Roman" w:hAnsi="Times New Roman"/>
                <w:sz w:val="22"/>
                <w:szCs w:val="22"/>
                <w:color w:val="auto"/>
              </w:rPr>
              <w:t>100%</w:t>
            </w:r>
          </w:p>
        </w:tc>
        <w:tc>
          <w:tcPr>
            <w:tcW w:w="2360" w:type="dxa"/>
            <w:vAlign w:val="bottom"/>
            <w:tcBorders>
              <w:right w:val="single" w:sz="8" w:color="auto"/>
            </w:tcBorders>
          </w:tcPr>
          <w:p>
            <w:pPr>
              <w:jc w:val="right"/>
              <w:ind w:right="832"/>
              <w:spacing w:after="0"/>
              <w:rPr>
                <w:sz w:val="20"/>
                <w:szCs w:val="20"/>
                <w:color w:val="auto"/>
              </w:rPr>
            </w:pPr>
            <w:r>
              <w:rPr>
                <w:rFonts w:ascii="Times New Roman" w:cs="Times New Roman" w:eastAsia="Times New Roman" w:hAnsi="Times New Roman"/>
                <w:sz w:val="22"/>
                <w:szCs w:val="22"/>
                <w:color w:val="auto"/>
              </w:rPr>
              <w:t>100%</w:t>
            </w:r>
          </w:p>
        </w:tc>
      </w:tr>
      <w:tr>
        <w:trPr>
          <w:trHeight w:val="231"/>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r>
    </w:tbl>
    <w:p>
      <w:pPr>
        <w:spacing w:after="0" w:line="297" w:lineRule="exact"/>
        <w:rPr>
          <w:sz w:val="20"/>
          <w:szCs w:val="20"/>
          <w:color w:val="auto"/>
        </w:rPr>
      </w:pPr>
    </w:p>
    <w:p>
      <w:pPr>
        <w:ind w:left="880" w:right="140" w:hanging="656"/>
        <w:spacing w:after="0" w:line="250" w:lineRule="auto"/>
        <w:tabs>
          <w:tab w:leader="none" w:pos="86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Stock</w:t>
      </w:r>
      <w:r>
        <w:rPr>
          <w:rFonts w:ascii="Times New Roman" w:cs="Times New Roman" w:eastAsia="Times New Roman" w:hAnsi="Times New Roman"/>
          <w:sz w:val="22"/>
          <w:szCs w:val="22"/>
          <w:color w:val="auto"/>
        </w:rPr>
        <w:t>. The number of shares of Bonus Stock eligible to be issued and vest, if any, shall be determined based on achievement of the following Performance Goals. Fifty percent (50%) of the Bonus Stock will vest based on [METRIC 1] (such Bonus Stock, the “</w:t>
      </w:r>
      <w:r>
        <w:rPr>
          <w:rFonts w:ascii="Times New Roman" w:cs="Times New Roman" w:eastAsia="Times New Roman" w:hAnsi="Times New Roman"/>
          <w:sz w:val="22"/>
          <w:szCs w:val="22"/>
          <w:u w:val="single" w:color="auto"/>
          <w:color w:val="auto"/>
        </w:rPr>
        <w:t>[METRIC 1] Bonus Stock</w:t>
      </w:r>
      <w:r>
        <w:rPr>
          <w:rFonts w:ascii="Times New Roman" w:cs="Times New Roman" w:eastAsia="Times New Roman" w:hAnsi="Times New Roman"/>
          <w:sz w:val="22"/>
          <w:szCs w:val="22"/>
          <w:color w:val="auto"/>
        </w:rPr>
        <w:t>”), and the remaining fifty percent (50%) of the Bonus Stock will vest based on [METRIC 2] (such Bonus Stock, the “</w:t>
      </w:r>
      <w:r>
        <w:rPr>
          <w:rFonts w:ascii="Times New Roman" w:cs="Times New Roman" w:eastAsia="Times New Roman" w:hAnsi="Times New Roman"/>
          <w:sz w:val="22"/>
          <w:szCs w:val="22"/>
          <w:u w:val="single" w:color="auto"/>
          <w:color w:val="auto"/>
        </w:rPr>
        <w:t>[METRIC 2] Bonus Stock</w:t>
      </w:r>
      <w:r>
        <w:rPr>
          <w:rFonts w:ascii="Times New Roman" w:cs="Times New Roman" w:eastAsia="Times New Roman" w:hAnsi="Times New Roman"/>
          <w:sz w:val="22"/>
          <w:szCs w:val="22"/>
          <w:color w:val="auto"/>
        </w:rPr>
        <w:t>”), in each case as set forth in the tables below.</w:t>
      </w:r>
    </w:p>
    <w:p>
      <w:pPr>
        <w:spacing w:after="0" w:line="194" w:lineRule="exact"/>
        <w:rPr>
          <w:rFonts w:ascii="Times New Roman" w:cs="Times New Roman" w:eastAsia="Times New Roman" w:hAnsi="Times New Roman"/>
          <w:sz w:val="22"/>
          <w:szCs w:val="22"/>
          <w:color w:val="auto"/>
        </w:rPr>
      </w:pPr>
    </w:p>
    <w:p>
      <w:pPr>
        <w:ind w:left="1520" w:hanging="648"/>
        <w:spacing w:after="0" w:line="247" w:lineRule="auto"/>
        <w:tabs>
          <w:tab w:leader="none" w:pos="151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third (1/3) of the shares of [METRIC 1] Bonus Stock are eligible to vest based on actual [METRIC 1] for [YEAR 1], one third (1/3) of the [METRIC 1] Bonus Stock are eligible to vest based on actual [METRIC 1] for [YEAR 2], and one third (1/3) of the [METRIC 1] Bonus Stock are eligible to vest based on actual [METRIC 1] for [YEAR 3]. One third (1/3) of the shares of [METRIC 2] Bonus Stock are eligible to vest based on actual [METRIC 2] for [YEAR 1], one third (1/3) of the [METRIC 2] Bonus Stock are eligible to vest based on actual [METRIC 2] for [YEAR 2], and one third (1/3) of the [METRIC 2] Bonus Stock are eligible to vest based on actual [METRIC 2] for [YEAR 3]. Shares of Bonus Stock that do not vest for a particular Fiscal Year based on the Company’s actual performance for that Fiscal Year are forfeited and not eligible to vest in a subsequent year.</w:t>
      </w:r>
    </w:p>
    <w:p>
      <w:pPr>
        <w:spacing w:after="0" w:line="190" w:lineRule="exact"/>
        <w:rPr>
          <w:rFonts w:ascii="Times New Roman" w:cs="Times New Roman" w:eastAsia="Times New Roman" w:hAnsi="Times New Roman"/>
          <w:sz w:val="22"/>
          <w:szCs w:val="22"/>
          <w:color w:val="auto"/>
        </w:rPr>
      </w:pPr>
    </w:p>
    <w:p>
      <w:pPr>
        <w:ind w:left="1520" w:right="60" w:hanging="648"/>
        <w:spacing w:after="0" w:line="252" w:lineRule="auto"/>
        <w:tabs>
          <w:tab w:leader="none" w:pos="151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[METRIC 1] is equal to or below the applicable Bonus Stock Threshold, then zero percent (0%) of the [METRIC 1] Bonus Stock will vest, and if [METRIC 2] is equal to or below the applicable [METRIC 2] Bonus Stock Threshold, then zero percent (0%) of the [METRIC 2] Bonus Stock will vest. If [METRIC 1] is at or above the applicable Bonus Stock Maximum, then one hundred percent (100%) of the [METRIC 1] Bonus Stock will vest, and if [METRIC 2] is at or above the applicable Bonus Stock Maximum, then one hundred percent (100%) of the [METRIC 2] Bonus Stock will vest. If either [METRIC 1] and/or [METRIC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140"/>
          </w:cols>
          <w:pgMar w:left="1400" w:top="1440" w:right="359" w:bottom="1440" w:gutter="0" w:footer="0" w:header="0"/>
        </w:sectPr>
      </w:pPr>
    </w:p>
    <w:bookmarkStart w:id="51" w:name="page52"/>
    <w:bookmarkEnd w:id="51"/>
    <w:p>
      <w:pPr>
        <w:spacing w:after="0" w:line="90" w:lineRule="exact"/>
        <w:rPr>
          <w:sz w:val="20"/>
          <w:szCs w:val="20"/>
          <w:color w:val="auto"/>
        </w:rPr>
      </w:pPr>
    </w:p>
    <w:p>
      <w:pPr>
        <w:ind w:left="1520"/>
        <w:spacing w:after="0" w:line="251" w:lineRule="auto"/>
        <w:rPr>
          <w:sz w:val="20"/>
          <w:szCs w:val="20"/>
          <w:color w:val="auto"/>
        </w:rPr>
      </w:pPr>
      <w:r>
        <w:rPr>
          <w:rFonts w:ascii="Times New Roman" w:cs="Times New Roman" w:eastAsia="Times New Roman" w:hAnsi="Times New Roman"/>
          <w:sz w:val="22"/>
          <w:szCs w:val="22"/>
          <w:color w:val="auto"/>
        </w:rPr>
        <w:t>is between the various thresholds set forth in the tables below, a pro-rata percentage of [METRIC 1] Bonus Stock and/or [METRIC 2] Bonus Stock relative to the applicable percentages will vest, as applicable. For the avoidance of doubt, [METRIC 1] Bonus Stock and [METRIC 2] Bonus Stock may vest at different percentages, and in no event shall the aggregate amount of [METRIC 1] Bonus Stock and [METRIC 2] Bonus S5tock that vests exceed the aggregate amount of Bonus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5983605" cy="18688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98360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[YEAR 1] – Bonus Stock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600" w:type="dxa"/>
            <w:vAlign w:val="bottom"/>
            <w:tcBorders>
              <w:top w:val="single" w:sz="8" w:color="auto"/>
              <w:right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[METRIC 1] (</w:t>
            </w:r>
            <w:r>
              <w:rPr>
                <w:rFonts w:ascii="Times New Roman" w:cs="Times New Roman" w:eastAsia="Times New Roman" w:hAnsi="Times New Roman"/>
                <w:sz w:val="22"/>
                <w:szCs w:val="22"/>
                <w:b w:val="1"/>
                <w:bCs w:val="1"/>
                <w:i w:val="1"/>
                <w:iCs w:val="1"/>
                <w:color w:val="auto"/>
                <w:w w:val="98"/>
              </w:rPr>
              <w:t>in</w:t>
            </w:r>
          </w:p>
        </w:tc>
        <w:tc>
          <w:tcPr>
            <w:tcW w:w="1560" w:type="dxa"/>
            <w:vAlign w:val="bottom"/>
            <w:tcBorders>
              <w:top w:val="single" w:sz="8" w:color="auto"/>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of [METRIC</w:t>
            </w: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[METRIC</w:t>
            </w:r>
          </w:p>
        </w:tc>
      </w:tr>
      <w:tr>
        <w:trPr>
          <w:trHeight w:val="288"/>
        </w:trPr>
        <w:tc>
          <w:tcPr>
            <w:tcW w:w="160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9"/>
              </w:rPr>
              <w:t>millions</w:t>
            </w:r>
            <w:r>
              <w:rPr>
                <w:rFonts w:ascii="Times New Roman" w:cs="Times New Roman" w:eastAsia="Times New Roman" w:hAnsi="Times New Roman"/>
                <w:sz w:val="22"/>
                <w:szCs w:val="22"/>
                <w:b w:val="1"/>
                <w:bCs w:val="1"/>
                <w:color w:val="auto"/>
                <w:w w:val="99"/>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[METRIC 2]</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 Bonus Stock Earned</w:t>
            </w: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 Bonus Stock Earned</w:t>
            </w:r>
          </w:p>
        </w:tc>
      </w:tr>
      <w:tr>
        <w:trPr>
          <w:trHeight w:val="231"/>
        </w:trPr>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r>
      <w:tr>
        <w:trPr>
          <w:trHeight w:val="259"/>
        </w:trPr>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Bonus Stock</w:t>
            </w:r>
          </w:p>
        </w:tc>
        <w:tc>
          <w:tcPr>
            <w:tcW w:w="15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360" w:type="dxa"/>
            <w:vAlign w:val="bottom"/>
          </w:tcPr>
          <w:p>
            <w:pPr>
              <w:spacing w:after="0"/>
              <w:rPr>
                <w:sz w:val="22"/>
                <w:szCs w:val="22"/>
                <w:color w:val="auto"/>
              </w:rPr>
            </w:pPr>
          </w:p>
        </w:tc>
      </w:tr>
      <w:tr>
        <w:trPr>
          <w:trHeight w:val="286"/>
        </w:trPr>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Threshold</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 ]</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 ]</w:t>
            </w:r>
          </w:p>
        </w:tc>
        <w:tc>
          <w:tcPr>
            <w:tcW w:w="2340" w:type="dxa"/>
            <w:vAlign w:val="bottom"/>
            <w:tcBorders>
              <w:right w:val="single" w:sz="8" w:color="auto"/>
            </w:tcBorders>
          </w:tcPr>
          <w:p>
            <w:pPr>
              <w:jc w:val="right"/>
              <w:ind w:right="932"/>
              <w:spacing w:after="0"/>
              <w:rPr>
                <w:sz w:val="20"/>
                <w:szCs w:val="20"/>
                <w:color w:val="auto"/>
              </w:rPr>
            </w:pPr>
            <w:r>
              <w:rPr>
                <w:rFonts w:ascii="Times New Roman" w:cs="Times New Roman" w:eastAsia="Times New Roman" w:hAnsi="Times New Roman"/>
                <w:sz w:val="22"/>
                <w:szCs w:val="22"/>
                <w:color w:val="auto"/>
              </w:rPr>
              <w:t>0%</w:t>
            </w:r>
          </w:p>
        </w:tc>
        <w:tc>
          <w:tcPr>
            <w:tcW w:w="23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0%</w:t>
            </w:r>
          </w:p>
        </w:tc>
      </w:tr>
      <w:tr>
        <w:trPr>
          <w:trHeight w:val="231"/>
        </w:trPr>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r>
      <w:tr>
        <w:trPr>
          <w:trHeight w:val="259"/>
        </w:trPr>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Bonus Stock</w:t>
            </w:r>
          </w:p>
        </w:tc>
        <w:tc>
          <w:tcPr>
            <w:tcW w:w="15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360" w:type="dxa"/>
            <w:vAlign w:val="bottom"/>
          </w:tcPr>
          <w:p>
            <w:pPr>
              <w:spacing w:after="0"/>
              <w:rPr>
                <w:sz w:val="22"/>
                <w:szCs w:val="22"/>
                <w:color w:val="auto"/>
              </w:rPr>
            </w:pPr>
          </w:p>
        </w:tc>
      </w:tr>
      <w:tr>
        <w:trPr>
          <w:trHeight w:val="286"/>
        </w:trPr>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Maximum</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 ]</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 ]</w:t>
            </w:r>
          </w:p>
        </w:tc>
        <w:tc>
          <w:tcPr>
            <w:tcW w:w="2340" w:type="dxa"/>
            <w:vAlign w:val="bottom"/>
            <w:tcBorders>
              <w:right w:val="single" w:sz="8" w:color="auto"/>
            </w:tcBorders>
          </w:tcPr>
          <w:p>
            <w:pPr>
              <w:jc w:val="right"/>
              <w:ind w:right="812"/>
              <w:spacing w:after="0"/>
              <w:rPr>
                <w:sz w:val="20"/>
                <w:szCs w:val="20"/>
                <w:color w:val="auto"/>
              </w:rPr>
            </w:pPr>
            <w:r>
              <w:rPr>
                <w:rFonts w:ascii="Times New Roman" w:cs="Times New Roman" w:eastAsia="Times New Roman" w:hAnsi="Times New Roman"/>
                <w:sz w:val="22"/>
                <w:szCs w:val="22"/>
                <w:color w:val="auto"/>
              </w:rPr>
              <w:t>100%</w:t>
            </w:r>
          </w:p>
        </w:tc>
        <w:tc>
          <w:tcPr>
            <w:tcW w:w="23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100%</w:t>
            </w:r>
          </w:p>
        </w:tc>
      </w:tr>
      <w:tr>
        <w:trPr>
          <w:trHeight w:val="231"/>
        </w:trPr>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404040"/>
        </w:rPr>
        <w:t>[Remainder of the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20"/>
          </w:cols>
          <w:pgMar w:left="1400" w:top="1440" w:right="379" w:bottom="1440" w:gutter="0" w:footer="0" w:header="0"/>
        </w:sectPr>
      </w:pPr>
    </w:p>
    <w:bookmarkStart w:id="52" w:name="page53"/>
    <w:bookmarkEnd w:id="52"/>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997585</wp:posOffset>
            </wp:positionV>
            <wp:extent cx="5983605" cy="2177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983605" cy="2177415"/>
                    </a:xfrm>
                    <a:prstGeom prst="rect">
                      <a:avLst/>
                    </a:prstGeom>
                    <a:noFill/>
                  </pic:spPr>
                </pic:pic>
              </a:graphicData>
            </a:graphic>
          </wp:anchor>
        </w:drawing>
      </w: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[YEAR 2] – Bonus Stock</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1580" w:type="dxa"/>
            <w:vAlign w:val="bottom"/>
            <w:tcBorders>
              <w:top w:val="single" w:sz="8" w:color="auto"/>
            </w:tcBorders>
          </w:tcPr>
          <w:p>
            <w:pPr>
              <w:spacing w:after="0"/>
              <w:rPr>
                <w:sz w:val="24"/>
                <w:szCs w:val="24"/>
                <w:color w:val="auto"/>
              </w:rPr>
            </w:pPr>
          </w:p>
        </w:tc>
        <w:tc>
          <w:tcPr>
            <w:tcW w:w="40" w:type="dxa"/>
            <w:vAlign w:val="bottom"/>
            <w:tcBorders>
              <w:top w:val="single" w:sz="8" w:color="auto"/>
              <w:right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[METRIC 1]</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[METRIC 2]</w:t>
            </w:r>
          </w:p>
        </w:tc>
        <w:tc>
          <w:tcPr>
            <w:tcW w:w="234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Actual [YEAR 1]</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Actual [YEAR 1]</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w w:val="98"/>
              </w:rPr>
              <w:t>Percentage of [METRIC</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[METRIC</w:t>
            </w:r>
          </w:p>
        </w:tc>
        <w:tc>
          <w:tcPr>
            <w:tcW w:w="0" w:type="dxa"/>
            <w:vAlign w:val="bottom"/>
          </w:tcPr>
          <w:p>
            <w:pPr>
              <w:spacing w:after="0"/>
              <w:rPr>
                <w:sz w:val="1"/>
                <w:szCs w:val="1"/>
                <w:color w:val="auto"/>
              </w:rPr>
            </w:pPr>
          </w:p>
        </w:tc>
      </w:tr>
      <w:tr>
        <w:trPr>
          <w:trHeight w:val="300"/>
        </w:trPr>
        <w:tc>
          <w:tcPr>
            <w:tcW w:w="1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 below</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 below</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1] Bonus Stock Earned</w:t>
            </w:r>
          </w:p>
        </w:tc>
        <w:tc>
          <w:tcPr>
            <w:tcW w:w="100" w:type="dxa"/>
            <w:vAlign w:val="bottom"/>
          </w:tcPr>
          <w:p>
            <w:pPr>
              <w:spacing w:after="0"/>
              <w:rPr>
                <w:sz w:val="24"/>
                <w:szCs w:val="24"/>
                <w:color w:val="auto"/>
              </w:rPr>
            </w:pPr>
          </w:p>
        </w:tc>
        <w:tc>
          <w:tcPr>
            <w:tcW w:w="226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2] Bonus Stock Earned</w:t>
            </w:r>
          </w:p>
        </w:tc>
        <w:tc>
          <w:tcPr>
            <w:tcW w:w="0" w:type="dxa"/>
            <w:vAlign w:val="bottom"/>
          </w:tcPr>
          <w:p>
            <w:pPr>
              <w:spacing w:after="0"/>
              <w:rPr>
                <w:sz w:val="1"/>
                <w:szCs w:val="1"/>
                <w:color w:val="auto"/>
              </w:rPr>
            </w:pPr>
          </w:p>
        </w:tc>
      </w:tr>
      <w:tr>
        <w:trPr>
          <w:trHeight w:val="231"/>
        </w:trPr>
        <w:tc>
          <w:tcPr>
            <w:tcW w:w="1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Bonus Stock</w:t>
            </w:r>
          </w:p>
        </w:tc>
        <w:tc>
          <w:tcPr>
            <w:tcW w:w="15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Threshold</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1560" w:type="dxa"/>
            <w:vAlign w:val="bottom"/>
            <w:tcBorders>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 ]%</w:t>
            </w:r>
          </w:p>
        </w:tc>
        <w:tc>
          <w:tcPr>
            <w:tcW w:w="2340" w:type="dxa"/>
            <w:vAlign w:val="bottom"/>
            <w:tcBorders>
              <w:right w:val="single" w:sz="8" w:color="auto"/>
            </w:tcBorders>
          </w:tcPr>
          <w:p>
            <w:pPr>
              <w:jc w:val="right"/>
              <w:ind w:right="932"/>
              <w:spacing w:after="0"/>
              <w:rPr>
                <w:sz w:val="20"/>
                <w:szCs w:val="20"/>
                <w:color w:val="auto"/>
              </w:rPr>
            </w:pPr>
            <w:r>
              <w:rPr>
                <w:rFonts w:ascii="Times New Roman" w:cs="Times New Roman" w:eastAsia="Times New Roman" w:hAnsi="Times New Roman"/>
                <w:sz w:val="22"/>
                <w:szCs w:val="22"/>
                <w:color w:val="auto"/>
              </w:rPr>
              <w:t>0%</w:t>
            </w:r>
          </w:p>
        </w:tc>
        <w:tc>
          <w:tcPr>
            <w:tcW w:w="236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31"/>
        </w:trPr>
        <w:tc>
          <w:tcPr>
            <w:tcW w:w="1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Bonus Stock</w:t>
            </w:r>
          </w:p>
        </w:tc>
        <w:tc>
          <w:tcPr>
            <w:tcW w:w="15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Maximum</w:t>
            </w:r>
          </w:p>
        </w:tc>
        <w:tc>
          <w:tcPr>
            <w:tcW w:w="15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+6.0%</w:t>
            </w:r>
          </w:p>
        </w:tc>
        <w:tc>
          <w:tcPr>
            <w:tcW w:w="1560" w:type="dxa"/>
            <w:vAlign w:val="bottom"/>
            <w:tcBorders>
              <w:right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+6.0%</w:t>
            </w:r>
          </w:p>
        </w:tc>
        <w:tc>
          <w:tcPr>
            <w:tcW w:w="2340" w:type="dxa"/>
            <w:vAlign w:val="bottom"/>
            <w:tcBorders>
              <w:right w:val="single" w:sz="8" w:color="auto"/>
            </w:tcBorders>
          </w:tcPr>
          <w:p>
            <w:pPr>
              <w:jc w:val="right"/>
              <w:ind w:right="812"/>
              <w:spacing w:after="0"/>
              <w:rPr>
                <w:sz w:val="20"/>
                <w:szCs w:val="20"/>
                <w:color w:val="auto"/>
              </w:rPr>
            </w:pPr>
            <w:r>
              <w:rPr>
                <w:rFonts w:ascii="Times New Roman" w:cs="Times New Roman" w:eastAsia="Times New Roman" w:hAnsi="Times New Roman"/>
                <w:sz w:val="22"/>
                <w:szCs w:val="22"/>
                <w:color w:val="auto"/>
              </w:rPr>
              <w:t>100%</w:t>
            </w:r>
          </w:p>
        </w:tc>
        <w:tc>
          <w:tcPr>
            <w:tcW w:w="23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31"/>
        </w:trPr>
        <w:tc>
          <w:tcPr>
            <w:tcW w:w="1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1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8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900" w:type="dxa"/>
            <w:vAlign w:val="bottom"/>
            <w:gridSpan w:val="2"/>
          </w:tcPr>
          <w:p>
            <w:pPr>
              <w:ind w:left="400"/>
              <w:spacing w:after="0"/>
              <w:rPr>
                <w:sz w:val="20"/>
                <w:szCs w:val="20"/>
                <w:color w:val="auto"/>
              </w:rPr>
            </w:pPr>
            <w:r>
              <w:rPr>
                <w:rFonts w:ascii="Times New Roman" w:cs="Times New Roman" w:eastAsia="Times New Roman" w:hAnsi="Times New Roman"/>
                <w:sz w:val="22"/>
                <w:szCs w:val="22"/>
                <w:b w:val="1"/>
                <w:bCs w:val="1"/>
                <w:color w:val="auto"/>
              </w:rPr>
              <w:t>[YEAR 3] – Bonus Stock</w:t>
            </w:r>
          </w:p>
        </w:tc>
        <w:tc>
          <w:tcPr>
            <w:tcW w:w="10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58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5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[METRIC 1]</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[METRIC 2]</w:t>
            </w:r>
          </w:p>
        </w:tc>
        <w:tc>
          <w:tcPr>
            <w:tcW w:w="23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5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6"/>
              </w:rPr>
              <w:t>Actual [YEAR</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Actual [YEAR</w:t>
            </w:r>
          </w:p>
        </w:tc>
        <w:tc>
          <w:tcPr>
            <w:tcW w:w="23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of</w:t>
            </w: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2340" w:type="dxa"/>
            <w:vAlign w:val="bottom"/>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w w:val="96"/>
              </w:rPr>
              <w:t>Percentage of [METRIC</w:t>
            </w:r>
          </w:p>
        </w:tc>
        <w:tc>
          <w:tcPr>
            <w:tcW w:w="1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[METRIC 2] Bonus</w:t>
            </w:r>
          </w:p>
        </w:tc>
        <w:tc>
          <w:tcPr>
            <w:tcW w:w="0" w:type="dxa"/>
            <w:vAlign w:val="bottom"/>
          </w:tcPr>
          <w:p>
            <w:pPr>
              <w:spacing w:after="0"/>
              <w:rPr>
                <w:sz w:val="1"/>
                <w:szCs w:val="1"/>
                <w:color w:val="auto"/>
              </w:rPr>
            </w:pPr>
          </w:p>
        </w:tc>
      </w:tr>
      <w:tr>
        <w:trPr>
          <w:trHeight w:val="205"/>
        </w:trPr>
        <w:tc>
          <w:tcPr>
            <w:tcW w:w="158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2] +% below</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2] +% below</w:t>
            </w:r>
          </w:p>
        </w:tc>
        <w:tc>
          <w:tcPr>
            <w:tcW w:w="2340" w:type="dxa"/>
            <w:vAlign w:val="bottom"/>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23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1] Bonus Stock Earned</w:t>
            </w:r>
          </w:p>
        </w:tc>
        <w:tc>
          <w:tcPr>
            <w:tcW w:w="1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Stock Earned</w:t>
            </w:r>
          </w:p>
        </w:tc>
        <w:tc>
          <w:tcPr>
            <w:tcW w:w="0" w:type="dxa"/>
            <w:vAlign w:val="bottom"/>
          </w:tcPr>
          <w:p>
            <w:pPr>
              <w:spacing w:after="0"/>
              <w:rPr>
                <w:sz w:val="1"/>
                <w:szCs w:val="1"/>
                <w:color w:val="auto"/>
              </w:rPr>
            </w:pPr>
          </w:p>
        </w:tc>
      </w:tr>
      <w:tr>
        <w:trPr>
          <w:trHeight w:val="205"/>
        </w:trPr>
        <w:tc>
          <w:tcPr>
            <w:tcW w:w="158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340" w:type="dxa"/>
            <w:vAlign w:val="bottom"/>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5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Bonus Stock</w:t>
            </w:r>
          </w:p>
        </w:tc>
        <w:tc>
          <w:tcPr>
            <w:tcW w:w="4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Threshold</w:t>
            </w:r>
          </w:p>
        </w:tc>
        <w:tc>
          <w:tcPr>
            <w:tcW w:w="40" w:type="dxa"/>
            <w:vAlign w:val="bottom"/>
          </w:tcPr>
          <w:p>
            <w:pPr>
              <w:spacing w:after="0"/>
              <w:rPr>
                <w:sz w:val="24"/>
                <w:szCs w:val="24"/>
                <w:color w:val="auto"/>
              </w:rPr>
            </w:pPr>
          </w:p>
        </w:tc>
        <w:tc>
          <w:tcPr>
            <w:tcW w:w="15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 ]%</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234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0%</w:t>
            </w:r>
          </w:p>
        </w:tc>
        <w:tc>
          <w:tcPr>
            <w:tcW w:w="1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jc w:val="right"/>
              <w:ind w:right="8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9"/>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Bonus Stock</w:t>
            </w:r>
          </w:p>
        </w:tc>
        <w:tc>
          <w:tcPr>
            <w:tcW w:w="4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Maximum</w:t>
            </w:r>
          </w:p>
        </w:tc>
        <w:tc>
          <w:tcPr>
            <w:tcW w:w="40" w:type="dxa"/>
            <w:vAlign w:val="bottom"/>
          </w:tcPr>
          <w:p>
            <w:pPr>
              <w:spacing w:after="0"/>
              <w:rPr>
                <w:sz w:val="24"/>
                <w:szCs w:val="24"/>
                <w:color w:val="auto"/>
              </w:rPr>
            </w:pPr>
          </w:p>
        </w:tc>
        <w:tc>
          <w:tcPr>
            <w:tcW w:w="15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 ]%</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234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9"/>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00" w:hanging="656"/>
        <w:spacing w:after="0" w:line="263" w:lineRule="auto"/>
        <w:tabs>
          <w:tab w:leader="none" w:pos="8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Award</w:t>
      </w:r>
      <w:r>
        <w:rPr>
          <w:rFonts w:ascii="Times New Roman" w:cs="Times New Roman" w:eastAsia="Times New Roman" w:hAnsi="Times New Roman"/>
          <w:sz w:val="22"/>
          <w:szCs w:val="22"/>
          <w:color w:val="auto"/>
        </w:rPr>
        <w:t>. The Company shall, as soon as administratively practicable after the Vesting Date (but in no event later than March 11, [YEAR FOLLOWING YEAR 3]) issue and effect delivery of the shares of Bonus Stock with respect to such vested portion to the Participant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840"/>
          </w:cols>
          <w:pgMar w:left="1380" w:top="1440" w:right="679" w:bottom="1440" w:gutter="0" w:footer="0" w:header="0"/>
        </w:sectPr>
      </w:pPr>
    </w:p>
    <w:bookmarkStart w:id="53" w:name="page54"/>
    <w:bookmarkEnd w:id="53"/>
    <w:p>
      <w:pPr>
        <w:spacing w:after="0" w:line="90" w:lineRule="exact"/>
        <w:rPr>
          <w:sz w:val="20"/>
          <w:szCs w:val="20"/>
          <w:color w:val="auto"/>
        </w:rPr>
      </w:pPr>
    </w:p>
    <w:p>
      <w:pPr>
        <w:ind w:left="1304"/>
        <w:spacing w:after="0" w:line="263" w:lineRule="auto"/>
        <w:rPr>
          <w:sz w:val="20"/>
          <w:szCs w:val="20"/>
          <w:color w:val="auto"/>
        </w:rPr>
      </w:pPr>
      <w:r>
        <w:rPr>
          <w:rFonts w:ascii="Times New Roman" w:cs="Times New Roman" w:eastAsia="Times New Roman" w:hAnsi="Times New Roman"/>
          <w:sz w:val="21"/>
          <w:szCs w:val="21"/>
          <w:color w:val="auto"/>
        </w:rPr>
        <w:t>accordance with Paragraph 6.c of this Agreement. No shares of the Bonus Stock will be issued to Participant pursuant to this award unless and until all legal requirements applicable to the issuance or transfer of such Bonus Stock have been complied with to the satisfaction of the Administrator. The Participant understands that any issuance of Stock upon vesting and settlement of the Award or any portion thereof by the Participant will be subject to the satisfaction of (i) any applicable tax withholding requirements with respect to the vesting or transfer of such Restricted Stock; (ii) any requirements that the Company may reasonably impose; and (iii) applicable requirements of federal and state securities laws.</w:t>
      </w:r>
    </w:p>
    <w:p>
      <w:pPr>
        <w:spacing w:after="0" w:line="173" w:lineRule="exact"/>
        <w:rPr>
          <w:sz w:val="20"/>
          <w:szCs w:val="20"/>
          <w:color w:val="auto"/>
        </w:rPr>
      </w:pPr>
    </w:p>
    <w:p>
      <w:pPr>
        <w:ind w:left="1304" w:right="60" w:hanging="656"/>
        <w:spacing w:after="0" w:line="250" w:lineRule="auto"/>
        <w:tabs>
          <w:tab w:leader="none" w:pos="130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Transactions</w:t>
      </w:r>
      <w:r>
        <w:rPr>
          <w:rFonts w:ascii="Times New Roman" w:cs="Times New Roman" w:eastAsia="Times New Roman" w:hAnsi="Times New Roman"/>
          <w:sz w:val="22"/>
          <w:szCs w:val="22"/>
          <w:color w:val="auto"/>
        </w:rPr>
        <w:t>. Notwithstanding the foregoing, (i) if a Covered Transaction occurs on or after the Grant Date and before or on the Certification Date, then one hundred percent (100%) of the Target Stock shall vest on such date of the Covered Transaction and (ii) if a Covered Transaction occurs after the Certification Date and before or on the Vesting Date, then the Earned Stock shall vest on such date of the Covered Transaction. For the avoidance of doubt, no Bonus Stock shall vest in the event of a Covered Transaction that occurs on or after the Grant Date and before or on the Certification Date. Settlement shall be made as soon as practicable following the occurrence or consummation (as applicable) of the Covered Transaction but in no event later than the 60th day following such event.</w:t>
      </w:r>
    </w:p>
    <w:p>
      <w:pPr>
        <w:spacing w:after="0" w:line="186" w:lineRule="exact"/>
        <w:rPr>
          <w:rFonts w:ascii="Times New Roman" w:cs="Times New Roman" w:eastAsia="Times New Roman" w:hAnsi="Times New Roman"/>
          <w:sz w:val="22"/>
          <w:szCs w:val="22"/>
          <w:color w:val="auto"/>
        </w:rPr>
      </w:pPr>
    </w:p>
    <w:p>
      <w:pPr>
        <w:ind w:left="1304" w:right="240" w:hanging="656"/>
        <w:spacing w:after="0" w:line="271" w:lineRule="auto"/>
        <w:tabs>
          <w:tab w:leader="none" w:pos="130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period from the Grant Date until the Vesting Date is referred to as the “</w:t>
      </w:r>
      <w:r>
        <w:rPr>
          <w:rFonts w:ascii="Times New Roman" w:cs="Times New Roman" w:eastAsia="Times New Roman" w:hAnsi="Times New Roman"/>
          <w:sz w:val="22"/>
          <w:szCs w:val="22"/>
          <w:u w:val="single" w:color="auto"/>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for purposes of this Agreement.</w:t>
      </w:r>
    </w:p>
    <w:p>
      <w:pPr>
        <w:spacing w:after="0" w:line="153"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Death, Disability, or Retirement; Covered Transaction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1304" w:hanging="656"/>
        <w:spacing w:after="0" w:line="252" w:lineRule="auto"/>
        <w:tabs>
          <w:tab w:leader="none" w:pos="12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If (i) the Participant dies on or after the Grant Date and before or on the Certification Date, then one hundred percent (100%) of the Target Stock shall vest automatically on the date of the Participant’s death and (ii) if the Participant dies after the Certification Date and before or on the Vesting Date, then the Earned Stock shall vest automatically upon Participant’s death, provided that such Stock would have otherwise vested in accordance with this Agreement with the passage of time and the Participant’s continued service as an Employee. For the avoidance of doubt, no Bonus Stock shall vest if the Participant dies on or after the Grant Date and before or on the Certification Date.</w:t>
      </w:r>
    </w:p>
    <w:p>
      <w:pPr>
        <w:spacing w:after="0" w:line="179" w:lineRule="exact"/>
        <w:rPr>
          <w:rFonts w:ascii="Times New Roman" w:cs="Times New Roman" w:eastAsia="Times New Roman" w:hAnsi="Times New Roman"/>
          <w:sz w:val="22"/>
          <w:szCs w:val="22"/>
          <w:color w:val="auto"/>
        </w:rPr>
      </w:pPr>
    </w:p>
    <w:p>
      <w:pPr>
        <w:ind w:left="1304" w:hanging="656"/>
        <w:spacing w:after="0" w:line="250" w:lineRule="auto"/>
        <w:tabs>
          <w:tab w:leader="none" w:pos="130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the Participant becomes disabled due to injury or illness and is unable to serve as an Employee for a period of time not exceeding six (6) months and returns to serve as an Employee after such disability, the vesting of the Stock will not be affected by such disability. If the Participant becomes disabled due to injury or illness and the Company, in its sole discretion, determines the Participant is unable to serve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44"/>
          </w:cols>
          <w:pgMar w:left="976" w:top="1440" w:right="379" w:bottom="1440" w:gutter="0" w:footer="0" w:header="0"/>
        </w:sectPr>
      </w:pPr>
    </w:p>
    <w:bookmarkStart w:id="54" w:name="page55"/>
    <w:bookmarkEnd w:id="54"/>
    <w:p>
      <w:pPr>
        <w:spacing w:after="0" w:line="90" w:lineRule="exact"/>
        <w:rPr>
          <w:sz w:val="20"/>
          <w:szCs w:val="20"/>
          <w:color w:val="auto"/>
        </w:rPr>
      </w:pPr>
    </w:p>
    <w:p>
      <w:pPr>
        <w:ind w:left="1304" w:right="120"/>
        <w:spacing w:after="0" w:line="250" w:lineRule="auto"/>
        <w:rPr>
          <w:sz w:val="20"/>
          <w:szCs w:val="20"/>
          <w:color w:val="auto"/>
        </w:rPr>
      </w:pPr>
      <w:r>
        <w:rPr>
          <w:rFonts w:ascii="Times New Roman" w:cs="Times New Roman" w:eastAsia="Times New Roman" w:hAnsi="Times New Roman"/>
          <w:sz w:val="22"/>
          <w:szCs w:val="22"/>
          <w:color w:val="auto"/>
        </w:rPr>
        <w:t>Employee for a period of time reasonably expected to exceed six (6) months (such determination date, a “</w:t>
      </w:r>
      <w:r>
        <w:rPr>
          <w:rFonts w:ascii="Times New Roman" w:cs="Times New Roman" w:eastAsia="Times New Roman" w:hAnsi="Times New Roman"/>
          <w:sz w:val="22"/>
          <w:szCs w:val="22"/>
          <w:u w:val="single" w:color="auto"/>
          <w:color w:val="auto"/>
        </w:rPr>
        <w:t>Disability Date</w:t>
      </w:r>
      <w:r>
        <w:rPr>
          <w:rFonts w:ascii="Times New Roman" w:cs="Times New Roman" w:eastAsia="Times New Roman" w:hAnsi="Times New Roman"/>
          <w:sz w:val="22"/>
          <w:szCs w:val="22"/>
          <w:color w:val="auto"/>
        </w:rPr>
        <w:t>”), then if, (i) the Disability Date is on or after the Grant Date and before or on the Certification Date, then one hundred percent (100%) of the Target Stock shall vest automatically and (ii) the Disability Date is after the Certification Date and before or on the Vesting Date, then the Earned Stock shall vest automatically, in each case on the Disability Date. For the avoidance of doubt, no Bonus Stock shall vest in the event of a Disability Date that occurs on or after the Grant Date and before or on the Certification Date.</w:t>
      </w:r>
    </w:p>
    <w:p>
      <w:pPr>
        <w:spacing w:after="0" w:line="180" w:lineRule="exact"/>
        <w:rPr>
          <w:sz w:val="20"/>
          <w:szCs w:val="20"/>
          <w:color w:val="auto"/>
        </w:rPr>
      </w:pPr>
    </w:p>
    <w:p>
      <w:pPr>
        <w:ind w:left="1304" w:right="420" w:hanging="656"/>
        <w:spacing w:after="0" w:line="284" w:lineRule="auto"/>
        <w:tabs>
          <w:tab w:leader="none" w:pos="129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If the Participant’s Employment terminates due to Retirement during the Restricted Period (such date, the “</w:t>
      </w:r>
      <w:r>
        <w:rPr>
          <w:rFonts w:ascii="Times New Roman" w:cs="Times New Roman" w:eastAsia="Times New Roman" w:hAnsi="Times New Roman"/>
          <w:sz w:val="22"/>
          <w:szCs w:val="22"/>
          <w:u w:val="single" w:color="auto"/>
          <w:color w:val="auto"/>
        </w:rPr>
        <w:t>Retirement Date</w:t>
      </w:r>
      <w:r>
        <w:rPr>
          <w:rFonts w:ascii="Times New Roman" w:cs="Times New Roman" w:eastAsia="Times New Roman" w:hAnsi="Times New Roman"/>
          <w:sz w:val="22"/>
          <w:szCs w:val="22"/>
          <w:color w:val="auto"/>
        </w:rPr>
        <w:t>”), then if:</w:t>
      </w:r>
    </w:p>
    <w:p>
      <w:pPr>
        <w:spacing w:after="0" w:line="143" w:lineRule="exact"/>
        <w:rPr>
          <w:rFonts w:ascii="Times New Roman" w:cs="Times New Roman" w:eastAsia="Times New Roman" w:hAnsi="Times New Roman"/>
          <w:sz w:val="22"/>
          <w:szCs w:val="22"/>
          <w:color w:val="auto"/>
        </w:rPr>
      </w:pPr>
    </w:p>
    <w:p>
      <w:pPr>
        <w:ind w:left="1944" w:right="80" w:hanging="648"/>
        <w:spacing w:after="0" w:line="250" w:lineRule="auto"/>
        <w:tabs>
          <w:tab w:leader="none" w:pos="193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Date is on or after the Grant Date and before or on the Performance End Date, then the amount of Earned Stock that is earned, if any, shall be equal to the product of (x) the number of Earned Stock, if any, as certified by the Administrator in accordance with Paragraph 6.b. of this Agreement, multiplied by (y) the quotient of (I) the total number of calendar days between the Grant Date and the Retirement Date (inclusive), divided by (II) the total number of calendar days between the Grant Date and the Performance End Date; and any such Earned Stock shall vest on the Certification Date; and</w:t>
      </w:r>
    </w:p>
    <w:p>
      <w:pPr>
        <w:spacing w:after="0" w:line="180" w:lineRule="exact"/>
        <w:rPr>
          <w:rFonts w:ascii="Times New Roman" w:cs="Times New Roman" w:eastAsia="Times New Roman" w:hAnsi="Times New Roman"/>
          <w:sz w:val="22"/>
          <w:szCs w:val="22"/>
          <w:color w:val="auto"/>
        </w:rPr>
      </w:pPr>
    </w:p>
    <w:p>
      <w:pPr>
        <w:ind w:left="1944" w:right="560" w:hanging="648"/>
        <w:spacing w:after="0" w:line="271" w:lineRule="auto"/>
        <w:tabs>
          <w:tab w:leader="none" w:pos="1943"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Date is after the Performance Date and before or on the Vesting Date, then the Earned Stock shall vest automatically on the Retirement Date.</w:t>
      </w:r>
    </w:p>
    <w:p>
      <w:pPr>
        <w:spacing w:after="0" w:line="158" w:lineRule="exact"/>
        <w:rPr>
          <w:sz w:val="20"/>
          <w:szCs w:val="20"/>
          <w:color w:val="auto"/>
        </w:rPr>
      </w:pPr>
    </w:p>
    <w:p>
      <w:pPr>
        <w:jc w:val="both"/>
        <w:ind w:left="644" w:right="360"/>
        <w:spacing w:after="0" w:line="281" w:lineRule="auto"/>
        <w:rPr>
          <w:sz w:val="20"/>
          <w:szCs w:val="20"/>
          <w:color w:val="auto"/>
        </w:rPr>
      </w:pPr>
      <w:r>
        <w:rPr>
          <w:rFonts w:ascii="Times New Roman" w:cs="Times New Roman" w:eastAsia="Times New Roman" w:hAnsi="Times New Roman"/>
          <w:sz w:val="21"/>
          <w:szCs w:val="21"/>
          <w:color w:val="auto"/>
        </w:rPr>
        <w:t>For the purposes of this Agreement,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a termination of employment by the Participant on or after the date on which the Participant has attained age 60 and completed at least five years of service with the Company or any of its Affiliates, but only to the extent that circumstances constituting Cause do not exist.</w:t>
      </w:r>
    </w:p>
    <w:p>
      <w:pPr>
        <w:spacing w:after="0" w:line="151" w:lineRule="exact"/>
        <w:rPr>
          <w:sz w:val="20"/>
          <w:szCs w:val="20"/>
          <w:color w:val="auto"/>
        </w:rPr>
      </w:pPr>
    </w:p>
    <w:p>
      <w:pPr>
        <w:ind w:left="1304" w:right="200" w:hanging="656"/>
        <w:spacing w:after="0" w:line="271" w:lineRule="auto"/>
        <w:tabs>
          <w:tab w:leader="none" w:pos="130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Transaction</w:t>
      </w:r>
      <w:r>
        <w:rPr>
          <w:rFonts w:ascii="Times New Roman" w:cs="Times New Roman" w:eastAsia="Times New Roman" w:hAnsi="Times New Roman"/>
          <w:sz w:val="22"/>
          <w:szCs w:val="22"/>
          <w:color w:val="auto"/>
        </w:rPr>
        <w:t>. In the event a Covered Transaction is consummated, the Restricted Stock shall vest as provided in Paragraph 6(g).</w:t>
      </w:r>
    </w:p>
    <w:p>
      <w:pPr>
        <w:spacing w:after="0" w:line="153" w:lineRule="exact"/>
        <w:rPr>
          <w:rFonts w:ascii="Times New Roman" w:cs="Times New Roman" w:eastAsia="Times New Roman" w:hAnsi="Times New Roman"/>
          <w:sz w:val="22"/>
          <w:szCs w:val="22"/>
          <w:color w:val="auto"/>
        </w:rPr>
      </w:pPr>
    </w:p>
    <w:p>
      <w:pPr>
        <w:ind w:left="644" w:right="100" w:hanging="644"/>
        <w:spacing w:after="0" w:line="275" w:lineRule="auto"/>
        <w:tabs>
          <w:tab w:leader="none" w:pos="64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Dividend Equivalents, Voting, etc</w:t>
      </w:r>
      <w:r>
        <w:rPr>
          <w:rFonts w:ascii="Times New Roman" w:cs="Times New Roman" w:eastAsia="Times New Roman" w:hAnsi="Times New Roman"/>
          <w:sz w:val="21"/>
          <w:szCs w:val="21"/>
          <w:color w:val="auto"/>
        </w:rPr>
        <w:t>. The Participant shall be entitled, as to (a) if on or after the Grant Date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before or on the Certification Date, one hundred percent (100%) of the total number of shares of Target Stock and</w:t>
      </w:r>
    </w:p>
    <w:p>
      <w:pPr>
        <w:spacing w:after="0" w:line="1" w:lineRule="exact"/>
        <w:rPr>
          <w:rFonts w:ascii="Times New Roman" w:cs="Times New Roman" w:eastAsia="Times New Roman" w:hAnsi="Times New Roman"/>
          <w:sz w:val="21"/>
          <w:szCs w:val="21"/>
          <w:color w:val="auto"/>
        </w:rPr>
      </w:pPr>
    </w:p>
    <w:p>
      <w:pPr>
        <w:jc w:val="both"/>
        <w:ind w:left="644"/>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if after the Certification Date and before or on the Vesting Date, any Earned Stock, in each case to (i) receive a cash payment equal to the amount of any and all cash dividends or other cash distributions paid with respect to one share of Stock times the number of shares of Target Stock or Earned Stock, as the case may be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4"/>
          </w:cols>
          <w:pgMar w:left="976" w:top="1440" w:right="339" w:bottom="1440" w:gutter="0" w:footer="0" w:header="0"/>
        </w:sectPr>
      </w:pPr>
    </w:p>
    <w:bookmarkStart w:id="55" w:name="page56"/>
    <w:bookmarkEnd w:id="55"/>
    <w:p>
      <w:pPr>
        <w:spacing w:after="0" w:line="86" w:lineRule="exact"/>
        <w:rPr>
          <w:sz w:val="20"/>
          <w:szCs w:val="20"/>
          <w:color w:val="auto"/>
        </w:rPr>
      </w:pPr>
    </w:p>
    <w:p>
      <w:pPr>
        <w:ind w:left="644"/>
        <w:spacing w:after="0" w:line="260" w:lineRule="auto"/>
        <w:rPr>
          <w:sz w:val="20"/>
          <w:szCs w:val="20"/>
          <w:color w:val="auto"/>
        </w:rPr>
      </w:pPr>
      <w:r>
        <w:rPr>
          <w:rFonts w:ascii="Times New Roman" w:cs="Times New Roman" w:eastAsia="Times New Roman" w:hAnsi="Times New Roman"/>
          <w:sz w:val="21"/>
          <w:szCs w:val="21"/>
          <w:color w:val="auto"/>
        </w:rPr>
        <w:t xml:space="preserve">vote any Stock of which Participant is the record owner on the record date for such vote;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any property (other than cash) distributed with respect to any such share of Target Stock or Earned Stock (the “Associated Share”), including without limitation a distribution of Stock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 </w:t>
      </w:r>
      <w:r>
        <w:rPr>
          <w:rFonts w:ascii="Times New Roman" w:cs="Times New Roman" w:eastAsia="Times New Roman" w:hAnsi="Times New Roman"/>
          <w:sz w:val="21"/>
          <w:szCs w:val="21"/>
          <w:i w:val="1"/>
          <w:iCs w:val="1"/>
          <w:color w:val="auto"/>
        </w:rPr>
        <w:t>and 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the Administrator may require that any cash distribution with respect to the Target Stock or Earned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(as the case may be) other than a normal cash dividend be placed in escrow or otherwise made subject to such restrictions as the Administrator deems appropriate to carry out the intent of the Plan. References in this Agreement to the Target Stock or Earned Stock (as the case may be) shall refer in the same way to any such restricted amounts. For the avoidance of doubt, Bonus Stock is not issued and outstanding as of the Grant Date, does not have the right to vote or to receive dividends or other distributions that may be made with respect to shares of Common Stock of the Company, and may vest and be issued as and to the extent set forth in Paragraph 6.</w:t>
      </w:r>
    </w:p>
    <w:p>
      <w:pPr>
        <w:spacing w:after="0" w:line="177" w:lineRule="exact"/>
        <w:rPr>
          <w:sz w:val="20"/>
          <w:szCs w:val="20"/>
          <w:color w:val="auto"/>
        </w:rPr>
      </w:pPr>
    </w:p>
    <w:p>
      <w:pPr>
        <w:ind w:left="644" w:right="40" w:hanging="644"/>
        <w:spacing w:after="0" w:line="247" w:lineRule="auto"/>
        <w:tabs>
          <w:tab w:leader="none" w:pos="6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Certain Tax Matters</w:t>
      </w:r>
      <w:r>
        <w:rPr>
          <w:rFonts w:ascii="Times New Roman" w:cs="Times New Roman" w:eastAsia="Times New Roman" w:hAnsi="Times New Roman"/>
          <w:sz w:val="22"/>
          <w:szCs w:val="22"/>
          <w:color w:val="auto"/>
        </w:rPr>
        <w:t>. The Participant expressly acknowledges that the Participant has been advised to confer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promptly with a professional tax advisor to consider whether the Participant should make a so-called “83(b) election” with respect to the Restricted Stock. Any such election, to be effective, must be made in accordance with applicable regulations (including, without limitation, the requirement to provide a copy of such election to the Company in advance of filing such election under the Internal Revenue Code) and within thirty (30) days following the date of this award. The Company has made no recommendation to the Participant with respect to the advisability of making such an election. In addition, the award or vesting of the Restricted Stock acquired hereunder, and the payment of dividends with respect to such Restricted Stock, may give rise to “wages” subject to withholding. The undersigned expressly acknowledges and agrees that his/her rights hereunder are subject to his/her promptly paying to the Company in cash (or by such other means as may be acceptable to the Administrator in its discretion, including, if the Administrator so determines, by the delivery of previously acquired Stock or Restricted Stock acquired hereunder or by the withholding of amounts from any payment hereunder) all taxes required to be withheld in connection with such award, vesting or payment. Notwithstanding any action the Company takes with respect to any or all income tax, social insurance, payroll tax, or other tax-related withholding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the ultimate liability for all Tax-Related Items is and remains the Participant’s responsibility and the Company (i) makes no representation or undertakings regarding the treatment of any Tax-Related Items in connection with the grant or vesting of the Restricted Stock or the subsequent sale of any shares; and (ii) does not commit to structure the Restricted Stock to reduce or eliminate the Participant’s liability for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584"/>
          </w:cols>
          <w:pgMar w:left="976" w:top="1440" w:right="339" w:bottom="1440" w:gutter="0" w:footer="0" w:header="0"/>
        </w:sectPr>
      </w:pPr>
    </w:p>
    <w:bookmarkStart w:id="56" w:name="page57"/>
    <w:bookmarkEnd w:id="56"/>
    <w:p>
      <w:pPr>
        <w:spacing w:after="0" w:line="86" w:lineRule="exact"/>
        <w:rPr>
          <w:sz w:val="20"/>
          <w:szCs w:val="20"/>
          <w:color w:val="auto"/>
        </w:rPr>
      </w:pPr>
    </w:p>
    <w:p>
      <w:pPr>
        <w:ind w:left="644" w:right="120" w:hanging="644"/>
        <w:spacing w:after="0" w:line="259" w:lineRule="auto"/>
        <w:tabs>
          <w:tab w:leader="none" w:pos="6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Clawback</w:t>
      </w:r>
      <w:r>
        <w:rPr>
          <w:rFonts w:ascii="Times New Roman" w:cs="Times New Roman" w:eastAsia="Times New Roman" w:hAnsi="Times New Roman"/>
          <w:sz w:val="22"/>
          <w:szCs w:val="22"/>
          <w:color w:val="auto"/>
        </w:rPr>
        <w:t>. The Participant acknowledges and agrees that the Restricted Stock is subject to Section 10 of the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Clawback Policy, and by accepting this award, the Participant is agreeing to be bound by the Clawback Policy.</w:t>
      </w:r>
    </w:p>
    <w:p>
      <w:pPr>
        <w:spacing w:after="0" w:line="179" w:lineRule="exact"/>
        <w:rPr>
          <w:rFonts w:ascii="Times New Roman" w:cs="Times New Roman" w:eastAsia="Times New Roman" w:hAnsi="Times New Roman"/>
          <w:sz w:val="22"/>
          <w:szCs w:val="22"/>
          <w:color w:val="auto"/>
        </w:rPr>
      </w:pPr>
    </w:p>
    <w:p>
      <w:pPr>
        <w:ind w:left="644" w:hanging="644"/>
        <w:spacing w:after="0" w:line="252" w:lineRule="auto"/>
        <w:tabs>
          <w:tab w:leader="none" w:pos="6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Plan Document</w:t>
      </w:r>
      <w:r>
        <w:rPr>
          <w:rFonts w:ascii="Times New Roman" w:cs="Times New Roman" w:eastAsia="Times New Roman" w:hAnsi="Times New Roman"/>
          <w:sz w:val="22"/>
          <w:szCs w:val="22"/>
          <w:color w:val="auto"/>
        </w:rPr>
        <w:t>. By signing below, the Participant acknowledges receipt of a copy of the Plan and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Participant has read and understands the terms and provisions thereof and hereof, and accepts the Award subject to all of the terms and conditions of the Plan and this Agreement. The Participant acknowledges that there may be adverse tax consequences upon the grant or vesting of the Award or disposition of the underlying shares and that the Participant has been advised to consult his or her tax advisor prior to such grant, vesting, or disposition.</w:t>
      </w:r>
    </w:p>
    <w:p>
      <w:pPr>
        <w:spacing w:after="0" w:line="174" w:lineRule="exact"/>
        <w:rPr>
          <w:rFonts w:ascii="Times New Roman" w:cs="Times New Roman" w:eastAsia="Times New Roman" w:hAnsi="Times New Roman"/>
          <w:sz w:val="22"/>
          <w:szCs w:val="22"/>
          <w:color w:val="auto"/>
        </w:rPr>
      </w:pPr>
    </w:p>
    <w:p>
      <w:pPr>
        <w:ind w:left="644" w:hanging="644"/>
        <w:spacing w:after="0" w:line="253" w:lineRule="auto"/>
        <w:tabs>
          <w:tab w:leader="none" w:pos="6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Governing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and all claims or disputes arising out of or based upon this Agreement or relating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75" w:lineRule="exact"/>
        <w:rPr>
          <w:rFonts w:ascii="Times New Roman" w:cs="Times New Roman" w:eastAsia="Times New Roman" w:hAnsi="Times New Roman"/>
          <w:sz w:val="22"/>
          <w:szCs w:val="22"/>
          <w:color w:val="auto"/>
        </w:rPr>
      </w:pPr>
    </w:p>
    <w:p>
      <w:pPr>
        <w:ind w:left="644" w:right="60" w:hanging="644"/>
        <w:spacing w:after="0" w:line="265" w:lineRule="auto"/>
        <w:tabs>
          <w:tab w:leader="none" w:pos="6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Interpretation</w:t>
      </w:r>
      <w:r>
        <w:rPr>
          <w:rFonts w:ascii="Times New Roman" w:cs="Times New Roman" w:eastAsia="Times New Roman" w:hAnsi="Times New Roman"/>
          <w:sz w:val="22"/>
          <w:szCs w:val="22"/>
          <w:color w:val="auto"/>
        </w:rPr>
        <w:t>. Any dispute regarding the interpretation of this Agreement shall be submitted by the Participant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to the Administrator for review. The resolution of such dispute by the Administrator shall be final and binding on the Participant and the Company.</w:t>
      </w:r>
    </w:p>
    <w:p>
      <w:pPr>
        <w:spacing w:after="0" w:line="161" w:lineRule="exact"/>
        <w:rPr>
          <w:rFonts w:ascii="Times New Roman" w:cs="Times New Roman" w:eastAsia="Times New Roman" w:hAnsi="Times New Roman"/>
          <w:sz w:val="22"/>
          <w:szCs w:val="22"/>
          <w:color w:val="auto"/>
        </w:rPr>
      </w:pPr>
    </w:p>
    <w:p>
      <w:pPr>
        <w:ind w:left="644" w:right="60" w:hanging="644"/>
        <w:spacing w:after="0" w:line="258" w:lineRule="auto"/>
        <w:tabs>
          <w:tab w:leader="none" w:pos="6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Award Subject to Plan</w:t>
      </w:r>
      <w:r>
        <w:rPr>
          <w:rFonts w:ascii="Times New Roman" w:cs="Times New Roman" w:eastAsia="Times New Roman" w:hAnsi="Times New Roman"/>
          <w:sz w:val="22"/>
          <w:szCs w:val="22"/>
          <w:color w:val="auto"/>
        </w:rPr>
        <w:t>. This Agreement is subject to the Plan as approved by the Company’s shareholders.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67" w:lineRule="exact"/>
        <w:rPr>
          <w:rFonts w:ascii="Times New Roman" w:cs="Times New Roman" w:eastAsia="Times New Roman" w:hAnsi="Times New Roman"/>
          <w:sz w:val="22"/>
          <w:szCs w:val="22"/>
          <w:color w:val="auto"/>
        </w:rPr>
      </w:pPr>
    </w:p>
    <w:p>
      <w:pPr>
        <w:ind w:left="644" w:right="20" w:hanging="644"/>
        <w:spacing w:after="0" w:line="254" w:lineRule="auto"/>
        <w:tabs>
          <w:tab w:leader="none" w:pos="6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Successors and Assigns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may assign any of its rights under this Agreement. This Agreement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Award may be transferred by will or the laws of descent or distribution.</w:t>
      </w:r>
    </w:p>
    <w:p>
      <w:pPr>
        <w:spacing w:after="0" w:line="173" w:lineRule="exact"/>
        <w:rPr>
          <w:rFonts w:ascii="Times New Roman" w:cs="Times New Roman" w:eastAsia="Times New Roman" w:hAnsi="Times New Roman"/>
          <w:sz w:val="22"/>
          <w:szCs w:val="22"/>
          <w:color w:val="auto"/>
        </w:rPr>
      </w:pPr>
    </w:p>
    <w:p>
      <w:pPr>
        <w:jc w:val="both"/>
        <w:ind w:left="644" w:right="80" w:hanging="644"/>
        <w:spacing w:after="0" w:line="259" w:lineRule="auto"/>
        <w:tabs>
          <w:tab w:leader="none" w:pos="6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validity or enforceability of any other provision of the Plan or this Agreement, and each provision of the Plan and this Agreement shall be severable and enforceable to the extent permitted by law.</w:t>
      </w:r>
    </w:p>
    <w:p>
      <w:pPr>
        <w:spacing w:after="0" w:line="166" w:lineRule="exact"/>
        <w:rPr>
          <w:rFonts w:ascii="Times New Roman" w:cs="Times New Roman" w:eastAsia="Times New Roman" w:hAnsi="Times New Roman"/>
          <w:sz w:val="22"/>
          <w:szCs w:val="22"/>
          <w:color w:val="auto"/>
        </w:rPr>
      </w:pPr>
    </w:p>
    <w:p>
      <w:pPr>
        <w:ind w:left="644" w:right="460" w:hanging="644"/>
        <w:spacing w:after="0" w:line="275" w:lineRule="auto"/>
        <w:tabs>
          <w:tab w:leader="none" w:pos="6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Discretionary Nature of Plan</w:t>
      </w:r>
      <w:r>
        <w:rPr>
          <w:rFonts w:ascii="Times New Roman" w:cs="Times New Roman" w:eastAsia="Times New Roman" w:hAnsi="Times New Roman"/>
          <w:sz w:val="22"/>
          <w:szCs w:val="22"/>
          <w:color w:val="auto"/>
        </w:rPr>
        <w:t>. The Plan is discretionary and may be amended, cancelled, or terminated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at any time, in its discretion.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544"/>
          </w:cols>
          <w:pgMar w:left="976" w:top="1440" w:right="379" w:bottom="1440" w:gutter="0" w:footer="0" w:header="0"/>
        </w:sectPr>
      </w:pPr>
    </w:p>
    <w:bookmarkStart w:id="57" w:name="page58"/>
    <w:bookmarkEnd w:id="57"/>
    <w:p>
      <w:pPr>
        <w:spacing w:after="0" w:line="90" w:lineRule="exact"/>
        <w:rPr>
          <w:sz w:val="20"/>
          <w:szCs w:val="20"/>
          <w:color w:val="auto"/>
        </w:rPr>
      </w:pPr>
    </w:p>
    <w:p>
      <w:pPr>
        <w:ind w:left="1280"/>
        <w:spacing w:after="0" w:line="256" w:lineRule="auto"/>
        <w:rPr>
          <w:sz w:val="20"/>
          <w:szCs w:val="20"/>
          <w:color w:val="auto"/>
        </w:rPr>
      </w:pPr>
      <w:r>
        <w:rPr>
          <w:rFonts w:ascii="Times New Roman" w:cs="Times New Roman" w:eastAsia="Times New Roman" w:hAnsi="Times New Roman"/>
          <w:sz w:val="22"/>
          <w:szCs w:val="22"/>
          <w:color w:val="auto"/>
        </w:rPr>
        <w:t>of the Award in this Agreement does not create any contractual right or other right to receive any Award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72" w:lineRule="exact"/>
        <w:rPr>
          <w:sz w:val="20"/>
          <w:szCs w:val="20"/>
          <w:color w:val="auto"/>
        </w:rPr>
      </w:pPr>
    </w:p>
    <w:p>
      <w:pPr>
        <w:jc w:val="both"/>
        <w:ind w:left="1280" w:right="20" w:hanging="644"/>
        <w:spacing w:after="0" w:line="259" w:lineRule="auto"/>
        <w:tabs>
          <w:tab w:leader="none" w:pos="12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Amendment</w:t>
      </w:r>
      <w:r>
        <w:rPr>
          <w:rFonts w:ascii="Times New Roman" w:cs="Times New Roman" w:eastAsia="Times New Roman" w:hAnsi="Times New Roman"/>
          <w:sz w:val="22"/>
          <w:szCs w:val="22"/>
          <w:color w:val="auto"/>
        </w:rPr>
        <w:t>. The Administrator has the right to amend, alter, suspend, discontinue, or cancel the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prospectively or retroactively; provided, that, no such amendment shall adversely affect the Participant’s material rights under this Agreement without the Participant’s consent.</w:t>
      </w:r>
    </w:p>
    <w:p>
      <w:pPr>
        <w:spacing w:after="0" w:line="166" w:lineRule="exact"/>
        <w:rPr>
          <w:rFonts w:ascii="Times New Roman" w:cs="Times New Roman" w:eastAsia="Times New Roman" w:hAnsi="Times New Roman"/>
          <w:sz w:val="22"/>
          <w:szCs w:val="22"/>
          <w:color w:val="auto"/>
        </w:rPr>
      </w:pPr>
    </w:p>
    <w:p>
      <w:pPr>
        <w:ind w:left="1280" w:hanging="644"/>
        <w:spacing w:after="0" w:line="254" w:lineRule="auto"/>
        <w:tabs>
          <w:tab w:leader="none" w:pos="12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7" w:lineRule="exact"/>
        <w:rPr>
          <w:sz w:val="20"/>
          <w:szCs w:val="20"/>
          <w:color w:val="auto"/>
        </w:rPr>
      </w:pPr>
    </w:p>
    <w:p>
      <w:pPr>
        <w:ind w:right="280" w:firstLine="645"/>
        <w:spacing w:after="0" w:line="271" w:lineRule="auto"/>
        <w:rPr>
          <w:sz w:val="20"/>
          <w:szCs w:val="20"/>
          <w:color w:val="auto"/>
        </w:rPr>
      </w:pPr>
      <w:r>
        <w:rPr>
          <w:rFonts w:ascii="Times New Roman" w:cs="Times New Roman" w:eastAsia="Times New Roman" w:hAnsi="Times New Roman"/>
          <w:sz w:val="22"/>
          <w:szCs w:val="22"/>
          <w:color w:val="auto"/>
        </w:rPr>
        <w:t>IN WITNESS WHEREOF, the parties to this Agreement have duly authorized this Agreement to be effective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40"/>
          </w:cols>
          <w:pgMar w:left="340" w:top="1440" w:right="4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1340"/>
        <w:spacing w:after="0"/>
        <w:tabs>
          <w:tab w:leader="none" w:pos="6880" w:val="left"/>
        </w:tabs>
        <w:rPr>
          <w:sz w:val="20"/>
          <w:szCs w:val="20"/>
          <w:color w:val="auto"/>
        </w:rPr>
      </w:pPr>
      <w:r>
        <w:rPr>
          <w:rFonts w:ascii="Times New Roman" w:cs="Times New Roman" w:eastAsia="Times New Roman" w:hAnsi="Times New Roman"/>
          <w:sz w:val="18"/>
          <w:szCs w:val="18"/>
          <w:color w:val="auto"/>
        </w:rPr>
        <w:t>April 26, 2024</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263207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632075" cy="17145"/>
                    </a:xfrm>
                    <a:prstGeom prst="rect">
                      <a:avLst/>
                    </a:prstGeom>
                    <a:noFill/>
                  </pic:spPr>
                </pic:pic>
              </a:graphicData>
            </a:graphic>
          </wp:anchor>
        </w:drawing>
      </w:r>
    </w:p>
    <w:p>
      <w:pPr>
        <w:spacing w:after="0" w:line="57"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Michael D. Casey</w:t>
      </w:r>
    </w:p>
    <w:p>
      <w:pPr>
        <w:spacing w:after="0" w:line="27"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i w:val="1"/>
          <w:iCs w:val="1"/>
          <w:color w:val="auto"/>
        </w:rPr>
        <w:t>Chairman, Chief Executive Officer and President</w:t>
      </w:r>
    </w:p>
    <w:p>
      <w:pPr>
        <w:sectPr>
          <w:pgSz w:w="11900" w:h="16838" w:orient="portrait"/>
          <w:cols w:equalWidth="0" w:num="1">
            <w:col w:w="11240"/>
          </w:cols>
          <w:pgMar w:left="320" w:top="113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4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380"/>
        <w:spacing w:after="0"/>
        <w:tabs>
          <w:tab w:leader="none" w:pos="6320" w:val="left"/>
        </w:tabs>
        <w:rPr>
          <w:sz w:val="20"/>
          <w:szCs w:val="20"/>
          <w:color w:val="auto"/>
        </w:rPr>
      </w:pPr>
      <w:r>
        <w:rPr>
          <w:rFonts w:ascii="Times New Roman" w:cs="Times New Roman" w:eastAsia="Times New Roman" w:hAnsi="Times New Roman"/>
          <w:sz w:val="18"/>
          <w:szCs w:val="18"/>
          <w:color w:val="auto"/>
        </w:rPr>
        <w:t>April 26, 2024</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26035</wp:posOffset>
            </wp:positionV>
            <wp:extent cx="27946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i w:val="1"/>
          <w:iCs w:val="1"/>
          <w:color w:val="auto"/>
        </w:rPr>
        <w:t>Senior Executive Vice President,</w:t>
      </w:r>
    </w:p>
    <w:p>
      <w:pPr>
        <w:spacing w:after="0" w:line="4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Chief Financial Officer and Chief Operating Officer</w:t>
      </w:r>
    </w:p>
    <w:p>
      <w:pPr>
        <w:sectPr>
          <w:pgSz w:w="11900" w:h="16838" w:orient="portrait"/>
          <w:cols w:equalWidth="0" w:num="1">
            <w:col w:w="11240"/>
          </w:cols>
          <w:pgMar w:left="320" w:top="1012"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right="240" w:firstLine="180"/>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knowledge, this Report on Form 10-Q for the fiscal quarter ended March 30, 2024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86" w:lineRule="exact"/>
        <w:rPr>
          <w:sz w:val="20"/>
          <w:szCs w:val="20"/>
          <w:color w:val="auto"/>
        </w:rPr>
      </w:pPr>
    </w:p>
    <w:p>
      <w:pPr>
        <w:ind w:left="1620"/>
        <w:spacing w:after="0"/>
        <w:tabs>
          <w:tab w:leader="none" w:pos="6460" w:val="left"/>
        </w:tabs>
        <w:rPr>
          <w:sz w:val="20"/>
          <w:szCs w:val="20"/>
          <w:color w:val="auto"/>
        </w:rPr>
      </w:pPr>
      <w:r>
        <w:rPr>
          <w:rFonts w:ascii="Times New Roman" w:cs="Times New Roman" w:eastAsia="Times New Roman" w:hAnsi="Times New Roman"/>
          <w:sz w:val="18"/>
          <w:szCs w:val="18"/>
          <w:color w:val="auto"/>
        </w:rPr>
        <w:t>April 26, 2024</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154305</wp:posOffset>
            </wp:positionV>
            <wp:extent cx="28200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246"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color w:val="auto"/>
        </w:rPr>
        <w:t>Michael D. Casey</w:t>
      </w:r>
    </w:p>
    <w:p>
      <w:pPr>
        <w:spacing w:after="0" w:line="27"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i w:val="1"/>
          <w:iCs w:val="1"/>
          <w:color w:val="auto"/>
        </w:rPr>
        <w:t>Chairman,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80"/>
        <w:spacing w:after="0"/>
        <w:tabs>
          <w:tab w:leader="none" w:pos="6060" w:val="left"/>
        </w:tabs>
        <w:rPr>
          <w:sz w:val="20"/>
          <w:szCs w:val="20"/>
          <w:color w:val="auto"/>
        </w:rPr>
      </w:pPr>
      <w:r>
        <w:rPr>
          <w:rFonts w:ascii="Times New Roman" w:cs="Times New Roman" w:eastAsia="Times New Roman" w:hAnsi="Times New Roman"/>
          <w:sz w:val="18"/>
          <w:szCs w:val="18"/>
          <w:color w:val="auto"/>
        </w:rPr>
        <w:t>April 26, 2024</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154305</wp:posOffset>
            </wp:positionV>
            <wp:extent cx="299148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46"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i w:val="1"/>
          <w:iCs w:val="1"/>
          <w:color w:val="auto"/>
        </w:rPr>
        <w:t>Senior Executive Vice President,</w:t>
      </w:r>
    </w:p>
    <w:p>
      <w:pPr>
        <w:spacing w:after="0" w:line="23"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i w:val="1"/>
          <w:iCs w:val="1"/>
          <w:color w:val="auto"/>
        </w:rPr>
        <w:t>Chief 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firstLine="177"/>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lvl w:ilvl="1">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
    <w:nsid w:val="5577F8E1"/>
    <w:multiLevelType w:val="hybridMultilevel"/>
    <w:lvl w:ilvl="0">
      <w:lvlJc w:val="left"/>
      <w:lvlText w:val="%1"/>
      <w:numFmt w:val="decimal"/>
      <w:start w:val="1"/>
    </w:lvl>
    <w:lvl w:ilvl="1">
      <w:lvlJc w:val="left"/>
      <w:lvlText w:val="%2."/>
      <w:numFmt w:val="lowerLetter"/>
      <w:start w:val="1"/>
    </w:lvl>
  </w:abstractNum>
  <w:abstractNum w:abstractNumId="17">
    <w:nsid w:val="440BADFC"/>
    <w:multiLevelType w:val="hybridMultilevel"/>
    <w:lvl w:ilvl="0">
      <w:lvlJc w:val="left"/>
      <w:lvlText w:val="%1."/>
      <w:numFmt w:val="decimal"/>
      <w:start w:val="8"/>
    </w:lvl>
    <w:lvl w:ilvl="1">
      <w:lvlJc w:val="left"/>
      <w:lvlText w:val="%2"/>
      <w:numFmt w:val="lowerLetter"/>
      <w:start w:val="1"/>
    </w:lvl>
  </w:abstractNum>
  <w:abstractNum w:abstractNumId="18">
    <w:nsid w:val="5072367"/>
    <w:multiLevelType w:val="hybridMultilevel"/>
    <w:lvl w:ilvl="0">
      <w:lvlJc w:val="left"/>
      <w:lvlText w:val="%1."/>
      <w:numFmt w:val="decimal"/>
      <w:start w:val="10"/>
    </w:lvl>
  </w:abstractNum>
  <w:abstractNum w:abstractNumId="19">
    <w:nsid w:val="3804823E"/>
    <w:multiLevelType w:val="hybridMultilevel"/>
    <w:lvl w:ilvl="0">
      <w:lvlJc w:val="left"/>
      <w:lvlText w:val="%1."/>
      <w:numFmt w:val="decimal"/>
      <w:start w:val="12"/>
    </w:lvl>
  </w:abstractNum>
  <w:abstractNum w:abstractNumId="20">
    <w:nsid w:val="77465F01"/>
    <w:multiLevelType w:val="hybridMultilevel"/>
    <w:lvl w:ilvl="0">
      <w:lvlJc w:val="left"/>
      <w:lvlText w:val="%1."/>
      <w:numFmt w:val="decimal"/>
      <w:start w:val="19"/>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2"/>
    </w:lvl>
  </w:abstractNum>
  <w:abstractNum w:abstractNumId="23">
    <w:nsid w:val="2463B9E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4">
    <w:nsid w:val="5E884ADC"/>
    <w:multiLevelType w:val="hybridMultilevel"/>
    <w:lvl w:ilvl="0">
      <w:lvlJc w:val="left"/>
      <w:lvlText w:val="%1"/>
      <w:numFmt w:val="lowerLetter"/>
      <w:start w:val="1"/>
    </w:lvl>
    <w:lvl w:ilvl="1">
      <w:lvlJc w:val="left"/>
      <w:lvlText w:val="%2."/>
      <w:numFmt w:val="lowerLetter"/>
      <w:start w:val="9"/>
    </w:lvl>
  </w:abstractNum>
  <w:abstractNum w:abstractNumId="25">
    <w:nsid w:val="51EAD36B"/>
    <w:multiLevelType w:val="hybridMultilevel"/>
    <w:lvl w:ilvl="0">
      <w:lvlJc w:val="left"/>
      <w:lvlText w:val="%1."/>
      <w:numFmt w:val="lowerLetter"/>
      <w:start w:val="4"/>
    </w:lvl>
    <w:lvl w:ilvl="1">
      <w:lvlJc w:val="left"/>
      <w:lvlText w:val="%2."/>
      <w:numFmt w:val="lowerLetter"/>
      <w:start w:val="9"/>
    </w:lvl>
  </w:abstractNum>
  <w:abstractNum w:abstractNumId="26">
    <w:nsid w:val="2D517796"/>
    <w:multiLevelType w:val="hybridMultilevel"/>
    <w:lvl w:ilvl="0">
      <w:lvlJc w:val="left"/>
      <w:lvlText w:val="%1."/>
      <w:numFmt w:val="lowerRoman"/>
      <w:start w:val="2"/>
    </w:lvl>
  </w:abstractNum>
  <w:abstractNum w:abstractNumId="27">
    <w:nsid w:val="580BD78F"/>
    <w:multiLevelType w:val="hybridMultilevel"/>
    <w:lvl w:ilvl="0">
      <w:lvlJc w:val="left"/>
      <w:lvlText w:val="%1."/>
      <w:numFmt w:val="lowerLetter"/>
      <w:start w:val="6"/>
    </w:lvl>
    <w:lvl w:ilvl="1">
      <w:lvlJc w:val="left"/>
      <w:lvlText w:val="%2."/>
      <w:numFmt w:val="lowerRoman"/>
      <w:start w:val="1"/>
    </w:lvl>
  </w:abstractNum>
  <w:abstractNum w:abstractNumId="28">
    <w:nsid w:val="153EA438"/>
    <w:multiLevelType w:val="hybridMultilevel"/>
    <w:lvl w:ilvl="0">
      <w:lvlJc w:val="left"/>
      <w:lvlText w:val="%1"/>
      <w:numFmt w:val="decimal"/>
      <w:start w:val="1"/>
    </w:lvl>
    <w:lvl w:ilvl="1">
      <w:lvlJc w:val="left"/>
      <w:lvlText w:val="%2."/>
      <w:numFmt w:val="lowerLetter"/>
      <w:start w:val="7"/>
    </w:lvl>
  </w:abstractNum>
  <w:abstractNum w:abstractNumId="29">
    <w:nsid w:val="3855585C"/>
    <w:multiLevelType w:val="hybridMultilevel"/>
    <w:lvl w:ilvl="0">
      <w:lvlJc w:val="left"/>
      <w:lvlText w:val="%1."/>
      <w:numFmt w:val="decimal"/>
      <w:start w:val="7"/>
    </w:lvl>
    <w:lvl w:ilvl="1">
      <w:lvlJc w:val="left"/>
      <w:lvlText w:val="%2."/>
      <w:numFmt w:val="lowerLetter"/>
      <w:start w:val="1"/>
    </w:lvl>
  </w:abstractNum>
  <w:abstractNum w:abstractNumId="30">
    <w:nsid w:val="70A64E2A"/>
    <w:multiLevelType w:val="hybridMultilevel"/>
    <w:lvl w:ilvl="0">
      <w:lvlJc w:val="left"/>
      <w:lvlText w:val="%1."/>
      <w:numFmt w:val="lowerLetter"/>
      <w:start w:val="2"/>
    </w:lvl>
    <w:lvl w:ilvl="1">
      <w:lvlJc w:val="left"/>
      <w:lvlText w:val="%2."/>
      <w:numFmt w:val="lowerRoman"/>
      <w:start w:val="1"/>
    </w:lvl>
  </w:abstractNum>
  <w:abstractNum w:abstractNumId="31">
    <w:nsid w:val="6A2342EC"/>
    <w:multiLevelType w:val="hybridMultilevel"/>
    <w:lvl w:ilvl="0">
      <w:lvlJc w:val="left"/>
      <w:lvlText w:val="%1."/>
      <w:numFmt w:val="lowerLetter"/>
      <w:start w:val="4"/>
    </w:lvl>
  </w:abstractNum>
  <w:abstractNum w:abstractNumId="32">
    <w:nsid w:val="2A487CB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5"/>
    </w:lvl>
  </w:abstractNum>
  <w:abstractNum w:abstractNumId="33">
    <w:nsid w:val="1D4ED43B"/>
    <w:multiLevelType w:val="hybridMultilevel"/>
    <w:lvl w:ilvl="0">
      <w:lvlJc w:val="left"/>
      <w:lvlText w:val="%1."/>
      <w:numFmt w:val="decimal"/>
      <w:start w:val="10"/>
    </w:lvl>
  </w:abstractNum>
  <w:abstractNum w:abstractNumId="34">
    <w:nsid w:val="725A06FB"/>
    <w:multiLevelType w:val="hybridMultilevel"/>
    <w:lvl w:ilvl="0">
      <w:lvlJc w:val="left"/>
      <w:lvlText w:val="%1."/>
      <w:numFmt w:val="decimal"/>
      <w:start w:val="11"/>
    </w:lvl>
  </w:abstractNum>
  <w:abstractNum w:abstractNumId="35">
    <w:nsid w:val="2CD89A32"/>
    <w:multiLevelType w:val="hybridMultilevel"/>
    <w:lvl w:ilvl="0">
      <w:lvlJc w:val="left"/>
      <w:lvlText w:val="%1."/>
      <w:numFmt w:val="decimal"/>
      <w:start w:val="18"/>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2"/>
    </w:lvl>
  </w:abstractNum>
  <w:abstractNum w:abstractNumId="38">
    <w:nsid w:val="4B588F5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9">
    <w:nsid w:val="542289EC"/>
    <w:multiLevelType w:val="hybridMultilevel"/>
    <w:lvl w:ilvl="0">
      <w:lvlJc w:val="left"/>
      <w:lvlText w:val="%1."/>
      <w:numFmt w:val="lowerLetter"/>
      <w:start w:val="3"/>
    </w:lvl>
    <w:lvl w:ilvl="1">
      <w:lvlJc w:val="left"/>
      <w:lvlText w:val="%2."/>
      <w:numFmt w:val="lowerRoman"/>
      <w:start w:val="1"/>
    </w:lvl>
  </w:abstractNum>
  <w:abstractNum w:abstractNumId="40">
    <w:nsid w:val="6DE91B18"/>
    <w:multiLevelType w:val="hybridMultilevel"/>
    <w:lvl w:ilvl="0">
      <w:lvlJc w:val="left"/>
      <w:lvlText w:val="1"/>
      <w:numFmt w:val="bullet"/>
      <w:start w:val="1"/>
    </w:lvl>
  </w:abstractNum>
  <w:abstractNum w:abstractNumId="41">
    <w:nsid w:val="38437FDB"/>
    <w:multiLevelType w:val="hybridMultilevel"/>
    <w:lvl w:ilvl="0">
      <w:lvlJc w:val="left"/>
      <w:lvlText w:val="%1."/>
      <w:numFmt w:val="lowerLetter"/>
      <w:start w:val="5"/>
    </w:lvl>
    <w:lvl w:ilvl="1">
      <w:lvlJc w:val="left"/>
      <w:lvlText w:val="%2."/>
      <w:numFmt w:val="lowerRoman"/>
      <w:start w:val="1"/>
    </w:lvl>
  </w:abstractNum>
  <w:abstractNum w:abstractNumId="42">
    <w:nsid w:val="7644A45C"/>
    <w:multiLevelType w:val="hybridMultilevel"/>
    <w:lvl w:ilvl="0">
      <w:lvlJc w:val="left"/>
      <w:lvlText w:val="%1."/>
      <w:numFmt w:val="lowerLetter"/>
      <w:start w:val="6"/>
    </w:lvl>
  </w:abstractNum>
  <w:abstractNum w:abstractNumId="43">
    <w:nsid w:val="32FFF902"/>
    <w:multiLevelType w:val="hybridMultilevel"/>
    <w:lvl w:ilvl="0">
      <w:lvlJc w:val="left"/>
      <w:lvlText w:val="%1"/>
      <w:numFmt w:val="decimal"/>
      <w:start w:val="1"/>
    </w:lvl>
    <w:lvl w:ilvl="1">
      <w:lvlJc w:val="left"/>
      <w:lvlText w:val="%2."/>
      <w:numFmt w:val="lowerLetter"/>
      <w:start w:val="7"/>
    </w:lvl>
  </w:abstractNum>
  <w:abstractNum w:abstractNumId="44">
    <w:nsid w:val="684A481A"/>
    <w:multiLevelType w:val="hybridMultilevel"/>
    <w:lvl w:ilvl="0">
      <w:lvlJc w:val="left"/>
      <w:lvlText w:val="%1."/>
      <w:numFmt w:val="decimal"/>
      <w:start w:val="7"/>
    </w:lvl>
    <w:lvl w:ilvl="1">
      <w:lvlJc w:val="left"/>
      <w:lvlText w:val="%2."/>
      <w:numFmt w:val="lowerLetter"/>
      <w:start w:val="1"/>
    </w:lvl>
  </w:abstractNum>
  <w:abstractNum w:abstractNumId="45">
    <w:nsid w:val="579478FE"/>
    <w:multiLevelType w:val="hybridMultilevel"/>
    <w:lvl w:ilvl="0">
      <w:lvlJc w:val="left"/>
      <w:lvlText w:val="%1."/>
      <w:numFmt w:val="lowerLetter"/>
      <w:start w:val="3"/>
    </w:lvl>
    <w:lvl w:ilvl="1">
      <w:lvlJc w:val="left"/>
      <w:lvlText w:val="%2."/>
      <w:numFmt w:val="lowerRoman"/>
      <w:start w:val="1"/>
    </w:lvl>
  </w:abstractNum>
  <w:abstractNum w:abstractNumId="46">
    <w:nsid w:val="749ABB43"/>
    <w:multiLevelType w:val="hybridMultilevel"/>
    <w:lvl w:ilvl="0">
      <w:lvlJc w:val="left"/>
      <w:lvlText w:val="%1"/>
      <w:numFmt w:val="decimal"/>
      <w:start w:val="1"/>
    </w:lvl>
    <w:lvl w:ilvl="1">
      <w:lvlJc w:val="left"/>
      <w:lvlText w:val="%2."/>
      <w:numFmt w:val="lowerLetter"/>
      <w:start w:val="4"/>
    </w:lvl>
  </w:abstractNum>
  <w:abstractNum w:abstractNumId="47">
    <w:nsid w:val="3DC240FB"/>
    <w:multiLevelType w:val="hybridMultilevel"/>
    <w:lvl w:ilvl="0">
      <w:lvlJc w:val="left"/>
      <w:lvlText w:val="%1."/>
      <w:numFmt w:val="decimal"/>
      <w:start w:val="8"/>
    </w:lvl>
    <w:lvl w:ilvl="1">
      <w:lvlJc w:val="left"/>
      <w:lvlText w:val="%2"/>
      <w:numFmt w:val="lowerLetter"/>
      <w:start w:val="1"/>
    </w:lvl>
  </w:abstractNum>
  <w:abstractNum w:abstractNumId="48">
    <w:nsid w:val="1BA026FA"/>
    <w:multiLevelType w:val="hybridMultilevel"/>
    <w:lvl w:ilvl="0">
      <w:lvlJc w:val="left"/>
      <w:lvlText w:val="%1."/>
      <w:numFmt w:val="decimal"/>
      <w:start w:val="9"/>
    </w:lvl>
  </w:abstractNum>
  <w:abstractNum w:abstractNumId="49">
    <w:nsid w:val="79A1DEAA"/>
    <w:multiLevelType w:val="hybridMultilevel"/>
    <w:lvl w:ilvl="0">
      <w:lvlJc w:val="left"/>
      <w:lvlText w:val="%1."/>
      <w:numFmt w:val="decimal"/>
      <w:start w:val="10"/>
    </w:lvl>
  </w:abstractNum>
  <w:abstractNum w:abstractNumId="50">
    <w:nsid w:val="75C6C33A"/>
    <w:multiLevelType w:val="hybridMultilevel"/>
    <w:lvl w:ilvl="0">
      <w:lvlJc w:val="left"/>
      <w:lvlText w:val="%1."/>
      <w:numFmt w:val="decimal"/>
      <w:start w:val="18"/>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55" Type="http://schemas.openxmlformats.org/officeDocument/2006/relationships/hyperlink" Target="https://www.sec.gov/Archives/edgar/data/1060822/000119312517179483/d400342dex31.htm" TargetMode="External"/><Relationship Id="rId56" Type="http://schemas.openxmlformats.org/officeDocument/2006/relationships/hyperlink" Target="https://www.sec.gov/Archives/edgar/data/1060822/000106082223000140/exhibit31-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2024-04-26T12:41:14Z</dcterms:created>
  <dcterms:modified xsi:type="dcterms:W3CDTF">2024-04-26T12:41:14Z</dcterms:modified>
</cp:coreProperties>
</file>