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100"/>
        <w:jc w:val="center"/>
        <w:rPr/>
      </w:pPr>
      <w:r>
        <w:rPr>
          <w:color w:val="000000"/>
        </w:rPr>
        <w:t>    </w:t>
      </w:r>
      <w:r>
        <w:rPr>
          <w:rFonts w:ascii="Times New Roman;sans-serif" w:hAnsi="Times New Roman;sans-serif"/>
          <w:b/>
          <w:color w:val="000000"/>
          <w:sz w:val="18"/>
        </w:rPr>
        <w:t xml:space="preserve">For the quarterly period ended July 1, 2023 </w:t>
      </w:r>
    </w:p>
    <w:p>
      <w:pPr>
        <w:pStyle w:val="TextBody"/>
        <w:bidi w:val="0"/>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20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__________to __________</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Commission file number: 001-31829</w:t>
      </w:r>
    </w:p>
    <w:p>
      <w:pPr>
        <w:pStyle w:val="TextBody"/>
        <w:bidi w:val="0"/>
        <w:spacing w:lineRule="auto" w:line="288" w:before="0" w:after="100"/>
        <w:jc w:val="center"/>
        <w:rPr>
          <w:rFonts w:ascii="Times New Roman;sans-serif" w:hAnsi="Times New Roman;sans-serif"/>
          <w:b/>
          <w:color w:val="000000"/>
          <w:sz w:val="32"/>
        </w:rPr>
      </w:pPr>
      <w:r>
        <w:rPr>
          <w:rFonts w:ascii="Times New Roman;sans-serif" w:hAnsi="Times New Roman;sans-serif"/>
          <w:b/>
          <w:color w:val="000000"/>
          <w:sz w:val="32"/>
        </w:rPr>
        <w:t xml:space="preserve">CARTER’S, INC.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276" w:type="dxa"/>
        <w:jc w:val="center"/>
        <w:tblInd w:w="0" w:type="dxa"/>
        <w:tblLayout w:type="fixed"/>
        <w:tblCellMar>
          <w:top w:w="28" w:type="dxa"/>
          <w:left w:w="28" w:type="dxa"/>
          <w:bottom w:w="28" w:type="dxa"/>
          <w:right w:w="28" w:type="dxa"/>
        </w:tblCellMar>
      </w:tblPr>
      <w:tblGrid>
        <w:gridCol w:w="807"/>
        <w:gridCol w:w="710"/>
        <w:gridCol w:w="717"/>
        <w:gridCol w:w="109"/>
        <w:gridCol w:w="109"/>
        <w:gridCol w:w="109"/>
        <w:gridCol w:w="791"/>
        <w:gridCol w:w="791"/>
        <w:gridCol w:w="1133"/>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13-3912933</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Phipps Tower,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3438 Peachtree Road NE, Suite 1800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Atlanta, Georgia 30326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(678) 791-1000 </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308" w:type="dxa"/>
        <w:jc w:val="left"/>
        <w:tblInd w:w="0" w:type="dxa"/>
        <w:tblLayout w:type="fixed"/>
        <w:tblCellMar>
          <w:top w:w="28" w:type="dxa"/>
          <w:left w:w="28" w:type="dxa"/>
          <w:bottom w:w="28" w:type="dxa"/>
          <w:right w:w="28" w:type="dxa"/>
        </w:tblCellMar>
      </w:tblPr>
      <w:tblGrid>
        <w:gridCol w:w="1114"/>
        <w:gridCol w:w="978"/>
        <w:gridCol w:w="983"/>
        <w:gridCol w:w="519"/>
        <w:gridCol w:w="519"/>
        <w:gridCol w:w="521"/>
        <w:gridCol w:w="1074"/>
        <w:gridCol w:w="1074"/>
        <w:gridCol w:w="1526"/>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15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CRI</w:t>
            </w:r>
          </w:p>
        </w:tc>
        <w:tc>
          <w:tcPr>
            <w:tcW w:w="36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20" w:after="20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20" w:after="20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2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bidi w:val="0"/>
        <w:spacing w:lineRule="auto" w:line="288" w:before="60" w:after="100"/>
        <w:jc w:val="center"/>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Accelerated filer ☐</w:t>
      </w:r>
    </w:p>
    <w:p>
      <w:pPr>
        <w:pStyle w:val="TextBody"/>
        <w:bidi w:val="0"/>
        <w:spacing w:lineRule="auto" w:line="288" w:before="6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 Smaller reporting company ☐ </w:t>
      </w:r>
    </w:p>
    <w:p>
      <w:pPr>
        <w:pStyle w:val="TextBody"/>
        <w:bidi w:val="0"/>
        <w:spacing w:lineRule="auto" w:line="288" w:before="6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2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 w:after="200"/>
        <w:jc w:val="left"/>
        <w:rPr/>
      </w:pPr>
      <w:r>
        <w:rPr>
          <w:rFonts w:ascii="Times New Roman;sans-serif" w:hAnsi="Times New Roman;sans-serif"/>
          <w:b w:val="false"/>
          <w:color w:val="000000"/>
          <w:sz w:val="20"/>
        </w:rPr>
        <w:t xml:space="preserve">Indicate by check mark whether the registrant is a shell company (as defined in Rule 12b-2 of the Exchange Act).Yes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21, 2023, there were 37,258,307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CARTER’S, INC.</w:t>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 xml:space="preserve">INDEX </w:t>
      </w:r>
    </w:p>
    <w:tbl>
      <w:tblPr>
        <w:tblW w:w="10205" w:type="dxa"/>
        <w:jc w:val="left"/>
        <w:tblInd w:w="0" w:type="dxa"/>
        <w:tblLayout w:type="fixed"/>
        <w:tblCellMar>
          <w:top w:w="28" w:type="dxa"/>
          <w:left w:w="28" w:type="dxa"/>
          <w:bottom w:w="28" w:type="dxa"/>
          <w:right w:w="28" w:type="dxa"/>
        </w:tblCellMar>
      </w:tblPr>
      <w:tblGrid>
        <w:gridCol w:w="254"/>
        <w:gridCol w:w="223"/>
        <w:gridCol w:w="223"/>
        <w:gridCol w:w="239"/>
        <w:gridCol w:w="223"/>
        <w:gridCol w:w="223"/>
        <w:gridCol w:w="2773"/>
        <w:gridCol w:w="2645"/>
        <w:gridCol w:w="2764"/>
        <w:gridCol w:w="184"/>
        <w:gridCol w:w="184"/>
        <w:gridCol w:w="270"/>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0">
              <w:r>
                <w:rPr>
                  <w:rStyle w:val="InternetLink"/>
                  <w:rFonts w:ascii="Times New Roman;sans-serif" w:hAnsi="Times New Roman;sans-serif"/>
                  <w:b/>
                  <w:color w:val="0000FF"/>
                  <w:sz w:val="20"/>
                  <w:u w:val="single"/>
                </w:rPr>
                <w:t>Part I. Financial Information</w:t>
              </w:r>
            </w:hyperlink>
          </w:p>
        </w:tc>
        <w:tc>
          <w:tcPr>
            <w:tcW w:w="6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3">
              <w:r>
                <w:rPr>
                  <w:rStyle w:val="InternetLink"/>
                  <w:rFonts w:ascii="Times New Roman;sans-serif" w:hAnsi="Times New Roman;sans-serif"/>
                  <w:b w:val="false"/>
                  <w:color w:val="0000FF"/>
                  <w:sz w:val="18"/>
                  <w:u w:val="single"/>
                </w:rPr>
                <w:t>Item 1</w:t>
              </w:r>
            </w:hyperlink>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3">
              <w:r>
                <w:rPr>
                  <w:rStyle w:val="InternetLink"/>
                  <w:rFonts w:ascii="Times New Roman;sans-serif" w:hAnsi="Times New Roman;sans-serif"/>
                  <w:b w:val="false"/>
                  <w:color w:val="0000FF"/>
                  <w:sz w:val="18"/>
                  <w:u w:val="single"/>
                </w:rPr>
                <w:t>Financial Statements</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Balance Sheets as of July 1, 2023, December 31, 2022 and July 2, 2022</w:t>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6">
              <w:r>
                <w:rPr>
                  <w:rStyle w:val="InternetLink"/>
                  <w:rFonts w:ascii="Times New Roman;sans-serif" w:hAnsi="Times New Roman;sans-serif"/>
                  <w:b w:val="false"/>
                  <w:color w:val="0000FF"/>
                  <w:sz w:val="18"/>
                  <w:u w:val="single"/>
                </w:rPr>
                <w:t>1</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Operations for the fiscal quarter and two fiscal quarters ended July 1, 2023 and July 2, 2022</w:t>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9">
              <w:r>
                <w:rPr>
                  <w:rStyle w:val="InternetLink"/>
                  <w:rFonts w:ascii="Times New Roman;sans-serif" w:hAnsi="Times New Roman;sans-serif"/>
                  <w:b w:val="false"/>
                  <w:color w:val="0000FF"/>
                  <w:sz w:val="18"/>
                  <w:u w:val="single"/>
                </w:rPr>
                <w:t>2</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Comprehensive Income for the fiscal quarter and two fiscal quarters ended July 1, 2023 and July 2, 2022</w:t>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22">
              <w:r>
                <w:rPr>
                  <w:rStyle w:val="InternetLink"/>
                  <w:rFonts w:ascii="Times New Roman;sans-serif" w:hAnsi="Times New Roman;sans-serif"/>
                  <w:b w:val="false"/>
                  <w:color w:val="0000FF"/>
                  <w:sz w:val="18"/>
                  <w:u w:val="single"/>
                </w:rPr>
                <w:t>3</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Changes in Stockholders’ Equity for the fiscal quarters ended July 1, 2023, April 1, 2023, July 2, 2022 and April 2, 2022</w:t>
            </w:r>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25">
              <w:r>
                <w:rPr>
                  <w:rStyle w:val="InternetLink"/>
                  <w:rFonts w:ascii="Times New Roman;sans-serif" w:hAnsi="Times New Roman;sans-serif"/>
                  <w:b w:val="false"/>
                  <w:color w:val="0000FF"/>
                  <w:sz w:val="18"/>
                  <w:u w:val="single"/>
                </w:rPr>
                <w:t>4</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Unaudited Condensed Consolidated Statements of Cash Flows for the two fiscal quarters ended July 1, 2023 and July 2, 2022</w:t>
            </w:r>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28">
              <w:r>
                <w:rPr>
                  <w:rStyle w:val="InternetLink"/>
                  <w:rFonts w:ascii="Times New Roman;sans-serif" w:hAnsi="Times New Roman;sans-serif"/>
                  <w:b w:val="false"/>
                  <w:color w:val="0000FF"/>
                  <w:sz w:val="18"/>
                  <w:u w:val="single"/>
                </w:rPr>
                <w:t>5</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31">
              <w:r>
                <w:rPr>
                  <w:rStyle w:val="InternetLink"/>
                  <w:rFonts w:ascii="Times New Roman;sans-serif" w:hAnsi="Times New Roman;sans-serif"/>
                  <w:b w:val="false"/>
                  <w:color w:val="0000FF"/>
                  <w:sz w:val="18"/>
                  <w:u w:val="single"/>
                </w:rPr>
                <w:t>Notes to the Unaudited Condensed Consolidated Financial Statements</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31">
              <w:r>
                <w:rPr>
                  <w:rStyle w:val="InternetLink"/>
                  <w:rFonts w:ascii="Times New Roman;sans-serif" w:hAnsi="Times New Roman;sans-serif"/>
                  <w:b w:val="false"/>
                  <w:color w:val="0000FF"/>
                  <w:sz w:val="18"/>
                  <w:u w:val="single"/>
                </w:rPr>
                <w:t>6</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79">
              <w:r>
                <w:rPr>
                  <w:rStyle w:val="InternetLink"/>
                  <w:rFonts w:ascii="Times New Roman;sans-serif" w:hAnsi="Times New Roman;sans-serif"/>
                  <w:b w:val="false"/>
                  <w:color w:val="0000FF"/>
                  <w:sz w:val="18"/>
                  <w:u w:val="single"/>
                </w:rPr>
                <w:t>Item 2</w:t>
              </w:r>
            </w:hyperlink>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79">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79">
              <w:r>
                <w:rPr>
                  <w:rStyle w:val="InternetLink"/>
                  <w:rFonts w:ascii="Times New Roman;sans-serif" w:hAnsi="Times New Roman;sans-serif"/>
                  <w:b w:val="false"/>
                  <w:color w:val="0000FF"/>
                  <w:sz w:val="18"/>
                  <w:u w:val="single"/>
                </w:rPr>
                <w:t>14</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03">
              <w:r>
                <w:rPr>
                  <w:rStyle w:val="InternetLink"/>
                  <w:rFonts w:ascii="Times New Roman;sans-serif" w:hAnsi="Times New Roman;sans-serif"/>
                  <w:b w:val="false"/>
                  <w:color w:val="0000FF"/>
                  <w:sz w:val="18"/>
                  <w:u w:val="single"/>
                </w:rPr>
                <w:t>Item 3</w:t>
              </w:r>
            </w:hyperlink>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03">
              <w:r>
                <w:rPr>
                  <w:rStyle w:val="InternetLink"/>
                  <w:rFonts w:ascii="Times New Roman;sans-serif" w:hAnsi="Times New Roman;sans-serif"/>
                  <w:b w:val="false"/>
                  <w:color w:val="0000FF"/>
                  <w:sz w:val="18"/>
                  <w:u w:val="single"/>
                </w:rPr>
                <w:t>Quantitative and Qualitative Disclosures about Market Risk</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03">
              <w:r>
                <w:rPr>
                  <w:rStyle w:val="InternetLink"/>
                  <w:rFonts w:ascii="Times New Roman;sans-serif" w:hAnsi="Times New Roman;sans-serif"/>
                  <w:b w:val="false"/>
                  <w:color w:val="0000FF"/>
                  <w:sz w:val="18"/>
                  <w:u w:val="single"/>
                </w:rPr>
                <w:t>27</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06">
              <w:r>
                <w:rPr>
                  <w:rStyle w:val="InternetLink"/>
                  <w:rFonts w:ascii="Times New Roman;sans-serif" w:hAnsi="Times New Roman;sans-serif"/>
                  <w:b w:val="false"/>
                  <w:color w:val="0000FF"/>
                  <w:sz w:val="18"/>
                  <w:u w:val="single"/>
                </w:rPr>
                <w:t>Item 4</w:t>
              </w:r>
            </w:hyperlink>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06">
              <w:r>
                <w:rPr>
                  <w:rStyle w:val="InternetLink"/>
                  <w:rFonts w:ascii="Times New Roman;sans-serif" w:hAnsi="Times New Roman;sans-serif"/>
                  <w:b w:val="false"/>
                  <w:color w:val="0000FF"/>
                  <w:sz w:val="18"/>
                  <w:u w:val="single"/>
                </w:rPr>
                <w:t>Controls and Procedures</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06">
              <w:r>
                <w:rPr>
                  <w:rStyle w:val="InternetLink"/>
                  <w:rFonts w:ascii="Times New Roman;sans-serif" w:hAnsi="Times New Roman;sans-serif"/>
                  <w:b w:val="false"/>
                  <w:color w:val="0000FF"/>
                  <w:sz w:val="18"/>
                  <w:u w:val="single"/>
                </w:rPr>
                <w:t>28</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Part II. Other Information</w:t>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12">
              <w:r>
                <w:rPr>
                  <w:rStyle w:val="InternetLink"/>
                  <w:rFonts w:ascii="Times New Roman;sans-serif" w:hAnsi="Times New Roman;sans-serif"/>
                  <w:b w:val="false"/>
                  <w:color w:val="0000FF"/>
                  <w:sz w:val="18"/>
                  <w:u w:val="single"/>
                </w:rPr>
                <w:t>Item 1</w:t>
              </w:r>
            </w:hyperlink>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12">
              <w:r>
                <w:rPr>
                  <w:rStyle w:val="InternetLink"/>
                  <w:rFonts w:ascii="Times New Roman;sans-serif" w:hAnsi="Times New Roman;sans-serif"/>
                  <w:b w:val="false"/>
                  <w:color w:val="0000FF"/>
                  <w:sz w:val="18"/>
                  <w:u w:val="single"/>
                </w:rPr>
                <w:t>Legal Proceedings</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12">
              <w:r>
                <w:rPr>
                  <w:rStyle w:val="InternetLink"/>
                  <w:rFonts w:ascii="Times New Roman;sans-serif" w:hAnsi="Times New Roman;sans-serif"/>
                  <w:b w:val="false"/>
                  <w:color w:val="0000FF"/>
                  <w:sz w:val="18"/>
                  <w:u w:val="single"/>
                </w:rPr>
                <w:t>29</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15">
              <w:r>
                <w:rPr>
                  <w:rStyle w:val="InternetLink"/>
                  <w:rFonts w:ascii="Times New Roman;sans-serif" w:hAnsi="Times New Roman;sans-serif"/>
                  <w:b w:val="false"/>
                  <w:color w:val="0000FF"/>
                  <w:sz w:val="18"/>
                  <w:u w:val="single"/>
                </w:rPr>
                <w:t>Item 1A</w:t>
              </w:r>
            </w:hyperlink>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15">
              <w:r>
                <w:rPr>
                  <w:rStyle w:val="InternetLink"/>
                  <w:rFonts w:ascii="Times New Roman;sans-serif" w:hAnsi="Times New Roman;sans-serif"/>
                  <w:b w:val="false"/>
                  <w:color w:val="0000FF"/>
                  <w:sz w:val="18"/>
                  <w:u w:val="single"/>
                </w:rPr>
                <w:t>Risk Factors</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15">
              <w:r>
                <w:rPr>
                  <w:rStyle w:val="InternetLink"/>
                  <w:rFonts w:ascii="Times New Roman;sans-serif" w:hAnsi="Times New Roman;sans-serif"/>
                  <w:b w:val="false"/>
                  <w:color w:val="0000FF"/>
                  <w:sz w:val="18"/>
                  <w:u w:val="single"/>
                </w:rPr>
                <w:t>29</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18">
              <w:r>
                <w:rPr>
                  <w:rStyle w:val="InternetLink"/>
                  <w:rFonts w:ascii="Times New Roman;sans-serif" w:hAnsi="Times New Roman;sans-serif"/>
                  <w:b w:val="false"/>
                  <w:color w:val="0000FF"/>
                  <w:sz w:val="18"/>
                  <w:u w:val="single"/>
                </w:rPr>
                <w:t>Item 2</w:t>
              </w:r>
            </w:hyperlink>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18">
              <w:r>
                <w:rPr>
                  <w:rStyle w:val="InternetLink"/>
                  <w:rFonts w:ascii="Times New Roman;sans-serif" w:hAnsi="Times New Roman;sans-serif"/>
                  <w:b w:val="false"/>
                  <w:color w:val="0000FF"/>
                  <w:sz w:val="18"/>
                  <w:u w:val="single"/>
                </w:rPr>
                <w:t>Unregistered Sales of Equity Securities and Use of Proceeds</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18">
              <w:r>
                <w:rPr>
                  <w:rStyle w:val="InternetLink"/>
                  <w:rFonts w:ascii="Times New Roman;sans-serif" w:hAnsi="Times New Roman;sans-serif"/>
                  <w:b w:val="false"/>
                  <w:color w:val="0000FF"/>
                  <w:sz w:val="18"/>
                  <w:u w:val="single"/>
                </w:rPr>
                <w:t>29</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21">
              <w:r>
                <w:rPr>
                  <w:rStyle w:val="InternetLink"/>
                  <w:rFonts w:ascii="Times New Roman;sans-serif" w:hAnsi="Times New Roman;sans-serif"/>
                  <w:b w:val="false"/>
                  <w:color w:val="0000FF"/>
                  <w:sz w:val="18"/>
                  <w:u w:val="single"/>
                </w:rPr>
                <w:t>Item 3</w:t>
              </w:r>
            </w:hyperlink>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21">
              <w:r>
                <w:rPr>
                  <w:rStyle w:val="InternetLink"/>
                  <w:rFonts w:ascii="Times New Roman;sans-serif" w:hAnsi="Times New Roman;sans-serif"/>
                  <w:b w:val="false"/>
                  <w:color w:val="0000FF"/>
                  <w:sz w:val="18"/>
                  <w:u w:val="single"/>
                </w:rPr>
                <w:t>Defaults upon Senior Securities</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21">
              <w:r>
                <w:rPr>
                  <w:rStyle w:val="InternetLink"/>
                  <w:rFonts w:ascii="Times New Roman;sans-serif" w:hAnsi="Times New Roman;sans-serif"/>
                  <w:b w:val="false"/>
                  <w:color w:val="0000FF"/>
                  <w:sz w:val="18"/>
                  <w:u w:val="single"/>
                </w:rPr>
                <w:t>29</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24">
              <w:r>
                <w:rPr>
                  <w:rStyle w:val="InternetLink"/>
                  <w:rFonts w:ascii="Times New Roman;sans-serif" w:hAnsi="Times New Roman;sans-serif"/>
                  <w:b w:val="false"/>
                  <w:color w:val="0000FF"/>
                  <w:sz w:val="18"/>
                  <w:u w:val="single"/>
                </w:rPr>
                <w:t>Item 4</w:t>
              </w:r>
            </w:hyperlink>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24">
              <w:r>
                <w:rPr>
                  <w:rStyle w:val="InternetLink"/>
                  <w:rFonts w:ascii="Times New Roman;sans-serif" w:hAnsi="Times New Roman;sans-serif"/>
                  <w:b w:val="false"/>
                  <w:color w:val="0000FF"/>
                  <w:sz w:val="18"/>
                  <w:u w:val="single"/>
                </w:rPr>
                <w:t>Mine Safety Disclosures</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24">
              <w:r>
                <w:rPr>
                  <w:rStyle w:val="InternetLink"/>
                  <w:rFonts w:ascii="Times New Roman;sans-serif" w:hAnsi="Times New Roman;sans-serif"/>
                  <w:b w:val="false"/>
                  <w:color w:val="0000FF"/>
                  <w:sz w:val="18"/>
                  <w:u w:val="single"/>
                </w:rPr>
                <w:t>29</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27">
              <w:r>
                <w:rPr>
                  <w:rStyle w:val="InternetLink"/>
                  <w:rFonts w:ascii="Times New Roman;sans-serif" w:hAnsi="Times New Roman;sans-serif"/>
                  <w:b w:val="false"/>
                  <w:color w:val="0000FF"/>
                  <w:sz w:val="18"/>
                  <w:u w:val="single"/>
                </w:rPr>
                <w:t>Item 5</w:t>
              </w:r>
            </w:hyperlink>
          </w:p>
        </w:tc>
        <w:tc>
          <w:tcPr>
            <w:tcW w:w="8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27">
              <w:r>
                <w:rPr>
                  <w:rStyle w:val="InternetLink"/>
                  <w:rFonts w:ascii="Times New Roman;sans-serif" w:hAnsi="Times New Roman;sans-serif"/>
                  <w:b w:val="false"/>
                  <w:color w:val="0000FF"/>
                  <w:sz w:val="18"/>
                  <w:u w:val="single"/>
                </w:rPr>
                <w:t>Other Information</w:t>
              </w:r>
            </w:hyperlink>
          </w:p>
        </w:tc>
        <w:tc>
          <w:tcPr>
            <w:tcW w:w="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27">
              <w:r>
                <w:rPr>
                  <w:rStyle w:val="InternetLink"/>
                  <w:rFonts w:ascii="Times New Roman;sans-serif" w:hAnsi="Times New Roman;sans-serif"/>
                  <w:b w:val="false"/>
                  <w:color w:val="0000FF"/>
                  <w:sz w:val="18"/>
                  <w:u w:val="single"/>
                </w:rPr>
                <w:t>29</w:t>
              </w:r>
            </w:hyperlink>
          </w:p>
        </w:tc>
      </w:tr>
      <w:tr>
        <w:trPr/>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30">
              <w:r>
                <w:rPr>
                  <w:rStyle w:val="InternetLink"/>
                  <w:rFonts w:ascii="Times New Roman;sans-serif" w:hAnsi="Times New Roman;sans-serif"/>
                  <w:b w:val="false"/>
                  <w:color w:val="0000FF"/>
                  <w:sz w:val="18"/>
                  <w:u w:val="single"/>
                </w:rPr>
                <w:t>Item 6</w:t>
              </w:r>
            </w:hyperlink>
          </w:p>
        </w:tc>
        <w:tc>
          <w:tcPr>
            <w:tcW w:w="8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30">
              <w:r>
                <w:rPr>
                  <w:rStyle w:val="InternetLink"/>
                  <w:rFonts w:ascii="Times New Roman;sans-serif" w:hAnsi="Times New Roman;sans-serif"/>
                  <w:b w:val="false"/>
                  <w:color w:val="0000FF"/>
                  <w:sz w:val="18"/>
                  <w:u w:val="single"/>
                </w:rPr>
                <w:t xml:space="preserve">Exhibits </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30">
              <w:r>
                <w:rPr>
                  <w:rStyle w:val="InternetLink"/>
                  <w:rFonts w:ascii="Times New Roman;sans-serif" w:hAnsi="Times New Roman;sans-serif"/>
                  <w:b w:val="false"/>
                  <w:color w:val="0000FF"/>
                  <w:sz w:val="18"/>
                  <w:u w:val="single"/>
                </w:rPr>
                <w:t>30</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405f4df535b46f0add581196d121bce_133">
              <w:r>
                <w:rPr>
                  <w:rStyle w:val="InternetLink"/>
                  <w:rFonts w:ascii="Times New Roman;sans-serif" w:hAnsi="Times New Roman;sans-serif"/>
                  <w:b/>
                  <w:color w:val="0000FF"/>
                  <w:sz w:val="20"/>
                  <w:u w:val="single"/>
                </w:rPr>
                <w:t>Signatures</w:t>
              </w:r>
            </w:hyperlink>
          </w:p>
        </w:tc>
        <w:tc>
          <w:tcPr>
            <w:tcW w:w="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405f4df535b46f0add581196d121bce_133">
              <w:r>
                <w:rPr>
                  <w:rStyle w:val="InternetLink"/>
                  <w:rFonts w:ascii="Times New Roman;sans-serif" w:hAnsi="Times New Roman;sans-serif"/>
                  <w:b w:val="false"/>
                  <w:color w:val="0000FF"/>
                  <w:sz w:val="18"/>
                  <w:u w:val="single"/>
                </w:rPr>
                <w:t>31</w:t>
              </w:r>
            </w:hyperlink>
          </w:p>
        </w:tc>
      </w:tr>
      <w:tr>
        <w:trPr/>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u w:val="single"/>
              </w:rPr>
            </w:pPr>
            <w:r>
              <w:rPr>
                <w:rFonts w:ascii="Times New Roman;sans-serif" w:hAnsi="Times New Roman;sans-serif"/>
                <w:b/>
                <w:color w:val="0000FF"/>
                <w:sz w:val="20"/>
                <w:u w:val="single"/>
              </w:rPr>
              <w:t>Certifications</w:t>
            </w:r>
          </w:p>
        </w:tc>
        <w:tc>
          <w:tcPr>
            <w:tcW w:w="6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 except per share data</w:t>
      </w:r>
      <w:r>
        <w:rPr>
          <w:rFonts w:ascii="Times New Roman;sans-serif" w:hAnsi="Times New Roman;sans-serif"/>
          <w:b w:val="false"/>
          <w:color w:val="000000"/>
          <w:sz w:val="20"/>
        </w:rPr>
        <w:t>)</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13"/>
        <w:gridCol w:w="1718"/>
        <w:gridCol w:w="1710"/>
        <w:gridCol w:w="196"/>
        <w:gridCol w:w="871"/>
        <w:gridCol w:w="109"/>
        <w:gridCol w:w="109"/>
        <w:gridCol w:w="109"/>
        <w:gridCol w:w="109"/>
        <w:gridCol w:w="218"/>
        <w:gridCol w:w="971"/>
        <w:gridCol w:w="121"/>
        <w:gridCol w:w="109"/>
        <w:gridCol w:w="109"/>
        <w:gridCol w:w="109"/>
        <w:gridCol w:w="196"/>
        <w:gridCol w:w="871"/>
        <w:gridCol w:w="157"/>
      </w:tblGrid>
      <w:tr>
        <w:trPr/>
        <w:tc>
          <w:tcPr>
            <w:tcW w:w="241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July 2, 2022</w:t>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211,748 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net of allowance for credit losses of $3,849, $7,189, and $5,758,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198,587 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183,920 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Finished goods inventories, net of inventory reserves of $17,847, $19,268, and $18,057,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744,573 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858,258 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Prepaid expenses and other current assets</w:t>
            </w:r>
            <w:r>
              <w:rPr>
                <w:rFonts w:ascii="Times New Roman;sans-serif" w:hAnsi="Times New Roman;sans-serif"/>
                <w:b w:val="false"/>
                <w:color w:val="000000"/>
                <w:sz w:val="11"/>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68,245 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1,045,371 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1,188,720 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1,341,762 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Property, plant, and equipment, net of accumulated depreciation of $592,310, $569,528, and $548,013,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189,822 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449,350 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Tradenames,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298,393 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307,518 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209,333 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211,247 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2,288,471 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2,439,715 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2,560,650 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264,078 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Current operating lease liabilities</w:t>
            </w:r>
            <w:r>
              <w:rPr>
                <w:rFonts w:ascii="Times New Roman;sans-serif" w:hAnsi="Times New Roman;sans-serif"/>
                <w:b w:val="false"/>
                <w:color w:val="000000"/>
                <w:sz w:val="11"/>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129,744 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122,439 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517,536 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528,949 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633,852 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616,624 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616,275 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421,741 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1,513,462 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1,643,306 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1,739,784 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 Note 12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Preferred stock; par value $0.01 per share; 100,000 shares authorized; none issued or outstanding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voting; par value $0.01 per share; 150,000,000 shares authorized; 37,354,464, 37,692,132, and 39,315,094 shares issued and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(34,338)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830,370 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852,676 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stockholders’ equity</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775,009 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796,409 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820,866 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stockholders’ equity</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2,288,471 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2,439,715 </w:t>
            </w:r>
          </w:p>
        </w:tc>
        <w:tc>
          <w:tcPr>
            <w:tcW w:w="1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2,560,650 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and Current operating lease liabilities as of July 2, 2022 were revised to reflect the presentation for payments of rent before payment due date of $13.2 million.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 except per share data</w:t>
      </w:r>
      <w:r>
        <w:rPr>
          <w:rFonts w:ascii="Times New Roman;sans-serif" w:hAnsi="Times New Roman;sans-serif"/>
          <w:b w:val="false"/>
          <w:color w:val="000000"/>
          <w:sz w:val="20"/>
        </w:rPr>
        <w:t>)</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864" w:type="dxa"/>
        <w:jc w:val="center"/>
        <w:tblInd w:w="0" w:type="dxa"/>
        <w:tblLayout w:type="fixed"/>
        <w:tblCellMar>
          <w:top w:w="28" w:type="dxa"/>
          <w:left w:w="28" w:type="dxa"/>
          <w:bottom w:w="28" w:type="dxa"/>
          <w:right w:w="28" w:type="dxa"/>
        </w:tblCellMar>
      </w:tblPr>
      <w:tblGrid>
        <w:gridCol w:w="1227"/>
        <w:gridCol w:w="1082"/>
        <w:gridCol w:w="1095"/>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1,481,980 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provision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declared and paid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344" w:type="dxa"/>
        <w:jc w:val="center"/>
        <w:tblInd w:w="0" w:type="dxa"/>
        <w:tblLayout w:type="fixed"/>
        <w:tblCellMar>
          <w:top w:w="28" w:type="dxa"/>
          <w:left w:w="28" w:type="dxa"/>
          <w:bottom w:w="28" w:type="dxa"/>
          <w:right w:w="28" w:type="dxa"/>
        </w:tblCellMar>
      </w:tblPr>
      <w:tblGrid>
        <w:gridCol w:w="1083"/>
        <w:gridCol w:w="953"/>
        <w:gridCol w:w="963"/>
        <w:gridCol w:w="210"/>
        <w:gridCol w:w="693"/>
        <w:gridCol w:w="117"/>
        <w:gridCol w:w="109"/>
        <w:gridCol w:w="109"/>
        <w:gridCol w:w="109"/>
        <w:gridCol w:w="210"/>
        <w:gridCol w:w="693"/>
        <w:gridCol w:w="117"/>
        <w:gridCol w:w="109"/>
        <w:gridCol w:w="109"/>
        <w:gridCol w:w="109"/>
        <w:gridCol w:w="210"/>
        <w:gridCol w:w="693"/>
        <w:gridCol w:w="117"/>
        <w:gridCol w:w="109"/>
        <w:gridCol w:w="109"/>
        <w:gridCol w:w="109"/>
        <w:gridCol w:w="196"/>
        <w:gridCol w:w="736"/>
        <w:gridCol w:w="109"/>
        <w:gridCol w:w="109"/>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23,867 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36,970 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59,863 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29,316 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30,882 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69,238 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101,597 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amounts in thousands, except share amounts</w:t>
      </w:r>
      <w:r>
        <w:rPr>
          <w:rFonts w:ascii="Times New Roman;sans-serif" w:hAnsi="Times New Roman;sans-serif"/>
          <w:b w:val="false"/>
          <w:color w:val="000000"/>
          <w:sz w:val="20"/>
        </w:rPr>
        <w:t>)</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89"/>
        <w:gridCol w:w="442"/>
        <w:gridCol w:w="444"/>
        <w:gridCol w:w="654"/>
        <w:gridCol w:w="365"/>
        <w:gridCol w:w="339"/>
        <w:gridCol w:w="109"/>
        <w:gridCol w:w="109"/>
        <w:gridCol w:w="109"/>
        <w:gridCol w:w="222"/>
        <w:gridCol w:w="478"/>
        <w:gridCol w:w="126"/>
        <w:gridCol w:w="109"/>
        <w:gridCol w:w="109"/>
        <w:gridCol w:w="109"/>
        <w:gridCol w:w="256"/>
        <w:gridCol w:w="531"/>
        <w:gridCol w:w="144"/>
        <w:gridCol w:w="109"/>
        <w:gridCol w:w="109"/>
        <w:gridCol w:w="109"/>
        <w:gridCol w:w="303"/>
        <w:gridCol w:w="1025"/>
        <w:gridCol w:w="170"/>
        <w:gridCol w:w="109"/>
        <w:gridCol w:w="109"/>
        <w:gridCol w:w="109"/>
        <w:gridCol w:w="196"/>
        <w:gridCol w:w="736"/>
        <w:gridCol w:w="109"/>
        <w:gridCol w:w="109"/>
        <w:gridCol w:w="109"/>
        <w:gridCol w:w="109"/>
        <w:gridCol w:w="204"/>
        <w:gridCol w:w="769"/>
        <w:gridCol w:w="168"/>
      </w:tblGrid>
      <w:tr>
        <w:trPr/>
        <w:tc>
          <w:tcPr>
            <w:tcW w:w="88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Common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stock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paid-in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Retained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stockholders’</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equity</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10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41,148,870 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(28,897)</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950,186 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Withholdings from vesting </w:t>
              <w:br/>
              <w:t>of restricted stock</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(70,452)</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265,412 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(793,008)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of $0.75 per common share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April 2, 2022</w:t>
            </w:r>
          </w:p>
        </w:tc>
        <w:tc>
          <w:tcPr>
            <w:tcW w:w="10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40,555,922 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(26,115)</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915,290 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Withholdings from vesting </w:t>
              <w:br/>
              <w:t>of restricted stock</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(1,272,354)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of $0.75 per common share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July 2, 2022</w:t>
            </w:r>
          </w:p>
        </w:tc>
        <w:tc>
          <w:tcPr>
            <w:tcW w:w="10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39,315,094 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(32,203)</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820,866 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26"/>
        <w:gridCol w:w="474"/>
        <w:gridCol w:w="475"/>
        <w:gridCol w:w="654"/>
        <w:gridCol w:w="365"/>
        <w:gridCol w:w="339"/>
        <w:gridCol w:w="109"/>
        <w:gridCol w:w="109"/>
        <w:gridCol w:w="109"/>
        <w:gridCol w:w="222"/>
        <w:gridCol w:w="478"/>
        <w:gridCol w:w="126"/>
        <w:gridCol w:w="109"/>
        <w:gridCol w:w="109"/>
        <w:gridCol w:w="109"/>
        <w:gridCol w:w="256"/>
        <w:gridCol w:w="531"/>
        <w:gridCol w:w="144"/>
        <w:gridCol w:w="109"/>
        <w:gridCol w:w="109"/>
        <w:gridCol w:w="109"/>
        <w:gridCol w:w="303"/>
        <w:gridCol w:w="1025"/>
        <w:gridCol w:w="170"/>
        <w:gridCol w:w="109"/>
        <w:gridCol w:w="109"/>
        <w:gridCol w:w="109"/>
        <w:gridCol w:w="196"/>
        <w:gridCol w:w="736"/>
        <w:gridCol w:w="109"/>
        <w:gridCol w:w="109"/>
        <w:gridCol w:w="109"/>
        <w:gridCol w:w="109"/>
        <w:gridCol w:w="204"/>
        <w:gridCol w:w="769"/>
        <w:gridCol w:w="168"/>
      </w:tblGrid>
      <w:tr>
        <w:trPr/>
        <w:tc>
          <w:tcPr>
            <w:tcW w:w="8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Common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stock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paid-in</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Retained</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stockholders’</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equity</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0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37,692,132 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(34,338)</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796,409 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Withholdings from vesting </w:t>
              <w:br/>
              <w:t>of restricted stock</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303,015 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(135,873)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of $0.75 per common share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April 1, 2023</w:t>
            </w:r>
          </w:p>
        </w:tc>
        <w:tc>
          <w:tcPr>
            <w:tcW w:w="10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37,799,251 </w:t>
            </w:r>
          </w:p>
        </w:tc>
        <w:tc>
          <w:tcPr>
            <w:tcW w:w="3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(30,412)</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827,927 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797,893 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Withholdings from vesting </w:t>
              <w:br/>
              <w:t>of restricted stock</w:t>
            </w:r>
          </w:p>
        </w:tc>
        <w:tc>
          <w:tcPr>
            <w:tcW w:w="10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activity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(449,481)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and paid of $0.75 per common share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July 1, 2023</w:t>
            </w:r>
          </w:p>
        </w:tc>
        <w:tc>
          <w:tcPr>
            <w:tcW w:w="1019"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37,354,464 </w:t>
            </w:r>
          </w:p>
        </w:tc>
        <w:tc>
          <w:tcPr>
            <w:tcW w:w="3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(24,963)</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799,598 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775,009 </w:t>
            </w:r>
          </w:p>
        </w:tc>
        <w:tc>
          <w:tcPr>
            <w:tcW w:w="1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color w:val="000000"/>
        </w:rPr>
      </w:pPr>
      <w:r>
        <w:rPr>
          <w:color w:val="000000"/>
        </w:rPr>
        <w:t>            </w:t>
      </w: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398" w:type="dxa"/>
        <w:jc w:val="center"/>
        <w:tblInd w:w="0" w:type="dxa"/>
        <w:tblLayout w:type="fixed"/>
        <w:tblCellMar>
          <w:top w:w="28" w:type="dxa"/>
          <w:left w:w="28" w:type="dxa"/>
          <w:bottom w:w="28" w:type="dxa"/>
          <w:right w:w="28" w:type="dxa"/>
        </w:tblCellMar>
      </w:tblPr>
      <w:tblGrid>
        <w:gridCol w:w="2462"/>
        <w:gridCol w:w="2157"/>
        <w:gridCol w:w="2175"/>
        <w:gridCol w:w="196"/>
        <w:gridCol w:w="811"/>
        <w:gridCol w:w="109"/>
        <w:gridCol w:w="109"/>
        <w:gridCol w:w="109"/>
        <w:gridCol w:w="109"/>
        <w:gridCol w:w="196"/>
        <w:gridCol w:w="811"/>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Two fiscal quarters ended</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July 2, 2022</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(Recoveries of) provisions for excess and obsolete inventory,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partial termination of corporate lease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 impairments and loss on disposal of property, plant and equipment, net of recoveries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foreign currency exchange gain,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Recoveries of doubtful accounts receivable from customers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(gain) loss on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Deferred income taxes expense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Finished goods 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(215,519)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Prepaid expenses and other assets</w:t>
            </w:r>
            <w:r>
              <w:rPr>
                <w:rFonts w:ascii="Times New Roman;sans-serif" w:hAnsi="Times New Roman;sans-serif"/>
                <w:b w:val="false"/>
                <w:color w:val="000000"/>
                <w:sz w:val="11"/>
              </w:rPr>
              <w:t>(1)(2)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Accounts payable and other liabilities</w:t>
            </w:r>
            <w:r>
              <w:rPr>
                <w:rFonts w:ascii="Times New Roman;sans-serif" w:hAnsi="Times New Roman;sans-serif"/>
                <w:b w:val="false"/>
                <w:color w:val="000000"/>
                <w:sz w:val="11"/>
              </w:rPr>
              <w:t>(1)(2)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operating activities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209,242 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(93,595)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(16,313)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senior notes due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Premiums paid to extinguish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under secured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secured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Repurchases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Withholdings from vesting of restricted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exercises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(221,317)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(641,555)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decrease in cash and cash equivalents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(752,955)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984,294 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end of period</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174,503 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231,339 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(1)Cash flows for the two fiscal quarters ended July 2, 2022 were revised to reflect the presentation for payments of rent before payment due date of $13.2 million.</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(2)Operating lease assets obtained in exchange for operating lease liabilities were $80.0 million and $30.8 million for the two fiscal quarters ended July 1, 2023 and two fiscal quarters ended July 2, 2022, respectively.</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CARTER’S,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1 – THE COMPANY</w:t>
      </w:r>
    </w:p>
    <w:p>
      <w:pPr>
        <w:pStyle w:val="TextBody"/>
        <w:bidi w:val="0"/>
        <w:spacing w:lineRule="auto" w:line="288" w:before="0" w:after="200"/>
        <w:jc w:val="left"/>
        <w:rPr/>
      </w:pPr>
      <w:r>
        <w:rPr>
          <w:rFonts w:ascii="Times New Roman;sans-serif" w:hAnsi="Times New Roman;sans-serif"/>
          <w:b w:val="false"/>
          <w:color w:val="000000"/>
          <w:sz w:val="20"/>
        </w:rPr>
        <w:t xml:space="preserve">Carter’s, Inc. and its wholly-owned subsidiaries (collectively, the “Company”) design, source, and market branded childrenswear under the </w:t>
      </w:r>
      <w:r>
        <w:rPr>
          <w:rFonts w:ascii="Times New Roman;sans-serif" w:hAnsi="Times New Roman;sans-serif"/>
          <w:b w:val="false"/>
          <w:i/>
          <w:color w:val="000000"/>
          <w:sz w:val="20"/>
        </w:rPr>
        <w:t xml:space="preserve">Carter’s, OshKosh B’gosh </w:t>
      </w:r>
      <w:r>
        <w:rPr>
          <w:rFonts w:ascii="Times New Roman;sans-serif" w:hAnsi="Times New Roman;sans-serif"/>
          <w:b w:val="false"/>
          <w:color w:val="000000"/>
          <w:sz w:val="20"/>
        </w:rPr>
        <w:t>(or “</w:t>
      </w:r>
      <w:r>
        <w:rPr>
          <w:rFonts w:ascii="Times New Roman;sans-serif" w:hAnsi="Times New Roman;sans-serif"/>
          <w:b w:val="false"/>
          <w:i/>
          <w:color w:val="000000"/>
          <w:sz w:val="20"/>
        </w:rPr>
        <w:t>OshKosh</w:t>
      </w:r>
      <w:r>
        <w:rPr>
          <w:color w:val="000000"/>
        </w:rPr>
        <w:t>”</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Skip Hop, Child of Mine, Just One You, Simple Joys, Little Planet, </w:t>
      </w:r>
      <w:r>
        <w:rPr>
          <w:rFonts w:ascii="Times New Roman;sans-serif" w:hAnsi="Times New Roman;sans-serif"/>
          <w:b w:val="false"/>
          <w:color w:val="000000"/>
          <w:sz w:val="20"/>
        </w:rPr>
        <w:t>and other brands. The Company’s products are sourced through contractual arrangements with manufacturers worldwide for wholesale distribution to leading department stores, national chains, and specialty retailers domestically and internationally and for sale in the Company’s retail stores and on its eCommerce sites that market its brand name merchandise and other licensed products manufactured by other companies.</w:t>
      </w:r>
    </w:p>
    <w:p>
      <w:pPr>
        <w:pStyle w:val="TextBody"/>
        <w:bidi w:val="0"/>
        <w:spacing w:lineRule="auto" w:line="288" w:before="0" w:after="200"/>
        <w:jc w:val="left"/>
        <w:rPr/>
      </w:pPr>
      <w:r>
        <w:rPr>
          <w:rFonts w:ascii="Times New Roman;sans-serif" w:hAnsi="Times New Roman;sans-serif"/>
          <w:b w:val="false"/>
          <w:color w:val="000000"/>
          <w:sz w:val="20"/>
        </w:rPr>
        <w:t>Our trademarks that are referred to in this Quarterly Report on Form 10-Q, including </w:t>
      </w:r>
      <w:r>
        <w:rPr>
          <w:rFonts w:ascii="Times New Roman;sans-serif" w:hAnsi="Times New Roman;sans-serif"/>
          <w:b w:val="false"/>
          <w:i/>
          <w:color w:val="000000"/>
          <w:sz w:val="20"/>
        </w:rPr>
        <w:t>Carter’s</w:t>
      </w:r>
      <w:r>
        <w:rPr>
          <w:rFonts w:ascii="Times New Roman;sans-serif" w:hAnsi="Times New Roman;sans-serif"/>
          <w:b w:val="false"/>
          <w:color w:val="000000"/>
          <w:sz w:val="20"/>
        </w:rPr>
        <w:t>, </w:t>
      </w:r>
      <w:r>
        <w:rPr>
          <w:rFonts w:ascii="Times New Roman;sans-serif" w:hAnsi="Times New Roman;sans-serif"/>
          <w:b w:val="false"/>
          <w:i/>
          <w:color w:val="000000"/>
          <w:sz w:val="20"/>
        </w:rPr>
        <w:t>OshKosh B’gosh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OshKosh</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Child of Mine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Just One You</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Simple Joys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Little Planet</w:t>
      </w:r>
      <w:r>
        <w:rPr>
          <w:rFonts w:ascii="Times New Roman;sans-serif" w:hAnsi="Times New Roman;sans-serif"/>
          <w:b w:val="false"/>
          <w:color w:val="000000"/>
          <w:sz w:val="20"/>
        </w:rPr>
        <w:t>, and other brands, many of which are registered in the United States and in over 100 other countries and territories, are each the property of one or more subsidiaries of Carter’s,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2 – BASIS OF PRESENTATION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July 1, 2023 are not necessarily indicative of the results that may be expected for the current fiscal year ending December 30, 2023.</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balance sheet as of December 31, 2022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recast the consolidated statement of operations for the fiscal quarter and two fiscal quarters ended July 2, 2022 to conform to our current presentation of combining Adverse purchase commitments within Cost of goods sold.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Inventories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inventories, which consist primarily of finished goods, are stated at the lower of cost (first-in, first-out basis for wholesale inventory and average cost for retail inventories) or net realizable value. Inventories at July 1, 2023 were $681.6 million compared to $858.3 million at July 2, 2022 and $744.6 million at December 31, 2022. The decrease of $176.7 million, or 20.6%, at July 1, 2023 compared to July 2, 2022 is primarily due to decreased in-transit inventory and lower forecasted net sales for fiscal 2023, partially offset by increased product costs. Due to the seasonal nature of our operations, the inventories balance at July 1, 2023 is not comparable to the inventories balance at December 31, 2022.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bring inventory to net realizable value as a result of obsolete, damaged, and excess inventory at July 1, 2023 were consistent to those at July 2, 2022. These adjustments as a percentage of gross inventory have remained relatively stable due to the overall quality and planned use of the inventory. The liability for adverse inventory and fabric purchase commitments decreased from $5.2 million as of July 2, 2022 to $2.9 million as of July 1, 2023, primarily due to the consumption of previously reserved fabric.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Supply Chain Financing Program</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facilitate a voluntary supply chain finance (“SCF”) program through participating financial institutions. This SCF program enables our suppliers to sell their receivables due from the Company to participating financial institutions at their discretion. As of July 1, 2023, the SCF program has a $70.0 million revolving capacity. We are not a party to the agreements between the participating financial institutions and the suppliers in connection with the SCF program. The range of payment terms we negotiate with our suppliers is consistent, irrespective of whether a supplier participates in the SCF program. No guarantees are provided by the Company or any of our subsidiaries under the SCF program.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payable to the participating financial institution for suppliers who voluntarily participate in the SCF program are included in Accounts payable on our condensed consolidated statement balance sheets. Amounts under the SCF program included in Account payable were $23.0 million, $16.5 million, and $23.5 million as of July 1, 2023, December 31, 2022, and July 2, 2022, respectively. Payments made under the SCF program, like payments of other accounts payable, are a reduction to our operating cash flow.</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Accounting Policies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the Company follows are set forth in its most recently filed Annual Report on Form 10-K. There have been no material changes to these accounting policies. New accounting pronouncements adopted at the beginning of fiscal 2023 are noted below.</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Supplier Finance Programs (ASU 2022-04)</w:t>
      </w:r>
    </w:p>
    <w:p>
      <w:pPr>
        <w:pStyle w:val="TextBody"/>
        <w:bidi w:val="0"/>
        <w:spacing w:lineRule="auto" w:line="288" w:before="0" w:after="200"/>
        <w:jc w:val="left"/>
        <w:rPr/>
      </w:pPr>
      <w:r>
        <w:rPr>
          <w:rFonts w:ascii="Times New Roman;sans-serif" w:hAnsi="Times New Roman;sans-serif"/>
          <w:b w:val="false"/>
          <w:color w:val="000000"/>
          <w:sz w:val="20"/>
        </w:rPr>
        <w:t xml:space="preserve">In September 2022, the FASB issued </w:t>
      </w:r>
      <w:r>
        <w:rPr>
          <w:rFonts w:ascii="Times New Roman;sans-serif" w:hAnsi="Times New Roman;sans-serif"/>
          <w:b w:val="false"/>
          <w:i/>
          <w:color w:val="000000"/>
          <w:sz w:val="20"/>
        </w:rPr>
        <w:t xml:space="preserve">Accounting Standards Update No. 2022-04, Liabilities - Supplier Finance Programs (Subtopic 405-50): Disclosure of Supplier Finance Program Obligations </w:t>
      </w:r>
      <w:r>
        <w:rPr>
          <w:rFonts w:ascii="Times New Roman;sans-serif" w:hAnsi="Times New Roman;sans-serif"/>
          <w:b w:val="false"/>
          <w:color w:val="000000"/>
          <w:sz w:val="20"/>
        </w:rPr>
        <w:t>(“ASU 2022-04”)</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This new guidance is designed to enhance transparency around supplier finance programs by requiring new 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disclosure of the rollforward of annual activity, which is effective for fiscal years beginning after December 15, 2023. The effect of the adoption of ASU 2022-04 was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3 - REVENUE RECOGNITION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are earned from contracts or arrangements with retail and wholesale customers and licensees. Contracts include written agreements, as well as arrangements that are implied by customary practices or law.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products directly to consumers (“direct-to-consumer”) and to other retail companies and partners that subsequently sell the products directly to their own retail customers (“wholesale channel”). The Company also earns royalties from certain of its licensees. Disaggregated revenues from these sources for the fiscal periods indicated were as follows:</w:t>
      </w:r>
    </w:p>
    <w:tbl>
      <w:tblPr>
        <w:tblW w:w="7530"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 July 1, 2023</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Wholesale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186,867 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33,209 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220,076 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Direct-to-consumer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186,867 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89,866 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7665"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87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 July 1, 2023</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Wholesale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466,856 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71,705 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538,561 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Direct-to-consumer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466,856 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182,036 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1,296,079 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30"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 July 2, 2022</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Wholesale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224,016 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37,019 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261,035 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Direct-to-consumer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65"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87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 July 2, 2022</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Wholesale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531,317 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618,769 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Direct-to-consumer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745,455 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531,317 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205,208 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1,481,980 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Accounts Receivable from Customers and Licensees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Accounts receivable, net, were as follows:</w:t>
      </w:r>
    </w:p>
    <w:tbl>
      <w:tblPr>
        <w:tblW w:w="8267" w:type="dxa"/>
        <w:jc w:val="center"/>
        <w:tblInd w:w="0" w:type="dxa"/>
        <w:tblLayout w:type="fixed"/>
        <w:tblCellMar>
          <w:top w:w="28" w:type="dxa"/>
          <w:left w:w="28" w:type="dxa"/>
          <w:bottom w:w="28" w:type="dxa"/>
          <w:right w:w="28" w:type="dxa"/>
        </w:tblCellMar>
      </w:tblPr>
      <w:tblGrid>
        <w:gridCol w:w="1309"/>
        <w:gridCol w:w="1148"/>
        <w:gridCol w:w="1157"/>
        <w:gridCol w:w="109"/>
        <w:gridCol w:w="109"/>
        <w:gridCol w:w="109"/>
        <w:gridCol w:w="196"/>
        <w:gridCol w:w="736"/>
        <w:gridCol w:w="109"/>
        <w:gridCol w:w="109"/>
        <w:gridCol w:w="109"/>
        <w:gridCol w:w="109"/>
        <w:gridCol w:w="291"/>
        <w:gridCol w:w="1093"/>
        <w:gridCol w:w="161"/>
        <w:gridCol w:w="109"/>
        <w:gridCol w:w="109"/>
        <w:gridCol w:w="109"/>
        <w:gridCol w:w="196"/>
        <w:gridCol w:w="73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from wholesale customers,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195,078 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182,253 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receivables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215,035 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198,127 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Less: Wholesale accounts receivable reserves</w:t>
            </w:r>
            <w:r>
              <w:rPr>
                <w:rFonts w:ascii="Times New Roman;sans-serif" w:hAnsi="Times New Roman;sans-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132,679 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198,587 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183,920 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tax, payroll, gift card and other receivables.</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allowance for chargebacks of $8.2 million,$9.3 million, and $8.4 million for the periods ended July 1, 2023, December 31, 2022, and July 2, 2022, respectively.</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allowance for credit losses of $3.8 million, $7.2 million, and $5.8 million for the periods ended July 1, 2023, December 31, 2022, and July 2, 2022, respectively.</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contract liability when it has received consideration from a customer and has a future obligation to transfer goods to the customer. Total contract liabilities consisted of the following amounts:    </w:t>
      </w:r>
    </w:p>
    <w:tbl>
      <w:tblPr>
        <w:tblW w:w="7132" w:type="dxa"/>
        <w:jc w:val="left"/>
        <w:tblInd w:w="0" w:type="dxa"/>
        <w:tblLayout w:type="fixed"/>
        <w:tblCellMar>
          <w:top w:w="28" w:type="dxa"/>
          <w:left w:w="28" w:type="dxa"/>
          <w:bottom w:w="28" w:type="dxa"/>
          <w:right w:w="28" w:type="dxa"/>
        </w:tblCellMar>
      </w:tblPr>
      <w:tblGrid>
        <w:gridCol w:w="1032"/>
        <w:gridCol w:w="905"/>
        <w:gridCol w:w="912"/>
        <w:gridCol w:w="210"/>
        <w:gridCol w:w="693"/>
        <w:gridCol w:w="117"/>
        <w:gridCol w:w="109"/>
        <w:gridCol w:w="109"/>
        <w:gridCol w:w="109"/>
        <w:gridCol w:w="318"/>
        <w:gridCol w:w="1050"/>
        <w:gridCol w:w="177"/>
        <w:gridCol w:w="109"/>
        <w:gridCol w:w="109"/>
        <w:gridCol w:w="109"/>
        <w:gridCol w:w="209"/>
        <w:gridCol w:w="691"/>
        <w:gridCol w:w="164"/>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Unredeemed gift cards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Unredeemed customer loyalty rewards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Carter’s credit card - upfront bonus</w:t>
            </w:r>
            <w:r>
              <w:rPr>
                <w:rFonts w:ascii="Times New Roman;sans-serif" w:hAnsi="Times New Roman;sans-serif"/>
                <w:b w:val="false"/>
                <w:color w:val="000000"/>
                <w:sz w:val="12"/>
              </w:rPr>
              <w:t>(1)</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 contract liabilities - current</w:t>
            </w:r>
            <w:r>
              <w:rPr>
                <w:rFonts w:ascii="Times New Roman;sans-serif" w:hAnsi="Times New Roman;sans-serif"/>
                <w:b w:val="false"/>
                <w:color w:val="000000"/>
                <w:sz w:val="12"/>
              </w:rPr>
              <w:t>(2)</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28,276 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29,293 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26,421 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 - non-current</w:t>
            </w:r>
            <w:r>
              <w:rPr>
                <w:rFonts w:ascii="Times New Roman;sans-serif" w:hAnsi="Times New Roman;sans-serif"/>
                <w:b w:val="false"/>
                <w:color w:val="000000"/>
                <w:sz w:val="12"/>
              </w:rPr>
              <w:t>(3)</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 liabilities</w:t>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29,347 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30,722 </w:t>
            </w:r>
          </w:p>
        </w:tc>
        <w:tc>
          <w:tcPr>
            <w:tcW w:w="1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28,207 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(2)Included with Other current liabilities on the Company’s condensed consolidated balance sheets.</w:t>
      </w:r>
    </w:p>
    <w:p>
      <w:pPr>
        <w:pStyle w:val="TextBody"/>
        <w:bidi w:val="0"/>
        <w:spacing w:lineRule="auto" w:line="288" w:before="0" w:after="200"/>
        <w:ind w:left="0" w:right="0" w:hanging="360"/>
        <w:jc w:val="left"/>
        <w:rPr/>
      </w:pPr>
      <w:r>
        <w:rPr>
          <w:rFonts w:ascii="Times New Roman;sans-serif" w:hAnsi="Times New Roman;sans-serif"/>
          <w:b w:val="false"/>
          <w:color w:val="000000"/>
          <w:sz w:val="16"/>
        </w:rPr>
        <w:t>(3)This amount reflects the non-current portion of the Carter’s credit card upfront bonus and is included within Other long-term liabilities on the Company’s condensed</w:t>
      </w:r>
      <w:r>
        <w:rPr>
          <w:color w:val="000000"/>
        </w:rPr>
        <w:t xml:space="preserve"> </w:t>
      </w:r>
      <w:r>
        <w:rPr>
          <w:rFonts w:ascii="Times New Roman;sans-serif" w:hAnsi="Times New Roman;sans-serif"/>
          <w:b w:val="false"/>
          <w:color w:val="000000"/>
          <w:sz w:val="16"/>
        </w:rPr>
        <w:t>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4 – ACCUMULATED OTHER COMPREHENSIVE LOSS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Accumulated other comprehensive loss consisted of the following:</w:t>
      </w:r>
    </w:p>
    <w:tbl>
      <w:tblPr>
        <w:tblW w:w="8105" w:type="dxa"/>
        <w:jc w:val="center"/>
        <w:tblInd w:w="0" w:type="dxa"/>
        <w:tblLayout w:type="fixed"/>
        <w:tblCellMar>
          <w:top w:w="28" w:type="dxa"/>
          <w:left w:w="28" w:type="dxa"/>
          <w:bottom w:w="28" w:type="dxa"/>
          <w:right w:w="28" w:type="dxa"/>
        </w:tblCellMar>
      </w:tblPr>
      <w:tblGrid>
        <w:gridCol w:w="1380"/>
        <w:gridCol w:w="1210"/>
        <w:gridCol w:w="1219"/>
        <w:gridCol w:w="196"/>
        <w:gridCol w:w="721"/>
        <w:gridCol w:w="109"/>
        <w:gridCol w:w="109"/>
        <w:gridCol w:w="109"/>
        <w:gridCol w:w="109"/>
        <w:gridCol w:w="295"/>
        <w:gridCol w:w="1086"/>
        <w:gridCol w:w="164"/>
        <w:gridCol w:w="109"/>
        <w:gridCol w:w="109"/>
        <w:gridCol w:w="109"/>
        <w:gridCol w:w="196"/>
        <w:gridCol w:w="721"/>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foreign currency translation adjustments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(24,608)</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Pension and post-retirement obligations</w:t>
            </w:r>
            <w:r>
              <w:rPr>
                <w:rFonts w:ascii="Times New Roman;sans-serif" w:hAnsi="Times New Roman;sans-serif"/>
                <w:b w:val="false"/>
                <w:color w:val="000000"/>
                <w:sz w:val="12"/>
              </w:rPr>
              <w: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(24,963)</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(34,338)</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(32,203)</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(*)Net of income taxes of $1.7 million, $1.7 million, and $2.4 million for the period ended July 1, 2023, December 31, 2022, and July 2, 2022, respectively.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two quarters of both fiscal 2023 and fiscal 2022, no amounts were reclassified from Accumulated other comprehensive loss to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5 – COMMON STOCK</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Open Market Share Repurchases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repurchased and retired shares in open market transactions in the following amounts for the fiscal periods indicated:</w:t>
      </w:r>
    </w:p>
    <w:tbl>
      <w:tblPr>
        <w:tblW w:w="9662" w:type="dxa"/>
        <w:jc w:val="center"/>
        <w:tblInd w:w="0" w:type="dxa"/>
        <w:tblLayout w:type="fixed"/>
        <w:tblCellMar>
          <w:top w:w="28" w:type="dxa"/>
          <w:left w:w="28" w:type="dxa"/>
          <w:bottom w:w="28" w:type="dxa"/>
          <w:right w:w="28" w:type="dxa"/>
        </w:tblCellMar>
      </w:tblPr>
      <w:tblGrid>
        <w:gridCol w:w="1633"/>
        <w:gridCol w:w="1439"/>
        <w:gridCol w:w="1442"/>
        <w:gridCol w:w="210"/>
        <w:gridCol w:w="693"/>
        <w:gridCol w:w="117"/>
        <w:gridCol w:w="109"/>
        <w:gridCol w:w="109"/>
        <w:gridCol w:w="109"/>
        <w:gridCol w:w="196"/>
        <w:gridCol w:w="736"/>
        <w:gridCol w:w="109"/>
        <w:gridCol w:w="109"/>
        <w:gridCol w:w="109"/>
        <w:gridCol w:w="109"/>
        <w:gridCol w:w="210"/>
        <w:gridCol w:w="693"/>
        <w:gridCol w:w="117"/>
        <w:gridCol w:w="109"/>
        <w:gridCol w:w="109"/>
        <w:gridCol w:w="109"/>
        <w:gridCol w:w="196"/>
        <w:gridCol w:w="736"/>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449,481 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1,272,354 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585,354 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2,065,362 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Aggregate cost of shares repurchased (dollars in thousands)</w:t>
            </w:r>
            <w:r>
              <w:rPr>
                <w:rFonts w:ascii="Times New Roman;sans-serif" w:hAnsi="Times New Roman;sans-serif"/>
                <w:b w:val="false"/>
                <w:color w:val="000000"/>
                <w:sz w:val="12"/>
              </w:rPr>
              <w:t>(*)</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Average price per share</w:t>
            </w:r>
            <w:r>
              <w:rPr>
                <w:rFonts w:ascii="Times New Roman;sans-serif" w:hAnsi="Times New Roman;sans-serif"/>
                <w:b w:val="false"/>
                <w:color w:val="000000"/>
                <w:sz w:val="12"/>
              </w:rPr>
              <w: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cost of share repurchases and average price paid per share excludes excise tax on share repurchases imposed as part of the Inflation Reduction Act of 2022.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aggregate remaining capacity under outstanding repurchase authorizations as of July 1, 2023 was approximately $709.6 million, based on settled repurchase transactions. The share repurchase authorizations have no expiration date.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imposed a nondeductible 1% excise tax on the net value of certain share repurchases made after December 31, 2022. Beginning in fiscal year 2023, we reflected the applicable excise tax to Additional paid-in capital on our condensed consolidated balance sheets as part of the cost basis of the shares repurchased. The corresponding liability for the excise tax payable is recorded in Other current liabilities on our condensed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and other factors.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each of the first two quarters of fiscal 2023, the Board of Directors declared, and the Company paid, a cash dividend per common share of $0.75 (for an aggregate cash dividend per common share of $1.50 for the first two quarters of fiscal 2023). Additionally, in each of the first two quarters of fiscal 2022, the Board of Directors declared, and the Company paid, a cash dividend per common share of $0.75 (for an aggregate cash dividend per common share of $1.50 for the first two quarters of fiscal 2022). The Board of Directors will evaluate future dividend declarations based on a number of factors, including restrictions under the Company’s secured revolving credit facility, business conditions, the Company’s financial performance, and other considerations.</w:t>
      </w:r>
    </w:p>
    <w:p>
      <w:pPr>
        <w:pStyle w:val="TextBody"/>
        <w:bidi w:val="0"/>
        <w:spacing w:lineRule="auto" w:line="288" w:before="0" w:after="200"/>
        <w:jc w:val="left"/>
        <w:rPr/>
      </w:pPr>
      <w:r>
        <w:rPr>
          <w:rFonts w:ascii="Times New Roman;sans-serif" w:hAnsi="Times New Roman;sans-serif"/>
          <w:b w:val="false"/>
          <w:color w:val="000000"/>
          <w:sz w:val="20"/>
        </w:rPr>
        <w:t xml:space="preserve">Provisions in the Company’s secured revolving credit facility could have the effect of restricting the Company’s ability to pay cash dividends on, or make future repurchases of, its common stock, as further described in Note 6,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to the consolidated financial statements</w:t>
      </w:r>
      <w:r>
        <w:rPr>
          <w:rFonts w:ascii="Times New Roman;sans-serif" w:hAnsi="Times New Roman;sans-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6 – LONG-TERM DEBT</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8421" w:type="dxa"/>
        <w:jc w:val="left"/>
        <w:tblInd w:w="0" w:type="dxa"/>
        <w:tblLayout w:type="fixed"/>
        <w:tblCellMar>
          <w:top w:w="28" w:type="dxa"/>
          <w:left w:w="28" w:type="dxa"/>
          <w:bottom w:w="28" w:type="dxa"/>
          <w:right w:w="28" w:type="dxa"/>
        </w:tblCellMar>
      </w:tblPr>
      <w:tblGrid>
        <w:gridCol w:w="1483"/>
        <w:gridCol w:w="1301"/>
        <w:gridCol w:w="1311"/>
        <w:gridCol w:w="196"/>
        <w:gridCol w:w="736"/>
        <w:gridCol w:w="109"/>
        <w:gridCol w:w="109"/>
        <w:gridCol w:w="109"/>
        <w:gridCol w:w="109"/>
        <w:gridCol w:w="291"/>
        <w:gridCol w:w="1093"/>
        <w:gridCol w:w="161"/>
        <w:gridCol w:w="109"/>
        <w:gridCol w:w="109"/>
        <w:gridCol w:w="109"/>
        <w:gridCol w:w="196"/>
        <w:gridCol w:w="73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$500 million 5.625% senior notes due March 15, 2027</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issuance-related costs for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 net</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496,624 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496,275 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long-term debt, net </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496,984 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616,624 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616,275 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Secured Revolving Credit Facility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Company had no outstanding borrowings under its secured revolving credit facility, exclusive of $4.4 million of outstanding letters of credit. As of July 1, 2023, there was approximately $845.6 million available for future borrowing. All outstanding borrowings under the Company’s secured revolving credit facility are classified as non-current liabilities on the Company’s condensed consolidated balance sheets because of the contractual repayment terms under the credit facility.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interest rate margins applicable to the secured revolving credit facility were 1.125% for adjusted term Secured Overnight Financing Rate (“SOFR”) loans and 0.125% for base rate loans. As of July 1, 2023, the applicable borrowing rate for the secured revolving credit facility was approximately 6.37%, consisting of an adjusted term SOFR rate plus the applicable margin. As of July 1, 2023, the Company was in compliance with its financial and other covenants under the secured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7 – STOCK-BASED COMPENSATION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as follows:</w:t>
      </w:r>
    </w:p>
    <w:tbl>
      <w:tblPr>
        <w:tblW w:w="7324" w:type="dxa"/>
        <w:jc w:val="center"/>
        <w:tblInd w:w="0" w:type="dxa"/>
        <w:tblLayout w:type="fixed"/>
        <w:tblCellMar>
          <w:top w:w="28" w:type="dxa"/>
          <w:left w:w="28" w:type="dxa"/>
          <w:bottom w:w="28" w:type="dxa"/>
          <w:right w:w="28" w:type="dxa"/>
        </w:tblCellMar>
      </w:tblPr>
      <w:tblGrid>
        <w:gridCol w:w="804"/>
        <w:gridCol w:w="705"/>
        <w:gridCol w:w="710"/>
        <w:gridCol w:w="232"/>
        <w:gridCol w:w="659"/>
        <w:gridCol w:w="129"/>
        <w:gridCol w:w="109"/>
        <w:gridCol w:w="109"/>
        <w:gridCol w:w="109"/>
        <w:gridCol w:w="232"/>
        <w:gridCol w:w="659"/>
        <w:gridCol w:w="129"/>
        <w:gridCol w:w="109"/>
        <w:gridCol w:w="109"/>
        <w:gridCol w:w="109"/>
        <w:gridCol w:w="210"/>
        <w:gridCol w:w="693"/>
        <w:gridCol w:w="117"/>
        <w:gridCol w:w="109"/>
        <w:gridCol w:w="109"/>
        <w:gridCol w:w="109"/>
        <w:gridCol w:w="209"/>
        <w:gridCol w:w="691"/>
        <w:gridCol w:w="164"/>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Time-based awards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Performance-based awards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Stock awards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6,641 </w:t>
            </w:r>
          </w:p>
        </w:tc>
        <w:tc>
          <w:tcPr>
            <w:tcW w:w="1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6,359 </w:t>
            </w:r>
          </w:p>
        </w:tc>
        <w:tc>
          <w:tcPr>
            <w:tcW w:w="1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10,984 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 ratably over the applicable performance periods based on the estimated probability of achievement of its performance targets at the end of each period. During the first quarter of fiscal 2023, the achievement of performance target estimates related to certain performance-based grants were revised resulting in a reversal of $0.4 million of previously recognized stock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NOTE 8 – INCOME TAXES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Company had gross unrecognized income tax benefits of approximately $8.9 million, of which $6.3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the reserves for unrecognized tax benefits at July 1, 2023 is approximately $2.4 million of reserves for which the statute of limitations is expected to expire within the next 12 months. If these tax benefits are ultimately recognized, such recognition, net of federal income taxes, may affect the annual effective income tax rate for fiscal 2023 along with the effective income tax rate in the quarter in which the benefits are recognized.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second quarter and first two quarters of fiscal 2023 and fiscal 2022. The Company had approximately $1.6 million, $1.5 million, and $2.1 million of interest accrued on uncertain tax positions as of July 1, 2023, December 31, 2022, and July 2,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principally equity-based mutual funds, to mitigate the risk associated with the investment return on employee deferrals of compensation. All of the marketable securities are included in Other assets on the accompanying condensed consolidated balance sheets, and their aggregate fair values were approximately $15.7 million, $15.1 million, and $15.7 million at July 1, 2023, December 31, 2022, and July 2, 2022,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$0.2 million and $0.6 million for the second quarter and the first two quarters of fiscal 2023, respectively. Losses on the investments in marketable securities were $0.9 million and $1.9 million for the second quarter and the first two quarters of fiscal 2022, respectively. These amounts are included in Other (income) expense, net on the Company’s condensed consolidated statement of operations.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Borrowings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1, 2023, the Company had no outstanding borrowings under its secured revolving credit facility. </w:t>
      </w:r>
    </w:p>
    <w:p>
      <w:pPr>
        <w:pStyle w:val="TextBody"/>
        <w:bidi w:val="0"/>
        <w:spacing w:lineRule="auto" w:line="288" w:before="0" w:after="200"/>
        <w:jc w:val="left"/>
        <w:rPr/>
      </w:pPr>
      <w:r>
        <w:rPr>
          <w:rFonts w:ascii="Times New Roman;sans-serif" w:hAnsi="Times New Roman;sans-serif"/>
          <w:b w:val="false"/>
          <w:color w:val="000000"/>
          <w:sz w:val="20"/>
        </w:rPr>
        <w:t>The fair value of the Company’s senior notes at July 1, 2023 was approximately $489.8 million. The fair value of these senior notes with a notional value and carrying value (gross of debt issuance costs) of $500.0 million was estimated using a quoted price as provided in the secondary market, which considers</w:t>
      </w:r>
      <w:r>
        <w:rPr>
          <w:color w:val="FF0000"/>
        </w:rPr>
        <w:t xml:space="preserve"> </w:t>
      </w:r>
      <w:r>
        <w:rPr>
          <w:rFonts w:ascii="Times New Roman;sans-serif" w:hAnsi="Times New Roman;sans-serif"/>
          <w:b w:val="false"/>
          <w:color w:val="000000"/>
          <w:sz w:val="20"/>
        </w:rPr>
        <w:t>the Company’s credit risk and market related conditions, and is therefore within Level 2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Goodwill, Intangible, and Long-Lived Tangible Assets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Some assets are not measured at fair value on a recurring basis but are subject to fair value adjustments only in certain circumstances. These assets can include goodwill, indefinite-lived intangible assets, and long-lived tangible assets that have been reduced to fair value when impaired. Assets that are written down to fair value when impaired are not subsequently adjusted to fair value unless further impairment occurs.</w:t>
      </w:r>
    </w:p>
    <w:p>
      <w:pPr>
        <w:pStyle w:val="TextBody"/>
        <w:bidi w:val="0"/>
        <w:spacing w:lineRule="auto" w:line="288" w:before="0" w:after="200"/>
        <w:jc w:val="left"/>
        <w:rPr/>
      </w:pPr>
      <w:r>
        <w:rPr>
          <w:rFonts w:ascii="Times New Roman;sans-serif" w:hAnsi="Times New Roman;sans-serif"/>
          <w:b w:val="false"/>
          <w:color w:val="000000"/>
          <w:sz w:val="20"/>
        </w:rPr>
        <w:t xml:space="preserve">In the fourth quarter of fiscal 2022, impairment charges of $5.6 million, $3.0 million, and $0.4 million were recorded on our indefinite-lived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 xml:space="preserve">tradename asset in the U.S. Wholesale, International, and U.S. Retail segments, respectively, to reflect the impairment of the value ascribed to the indefinite-lived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tradename asset. The carrying value of the indefinite-lived Skip Hop tradename asset as of July 1, 2023 was $6.0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10 – EARNINGS PER SHARE</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basic common shares outstanding to diluted common and common equivalent shares outstanding:</w:t>
      </w:r>
    </w:p>
    <w:tbl>
      <w:tblPr>
        <w:tblW w:w="10205" w:type="dxa"/>
        <w:jc w:val="left"/>
        <w:tblInd w:w="0" w:type="dxa"/>
        <w:tblLayout w:type="fixed"/>
        <w:tblCellMar>
          <w:top w:w="28" w:type="dxa"/>
          <w:left w:w="28" w:type="dxa"/>
          <w:bottom w:w="28" w:type="dxa"/>
          <w:right w:w="28" w:type="dxa"/>
        </w:tblCellMar>
      </w:tblPr>
      <w:tblGrid>
        <w:gridCol w:w="1769"/>
        <w:gridCol w:w="1552"/>
        <w:gridCol w:w="1559"/>
        <w:gridCol w:w="223"/>
        <w:gridCol w:w="738"/>
        <w:gridCol w:w="115"/>
        <w:gridCol w:w="109"/>
        <w:gridCol w:w="109"/>
        <w:gridCol w:w="109"/>
        <w:gridCol w:w="223"/>
        <w:gridCol w:w="738"/>
        <w:gridCol w:w="115"/>
        <w:gridCol w:w="109"/>
        <w:gridCol w:w="109"/>
        <w:gridCol w:w="109"/>
        <w:gridCol w:w="223"/>
        <w:gridCol w:w="738"/>
        <w:gridCol w:w="115"/>
        <w:gridCol w:w="109"/>
        <w:gridCol w:w="109"/>
        <w:gridCol w:w="109"/>
        <w:gridCol w:w="202"/>
        <w:gridCol w:w="759"/>
        <w:gridCol w:w="155"/>
      </w:tblGrid>
      <w:tr>
        <w:trPr/>
        <w:tc>
          <w:tcPr>
            <w:tcW w:w="176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r>
      <w:tr>
        <w:trPr/>
        <w:tc>
          <w:tcPr>
            <w:tcW w:w="4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Weighted-average number of common and common equivalent shares outstanding:</w:t>
            </w:r>
          </w:p>
        </w:tc>
        <w:tc>
          <w:tcPr>
            <w:tcW w:w="1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Basic number of common shares outstanding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36,824,490 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39,344,834 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36,964,509 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39,807,354 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number of common and common equivalent shares outstanding</w:t>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36,824,617 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39,373,987 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36,968,359 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39,855,628 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Earnings per share:</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per share data)</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participating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23,441 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36,434 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58,845 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103,423 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23,441 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36,434 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58,845 </w:t>
            </w:r>
          </w:p>
        </w:tc>
        <w:tc>
          <w:tcPr>
            <w:tcW w:w="11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103,424 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Anti-dilutive awards excluded from diluted earnings per share computation</w:t>
            </w:r>
            <w:r>
              <w:rPr>
                <w:rFonts w:ascii="Times New Roman;sans-serif" w:hAnsi="Times New Roman;sans-serif"/>
                <w:b w:val="false"/>
                <w:color w:val="000000"/>
                <w:sz w:val="12"/>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497,076 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288,800</w:t>
            </w:r>
          </w:p>
        </w:tc>
      </w:tr>
    </w:tbl>
    <w:p>
      <w:pPr>
        <w:pStyle w:val="TextBody"/>
        <w:bidi w:val="0"/>
        <w:spacing w:lineRule="auto" w:line="288" w:before="0" w:after="20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(*)The volume of anti-dilutive awards is, in part, due to the related unamortized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NOTE 11 – OTHER CURRENT LIABILITIES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at the end of any comparable period, were as follows:</w:t>
      </w:r>
    </w:p>
    <w:tbl>
      <w:tblPr>
        <w:tblW w:w="6367" w:type="dxa"/>
        <w:jc w:val="center"/>
        <w:tblInd w:w="0" w:type="dxa"/>
        <w:tblLayout w:type="fixed"/>
        <w:tblCellMar>
          <w:top w:w="28" w:type="dxa"/>
          <w:left w:w="28" w:type="dxa"/>
          <w:bottom w:w="28" w:type="dxa"/>
          <w:right w:w="28" w:type="dxa"/>
        </w:tblCellMar>
      </w:tblPr>
      <w:tblGrid>
        <w:gridCol w:w="755"/>
        <w:gridCol w:w="662"/>
        <w:gridCol w:w="667"/>
        <w:gridCol w:w="210"/>
        <w:gridCol w:w="693"/>
        <w:gridCol w:w="117"/>
        <w:gridCol w:w="109"/>
        <w:gridCol w:w="109"/>
        <w:gridCol w:w="109"/>
        <w:gridCol w:w="291"/>
        <w:gridCol w:w="1093"/>
        <w:gridCol w:w="161"/>
        <w:gridCol w:w="109"/>
        <w:gridCol w:w="109"/>
        <w:gridCol w:w="109"/>
        <w:gridCol w:w="209"/>
        <w:gridCol w:w="691"/>
        <w:gridCol w:w="16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Unredeemed gift cards</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23,987 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23,303 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21,251 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benefits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wages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98,730 </w:t>
            </w:r>
          </w:p>
        </w:tc>
        <w:tc>
          <w:tcPr>
            <w:tcW w:w="1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122,439 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96,102 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contractual obligations and commitments include obligations associated with leases, the secured revolving credit agreement, senior notes, and employee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NOTE 13 – SEGMENT INFORMATION</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certain information for the Company’s reportable segments and unallocated corporate expenses for the periods indicated:</w:t>
      </w:r>
    </w:p>
    <w:tbl>
      <w:tblPr>
        <w:tblW w:w="12506" w:type="dxa"/>
        <w:jc w:val="center"/>
        <w:tblInd w:w="0" w:type="dxa"/>
        <w:tblLayout w:type="fixed"/>
        <w:tblCellMar>
          <w:top w:w="28" w:type="dxa"/>
          <w:left w:w="28" w:type="dxa"/>
          <w:bottom w:w="28" w:type="dxa"/>
          <w:right w:w="28" w:type="dxa"/>
        </w:tblCellMar>
      </w:tblPr>
      <w:tblGrid>
        <w:gridCol w:w="619"/>
        <w:gridCol w:w="293"/>
        <w:gridCol w:w="274"/>
        <w:gridCol w:w="196"/>
        <w:gridCol w:w="736"/>
        <w:gridCol w:w="109"/>
        <w:gridCol w:w="109"/>
        <w:gridCol w:w="109"/>
        <w:gridCol w:w="109"/>
        <w:gridCol w:w="278"/>
        <w:gridCol w:w="278"/>
        <w:gridCol w:w="576"/>
        <w:gridCol w:w="109"/>
        <w:gridCol w:w="109"/>
        <w:gridCol w:w="109"/>
        <w:gridCol w:w="196"/>
        <w:gridCol w:w="736"/>
        <w:gridCol w:w="109"/>
        <w:gridCol w:w="109"/>
        <w:gridCol w:w="109"/>
        <w:gridCol w:w="109"/>
        <w:gridCol w:w="278"/>
        <w:gridCol w:w="278"/>
        <w:gridCol w:w="576"/>
        <w:gridCol w:w="109"/>
        <w:gridCol w:w="109"/>
        <w:gridCol w:w="109"/>
        <w:gridCol w:w="196"/>
        <w:gridCol w:w="871"/>
        <w:gridCol w:w="109"/>
        <w:gridCol w:w="109"/>
        <w:gridCol w:w="109"/>
        <w:gridCol w:w="109"/>
        <w:gridCol w:w="278"/>
        <w:gridCol w:w="278"/>
        <w:gridCol w:w="576"/>
        <w:gridCol w:w="109"/>
        <w:gridCol w:w="109"/>
        <w:gridCol w:w="109"/>
        <w:gridCol w:w="196"/>
        <w:gridCol w:w="871"/>
        <w:gridCol w:w="109"/>
        <w:gridCol w:w="109"/>
        <w:gridCol w:w="109"/>
        <w:gridCol w:w="109"/>
        <w:gridCol w:w="278"/>
        <w:gridCol w:w="278"/>
        <w:gridCol w:w="645"/>
      </w:tblGrid>
      <w:tr>
        <w:trPr/>
        <w:tc>
          <w:tcPr>
            <w:tcW w:w="6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 xml:space="preserve">consolidated </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 xml:space="preserve">consolidated </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w:t>
              <w:b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 xml:space="preserve">consolidated </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w:t>
              <w:b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 xml:space="preserve">consolidated </w:t>
              <w:br/>
              <w:t>net sales</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Net sales</w:t>
            </w:r>
            <w:r>
              <w:rPr>
                <w:rFonts w:ascii="Times New Roman;sans-serif" w:hAnsi="Times New Roman;sans-serif"/>
                <w:b/>
                <w:color w:val="000000"/>
                <w:sz w:val="18"/>
              </w:rPr>
              <w:t>:</w:t>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64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Operating income</w:t>
            </w:r>
            <w:r>
              <w:rPr>
                <w:rFonts w:ascii="Times New Roman;sans-serif" w:hAnsi="Times New Roman;sans-serif"/>
                <w:b/>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segment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w:t>
              <w:br/>
              <w:t>segment</w:t>
              <w:br/>
              <w:t>net sales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Corporate expenses</w:t>
            </w:r>
            <w:r>
              <w:rPr>
                <w:rFonts w:ascii="Times New Roman;sans-serif" w:hAnsi="Times New Roman;sans-serif"/>
                <w:b w:val="false"/>
                <w:color w:val="000000"/>
                <w:sz w:val="12"/>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178,042 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20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(*)Corporate expenses include expenses related to incentive compensation, stock-based compensation, executive management, severance and relocation, finance, office occupancy, information technology, certain legal fees, consulting fees, and audit fees.</w:t>
      </w:r>
    </w:p>
    <w:tbl>
      <w:tblPr>
        <w:tblW w:w="10205" w:type="dxa"/>
        <w:jc w:val="left"/>
        <w:tblInd w:w="0" w:type="dxa"/>
        <w:tblLayout w:type="fixed"/>
        <w:tblCellMar>
          <w:top w:w="28" w:type="dxa"/>
          <w:left w:w="28" w:type="dxa"/>
          <w:bottom w:w="28" w:type="dxa"/>
          <w:right w:w="28" w:type="dxa"/>
        </w:tblCellMar>
      </w:tblPr>
      <w:tblGrid>
        <w:gridCol w:w="771"/>
        <w:gridCol w:w="659"/>
        <w:gridCol w:w="636"/>
        <w:gridCol w:w="255"/>
        <w:gridCol w:w="491"/>
        <w:gridCol w:w="142"/>
        <w:gridCol w:w="109"/>
        <w:gridCol w:w="109"/>
        <w:gridCol w:w="109"/>
        <w:gridCol w:w="344"/>
        <w:gridCol w:w="660"/>
        <w:gridCol w:w="192"/>
        <w:gridCol w:w="109"/>
        <w:gridCol w:w="109"/>
        <w:gridCol w:w="109"/>
        <w:gridCol w:w="310"/>
        <w:gridCol w:w="642"/>
        <w:gridCol w:w="174"/>
        <w:gridCol w:w="109"/>
        <w:gridCol w:w="109"/>
        <w:gridCol w:w="109"/>
        <w:gridCol w:w="233"/>
        <w:gridCol w:w="528"/>
        <w:gridCol w:w="129"/>
        <w:gridCol w:w="114"/>
        <w:gridCol w:w="114"/>
        <w:gridCol w:w="114"/>
        <w:gridCol w:w="336"/>
        <w:gridCol w:w="672"/>
        <w:gridCol w:w="189"/>
        <w:gridCol w:w="114"/>
        <w:gridCol w:w="114"/>
        <w:gridCol w:w="114"/>
        <w:gridCol w:w="303"/>
        <w:gridCol w:w="628"/>
        <w:gridCol w:w="246"/>
      </w:tblGrid>
      <w:tr>
        <w:trPr/>
        <w:tc>
          <w:tcPr>
            <w:tcW w:w="77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38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 July 1, 2023</w:t>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Charges:</w:t>
            </w:r>
          </w:p>
        </w:tc>
        <w:tc>
          <w:tcPr>
            <w:tcW w:w="8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Retail</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Wholesale</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Organizational restructuring</w:t>
            </w:r>
            <w:r>
              <w:rPr>
                <w:rFonts w:ascii="Times New Roman;sans-serif" w:hAnsi="Times New Roman;sans-serif"/>
                <w:b w:val="false"/>
                <w:color w:val="000000"/>
                <w:sz w:val="12"/>
              </w:rPr>
              <w:t>(*)</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rFonts w:ascii="Times New Roman;sans-serif" w:hAnsi="Times New Roman;sans-serif"/>
          <w:b w:val="false"/>
          <w:color w:val="000000"/>
          <w:sz w:val="16"/>
        </w:rPr>
      </w:pPr>
      <w:r>
        <w:rPr>
          <w:rFonts w:ascii="Times New Roman;sans-serif" w:hAnsi="Times New Roman;sans-serif"/>
          <w:b w:val="false"/>
          <w:color w:val="000000"/>
          <w:sz w:val="16"/>
        </w:rPr>
        <w:t>(*)Relates to charges (gains) for organizational restructuring and related corporate office lease amendment actions. Additionally, the second fiscal quarter and first two fiscal quarters ended July1, 2023 includes a corporate charge of $0.1 million and $2.5 million, respectively, related to organizational restructuring and related corporate office lease amendment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hanging="810"/>
        <w:jc w:val="left"/>
        <w:rPr/>
      </w:pPr>
      <w:r>
        <w:rPr/>
      </w:r>
    </w:p>
    <w:p>
      <w:pPr>
        <w:pStyle w:val="TextBody"/>
        <w:bidi w:val="0"/>
        <w:spacing w:lineRule="auto" w:line="288" w:before="0" w:after="20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the factors disclosed in Part I, Item 1A. “Risk Factors” of the Company’s Annual Report on Form 10-K for the fiscal year ended December 31, 2022, and otherwise in our reports and filings with the Securities and Exchange Commission, as well as the following factors: the continuing effects of the novel coronavirus (COVID-19) pandemic; macroeconomic factors, including inflationary pressures; the impact of supply chain delays; financial difficulties for one or more of our major customers; an overall decrease in consumer spending, including, but not limited to, decreases in consumer spending caused by declining birth rates; our products not being accepted in the marketplace; increased competition in the market place; diminished value of our brands; the failure to protect our intellectual property; the failure to comply with applicable quality standards or regulations; unseasonable or extreme weather conditions; pending and threatened lawsuits; a breach of our information technology systems and the loss of personal data; increased margin pressures, including increased cost of materials and labor; and our inability to successfully increase prices to offset those increased costs; our foreign sourcing arrangements; disruptions in our supply chain, including increased transportation and freight costs; the management and expansion of our business domestically and internationally; the acquisition and integration of other brands and businesses; changes in our tax obligations, including additional customs, duties or tariffs; our ability to achieve our forecasted financial results for the fiscal year; our continued ability to declare and pay a dividend and conduct share repurchases in future periods; our planned opening and closing of stores during the fiscal year; and other risks detailed in the Company’s periodic reports as filed in accordance with the Securities Exchange Act of 1934, as amended. The Company does not undertake any obligation to publicly update any forward-looking statements, whether as a result of new information, future events, or otherwise.</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00"/>
        <w:jc w:val="left"/>
        <w:rPr/>
      </w:pPr>
      <w:r>
        <w:rPr>
          <w:rFonts w:ascii="Times New Roman;sans-serif" w:hAnsi="Times New Roman;sans-serif"/>
          <w:b w:val="false"/>
          <w:color w:val="000000"/>
          <w:sz w:val="20"/>
        </w:rPr>
        <w:t xml:space="preserve">We are the largest branded marketer of young children’s apparel in North America. We own two of the most highly recognized and trusted brand names in the children’s apparel market,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OshKosh B’gosh</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OshKosh</w:t>
      </w:r>
      <w:r>
        <w:rPr>
          <w:color w:val="000000"/>
        </w:rPr>
        <w:t>”</w:t>
      </w:r>
      <w:r>
        <w:rPr>
          <w:rFonts w:ascii="Times New Roman;sans-serif" w:hAnsi="Times New Roman;sans-serif"/>
          <w:b w:val="false"/>
          <w:color w:val="000000"/>
          <w:sz w:val="20"/>
        </w:rPr>
        <w:t xml:space="preserve">). We also own </w:t>
      </w:r>
      <w:r>
        <w:rPr>
          <w:rFonts w:ascii="Times New Roman;sans-serif" w:hAnsi="Times New Roman;sans-serif"/>
          <w:b w:val="false"/>
          <w:i/>
          <w:color w:val="000000"/>
          <w:sz w:val="20"/>
        </w:rPr>
        <w:t>Skip Hop</w:t>
      </w:r>
      <w:r>
        <w:rPr>
          <w:rFonts w:ascii="Times New Roman;sans-serif" w:hAnsi="Times New Roman;sans-serif"/>
          <w:b w:val="false"/>
          <w:color w:val="000000"/>
          <w:sz w:val="20"/>
        </w:rPr>
        <w:t xml:space="preserve">, a leading young children’s lifestyle brand,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brands developed for specific wholesale customers, and </w:t>
      </w:r>
      <w:r>
        <w:rPr>
          <w:rFonts w:ascii="Times New Roman;sans-serif" w:hAnsi="Times New Roman;sans-serif"/>
          <w:b w:val="false"/>
          <w:i/>
          <w:color w:val="000000"/>
          <w:sz w:val="20"/>
        </w:rPr>
        <w:t>Little Planet</w:t>
      </w:r>
      <w:r>
        <w:rPr>
          <w:rFonts w:ascii="Times New Roman;sans-serif" w:hAnsi="Times New Roman;sans-serif"/>
          <w:b w:val="false"/>
          <w:color w:val="000000"/>
          <w:sz w:val="20"/>
        </w:rPr>
        <w:t>, a brand focused on organic fabrics and sustainable materials.</w:t>
      </w:r>
    </w:p>
    <w:p>
      <w:pPr>
        <w:pStyle w:val="TextBody"/>
        <w:bidi w:val="0"/>
        <w:spacing w:lineRule="auto" w:line="288" w:before="0" w:after="200"/>
        <w:jc w:val="left"/>
        <w:rPr/>
      </w:pPr>
      <w:r>
        <w:rPr>
          <w:rFonts w:ascii="Times New Roman;sans-serif" w:hAnsi="Times New Roman;sans-serif"/>
          <w:b w:val="false"/>
          <w:color w:val="000000"/>
          <w:sz w:val="20"/>
        </w:rPr>
        <w:t xml:space="preserve">Established in 1865, our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brand is recognized and trusted by consumers for high-quality apparel and accessories for children in sizes newborn to 14.</w:t>
      </w:r>
    </w:p>
    <w:p>
      <w:pPr>
        <w:pStyle w:val="TextBody"/>
        <w:bidi w:val="0"/>
        <w:spacing w:lineRule="auto" w:line="288" w:before="0" w:after="200"/>
        <w:jc w:val="left"/>
        <w:rPr/>
      </w:pPr>
      <w:r>
        <w:rPr>
          <w:rFonts w:ascii="Times New Roman;sans-serif" w:hAnsi="Times New Roman;sans-serif"/>
          <w:b w:val="false"/>
          <w:color w:val="000000"/>
          <w:sz w:val="20"/>
        </w:rPr>
        <w:t xml:space="preserve">Established in 1895, </w:t>
      </w:r>
      <w:r>
        <w:rPr>
          <w:rFonts w:ascii="Times New Roman;sans-serif" w:hAnsi="Times New Roman;sans-serif"/>
          <w:b w:val="false"/>
          <w:i/>
          <w:color w:val="000000"/>
          <w:sz w:val="20"/>
        </w:rPr>
        <w:t>OshKosh</w:t>
      </w:r>
      <w:r>
        <w:rPr>
          <w:color w:val="000000"/>
        </w:rPr>
        <w:t xml:space="preserve"> </w:t>
      </w:r>
      <w:r>
        <w:rPr>
          <w:rFonts w:ascii="Times New Roman;sans-serif" w:hAnsi="Times New Roman;sans-serif"/>
          <w:b w:val="false"/>
          <w:color w:val="000000"/>
          <w:sz w:val="20"/>
        </w:rPr>
        <w:t xml:space="preserve">is a well-known brand, trusted by consumers for high-quality apparel and accessories for children in sizes newborn to 14, with a focus on playclothes for toddlers and young children. We acquired </w:t>
      </w:r>
      <w:r>
        <w:rPr>
          <w:rFonts w:ascii="Times New Roman;sans-serif" w:hAnsi="Times New Roman;sans-serif"/>
          <w:b w:val="false"/>
          <w:i/>
          <w:color w:val="000000"/>
          <w:sz w:val="20"/>
        </w:rPr>
        <w:t>OshKosh</w:t>
      </w:r>
      <w:r>
        <w:rPr>
          <w:color w:val="000000"/>
        </w:rPr>
        <w:t xml:space="preserve"> </w:t>
      </w:r>
      <w:r>
        <w:rPr>
          <w:rFonts w:ascii="Times New Roman;sans-serif" w:hAnsi="Times New Roman;sans-serif"/>
          <w:b w:val="false"/>
          <w:color w:val="000000"/>
          <w:sz w:val="20"/>
        </w:rPr>
        <w:t>in 2005.</w:t>
      </w:r>
    </w:p>
    <w:p>
      <w:pPr>
        <w:pStyle w:val="TextBody"/>
        <w:bidi w:val="0"/>
        <w:spacing w:lineRule="auto" w:line="288" w:before="0" w:after="200"/>
        <w:jc w:val="left"/>
        <w:rPr/>
      </w:pPr>
      <w:r>
        <w:rPr>
          <w:rFonts w:ascii="Times New Roman;sans-serif" w:hAnsi="Times New Roman;sans-serif"/>
          <w:b w:val="false"/>
          <w:color w:val="000000"/>
          <w:sz w:val="20"/>
        </w:rPr>
        <w:t xml:space="preserve">Established in 2003, the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 xml:space="preserve">brand rethinks, reenergizes, and reimagines durable necessities to create higher value, superior quality, and top-performing products for parents, babies, and toddlers. We acquired </w:t>
      </w:r>
      <w:r>
        <w:rPr>
          <w:rFonts w:ascii="Times New Roman;sans-serif" w:hAnsi="Times New Roman;sans-serif"/>
          <w:b w:val="false"/>
          <w:i/>
          <w:color w:val="000000"/>
          <w:sz w:val="20"/>
        </w:rPr>
        <w:t>Skip Hop</w:t>
      </w:r>
      <w:r>
        <w:rPr>
          <w:color w:val="000000"/>
        </w:rPr>
        <w:t xml:space="preserve"> </w:t>
      </w:r>
      <w:r>
        <w:rPr>
          <w:rFonts w:ascii="Times New Roman;sans-serif" w:hAnsi="Times New Roman;sans-serif"/>
          <w:b w:val="false"/>
          <w:color w:val="000000"/>
          <w:sz w:val="20"/>
        </w:rPr>
        <w:t>in 2017.</w:t>
      </w:r>
    </w:p>
    <w:p>
      <w:pPr>
        <w:pStyle w:val="TextBody"/>
        <w:bidi w:val="0"/>
        <w:spacing w:lineRule="auto" w:line="288" w:before="0" w:after="200"/>
        <w:jc w:val="left"/>
        <w:rPr/>
      </w:pPr>
      <w:r>
        <w:rPr>
          <w:rFonts w:ascii="Times New Roman;sans-serif" w:hAnsi="Times New Roman;sans-serif"/>
          <w:b w:val="false"/>
          <w:color w:val="000000"/>
          <w:sz w:val="20"/>
        </w:rPr>
        <w:t xml:space="preserve">Additionally, </w:t>
      </w:r>
      <w:r>
        <w:rPr>
          <w:rFonts w:ascii="Times New Roman;sans-serif" w:hAnsi="Times New Roman;sans-serif"/>
          <w:b w:val="false"/>
          <w:i/>
          <w:color w:val="000000"/>
          <w:sz w:val="20"/>
        </w:rPr>
        <w:t>Child of Mine</w:t>
      </w:r>
      <w:r>
        <w:rPr>
          <w:rFonts w:ascii="Times New Roman;sans-serif" w:hAnsi="Times New Roman;sans-serif"/>
          <w:b w:val="false"/>
          <w:color w:val="000000"/>
          <w:sz w:val="20"/>
        </w:rPr>
        <w:t>, an</w:t>
      </w:r>
      <w:r>
        <w:rPr>
          <w:color w:val="000000"/>
        </w:rPr>
        <w:t xml:space="preserve"> </w:t>
      </w:r>
      <w:r>
        <w:rPr>
          <w:rFonts w:ascii="Times New Roman;sans-serif" w:hAnsi="Times New Roman;sans-serif"/>
          <w:b w:val="false"/>
          <w:color w:val="000000"/>
          <w:sz w:val="20"/>
        </w:rPr>
        <w:t xml:space="preserve">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 is sold at Walmart; </w:t>
      </w:r>
      <w:r>
        <w:rPr>
          <w:rFonts w:ascii="Times New Roman;sans-serif" w:hAnsi="Times New Roman;sans-serif"/>
          <w:b w:val="false"/>
          <w:i/>
          <w:color w:val="000000"/>
          <w:sz w:val="20"/>
        </w:rPr>
        <w:t>Just One You</w:t>
      </w:r>
      <w:r>
        <w:rPr>
          <w:rFonts w:ascii="Times New Roman;sans-serif" w:hAnsi="Times New Roman;sans-serif"/>
          <w:b w:val="false"/>
          <w:color w:val="000000"/>
          <w:sz w:val="20"/>
        </w:rPr>
        <w:t xml:space="preserve">, an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 xml:space="preserve">brand, is sold at Target, and </w:t>
      </w:r>
      <w:r>
        <w:rPr>
          <w:rFonts w:ascii="Times New Roman;sans-serif" w:hAnsi="Times New Roman;sans-serif"/>
          <w:b w:val="false"/>
          <w:i/>
          <w:color w:val="000000"/>
          <w:sz w:val="20"/>
        </w:rPr>
        <w:t>Simple Joys</w:t>
      </w:r>
      <w:r>
        <w:rPr>
          <w:rFonts w:ascii="Times New Roman;sans-serif" w:hAnsi="Times New Roman;sans-serif"/>
          <w:b w:val="false"/>
          <w:color w:val="000000"/>
          <w:sz w:val="20"/>
        </w:rPr>
        <w:t xml:space="preserve">, an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brand, is available on Amazon.</w:t>
      </w:r>
    </w:p>
    <w:p>
      <w:pPr>
        <w:pStyle w:val="TextBody"/>
        <w:bidi w:val="0"/>
        <w:spacing w:lineRule="auto" w:line="288" w:before="0" w:after="200"/>
        <w:jc w:val="left"/>
        <w:rPr/>
      </w:pPr>
      <w:r>
        <w:rPr>
          <w:rFonts w:ascii="Times New Roman;sans-serif" w:hAnsi="Times New Roman;sans-serif"/>
          <w:b w:val="false"/>
          <w:color w:val="000000"/>
          <w:sz w:val="20"/>
        </w:rPr>
        <w:t xml:space="preserve">Launched in 2021, the </w:t>
      </w:r>
      <w:r>
        <w:rPr>
          <w:rFonts w:ascii="Times New Roman;sans-serif" w:hAnsi="Times New Roman;sans-serif"/>
          <w:b w:val="false"/>
          <w:i/>
          <w:color w:val="000000"/>
          <w:sz w:val="20"/>
        </w:rPr>
        <w:t>Little Planet</w:t>
      </w:r>
      <w:r>
        <w:rPr>
          <w:color w:val="000000"/>
        </w:rPr>
        <w:t xml:space="preserve"> </w:t>
      </w:r>
      <w:r>
        <w:rPr>
          <w:rFonts w:ascii="Times New Roman;sans-serif" w:hAnsi="Times New Roman;sans-serif"/>
          <w:b w:val="false"/>
          <w:color w:val="000000"/>
          <w:sz w:val="20"/>
        </w:rPr>
        <w:t>brand focuses on sustainable clothing through the sourcing of mostly organic cotton as certified under GOTS, a global textile processing standard for organic fibers. This brand includes a wide assortment of baby and toddler apparel, accessories, and sleepwear.</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serve the needs of all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Our multi-channel, global business model, which includes retail stores, eCommerce, and wholesale distribution capabilities, as well as omni-channel capabilities in the United States and Canada, enables us to reach a broad range of consumers around the world. As of July 1, 2023, our channels included approximately 1,000 company-owned retail stores, approximately 19,350 wholesale locations, and eCommerce sites in North America, as well as our international wholesale accounts and licensees which operate in over 90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hanging="810"/>
        <w:jc w:val="left"/>
        <w:rPr/>
      </w:pPr>
      <w:r>
        <w:rPr/>
      </w:r>
    </w:p>
    <w:p>
      <w:pPr>
        <w:pStyle w:val="TextBody"/>
        <w:bidi w:val="0"/>
        <w:spacing w:lineRule="auto" w:line="288" w:before="0" w:after="20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2022 fiscal year ended December 31, 2022.</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Gross Profit and Gross Margin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costs, purchasing and receiving costs,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Macroeconomic Factors, Consumer Demand, and Inventories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factors, including inflationary pressures, increased interest rates, the lapping of government stimulus, increased credit card debt, decreased savings rates, and increased risks of a recession continued to create a complex and challenging environment for our business in the second quarter of fiscal 2023. We believe these macroeconomic factors have resulted in lower consumer sentiment and negatively impacted demand for our products and will likely continue to negatively impact demand in the remainder of fiscal 2023.</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end of the second quarter of fiscal 2022, our inventories decreased $176.7 million, or 20.6%, to $681.6 million, primarily due to decreased in-transit inventory and lower forecasted net sales for fiscal 2023, partially offset by increased product costs. Inventory held to be sold in future periods, or “pack and hold” inventory, decreased during the second quarter of fiscal 2023 but remained relatively consistent to the levels at the end of the second quarter of fiscal 2022. Inventory levels are elevated throughout much of the retail industry, resulting in an increase in promotional activity as companies sell off their excess inventories. We have taken action to align inventory with planned demand, including selectively utilizing a pack and hold strategy to sell through inventory profitably in later periods, and selling through excess inventory in our own retail channels and in off-price channels. As a result, inventory levels during fiscal 2023 are expected to be lower than those in fiscal 2022.</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Inflationary Pressures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2022, the cost of transportation, particularly ocean freight rates, raw materials, packaging materials, labor, energy, fuel, and other inputs necessary for the production and distribution of our products rapidly increased. We continued to experience inflationary pressures on input costs through the end of the second quarter of fiscal 2023, and we may continue to experience these pressures for the remainder of fiscal 2023. We have offset some of these cost pressures through increases in the selling prices of some of our products, product cost optimization, increasing and diversifying our portfolio of suppliers, leveraging a mix of longer-term shipping container contracts and spot market purchases, and reductions in discretionary spending. However, our pricing actions could have an adverse impact on demand and may not be sufficient to cover all increased costs that we may experience.</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Organizational Restructuring and Corporate Office Lease Amendment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fiscal 2023, we initiated several organizational restructuring initiatives which included a reorganization of staffing models across multiple functions to drive labor savings and increase efficiencies. In conjunction with these plans, we incurred approximately $0.4 million and $3.3 million in costs in the second quarter and the first two quarters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fiscal 2023, respectively. These costs primarily related to severance and other termination benefits expected to be paid out by the end of the year and are included in Other current liabilities in the accompanying unaudited condensed consolidated balance sheet.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executed an amendment to the lease of our corporate headquarters in Atlanta, Georgia which resulted in returning three floors to the landlord and extending the lease to 2035. As a result of the reduction in leased office space, we recorded a net gain of $1.8 million related to the partial termination of the lease in the first quarter of fiscal 2023.</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Second Fiscal Quarter 2023 Financial Highlights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gross profit in the second quarter of fiscal 2023 declined compared to the second quarter of fiscal 2022. We believe this reflects the significant ongoing and negative impact of high inflation on consumer demand for our products and reduced spending more broadly around the retail industry. Demand from our wholesale customers was lower in the second quarter of fiscal 2023 reflecting the same pressure on consumer demand in their own businesses and a more cautious approach regarding inventory commitments.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High inflation also continued to negatively weigh on aspects of our cost structure in the second quarter of fiscal 2023. Despite these challenges, we were able to increase our average selling prices per unit low-single digits, manage our variable expenses, increase our store count, reduce debt, and return capital to our shareholders.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comparisons are to the second quarter of fiscal 2022:</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Consolidated net sales decreased $100.5 million, or 14.3%, to $600.2 million, primarily due to macroeconomic factors, including inflationary pressures, increased interest rates, and risk of recession, driving lower consumer demand. </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Despite increased pressure on pricing from our competitors and increased product costs, gross margin increased 130 basis points (“bps”) to 48.6% due to decreased fabric purchase commitment charges and inventory provisions, decreased ocean freight rates, and improved price realization.</w:t>
      </w:r>
    </w:p>
    <w:p>
      <w:pPr>
        <w:pStyle w:val="TextBody"/>
        <w:bidi w:val="0"/>
        <w:spacing w:lineRule="auto" w:line="288" w:before="0" w:after="100"/>
        <w:ind w:left="0" w:right="0" w:hanging="360"/>
        <w:jc w:val="left"/>
        <w:rPr/>
      </w:pPr>
      <w:r>
        <w:rPr>
          <w:color w:val="000000"/>
        </w:rPr>
        <w:t>•</w:t>
      </w:r>
      <w:r>
        <w:rPr>
          <w:rFonts w:ascii="Times New Roman;sans-serif" w:hAnsi="Times New Roman;sans-serif"/>
          <w:b w:val="false"/>
          <w:color w:val="000000"/>
          <w:sz w:val="20"/>
        </w:rPr>
        <w:t xml:space="preserve">We believe that our growth in years ahead will be driven by our exclusive </w:t>
      </w:r>
      <w:r>
        <w:rPr>
          <w:rFonts w:ascii="Times New Roman;sans-serif" w:hAnsi="Times New Roman;sans-serif"/>
          <w:b w:val="false"/>
          <w:i/>
          <w:color w:val="000000"/>
          <w:sz w:val="20"/>
        </w:rPr>
        <w:t>Carter’s</w:t>
      </w:r>
      <w:r>
        <w:rPr>
          <w:color w:val="000000"/>
        </w:rPr>
        <w:t xml:space="preserve"> </w:t>
      </w:r>
      <w:r>
        <w:rPr>
          <w:rFonts w:ascii="Times New Roman;sans-serif" w:hAnsi="Times New Roman;sans-serif"/>
          <w:b w:val="false"/>
          <w:color w:val="000000"/>
          <w:sz w:val="20"/>
        </w:rPr>
        <w:t>brands and by new store openings. Given our progress with improved price realization, more attractive store opening opportunities in the United States continue to be available to us. During the second quarter of fiscal 2023, we opened 10 stores and closed 7 stores in the United States. We are projecting approximately 36 store openings and 1 store closure in the remainder of fiscal 2023.</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As a result of our strong financial position and available liquidity, we repaid the outstanding balance on our secured revolving credit facility in the second quarter of fiscal 2023. Additionally, in the second quarter of fiscal 2023, we returned $58.5 million to our shareholders, comprised of $30.3 million in share repurchases and $28.2 million in cash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SECOND FISCAL QUARTER ENDED JULY 1, 2023 COMPARED TO SECOND FISCAL QUARTER ENDED JULY 2, 2022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All percentages shown in the below table and the discussion that follows have been calculated using unrounded numbers.</w:t>
      </w:r>
    </w:p>
    <w:tbl>
      <w:tblPr>
        <w:tblW w:w="9106" w:type="dxa"/>
        <w:jc w:val="left"/>
        <w:tblInd w:w="0" w:type="dxa"/>
        <w:tblLayout w:type="fixed"/>
        <w:tblCellMar>
          <w:top w:w="28" w:type="dxa"/>
          <w:left w:w="28" w:type="dxa"/>
          <w:bottom w:w="28" w:type="dxa"/>
          <w:right w:w="28" w:type="dxa"/>
        </w:tblCellMar>
      </w:tblPr>
      <w:tblGrid>
        <w:gridCol w:w="1220"/>
        <w:gridCol w:w="1073"/>
        <w:gridCol w:w="1081"/>
        <w:gridCol w:w="196"/>
        <w:gridCol w:w="736"/>
        <w:gridCol w:w="241"/>
        <w:gridCol w:w="109"/>
        <w:gridCol w:w="109"/>
        <w:gridCol w:w="109"/>
        <w:gridCol w:w="196"/>
        <w:gridCol w:w="736"/>
        <w:gridCol w:w="241"/>
        <w:gridCol w:w="109"/>
        <w:gridCol w:w="109"/>
        <w:gridCol w:w="109"/>
        <w:gridCol w:w="196"/>
        <w:gridCol w:w="811"/>
        <w:gridCol w:w="109"/>
        <w:gridCol w:w="109"/>
        <w:gridCol w:w="109"/>
        <w:gridCol w:w="109"/>
        <w:gridCol w:w="277"/>
        <w:gridCol w:w="277"/>
        <w:gridCol w:w="735"/>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Fiscal quarter ended</w:t>
            </w:r>
          </w:p>
        </w:tc>
        <w:tc>
          <w:tcPr>
            <w:tcW w:w="305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(dollars in thousands, except per share data)</w:t>
            </w:r>
          </w:p>
        </w:tc>
        <w:tc>
          <w:tcPr>
            <w:tcW w:w="1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 bps Change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600,199 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700,695 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(100,496)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308,303 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Gross profit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291,896 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331,239 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(39,343)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Gross profit as %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48.6 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47.3 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130 bps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Royalty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Royalty income as %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0.7 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(10) bps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258,676 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261,423 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SG&amp;A expenses as %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43.1 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37.3 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580 bps</w:t>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income</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37,561 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75,418 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(37,857)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Operating income as %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10.8 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(450) bps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&gt;100%</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before income taxes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31,250 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47,081 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7"/>
              </w:rPr>
              <w:t>Effective tax rate</w:t>
            </w:r>
            <w:r>
              <w:rPr>
                <w:rFonts w:ascii="Times New Roman;sans-serif" w:hAnsi="Times New Roman;sans-serif"/>
                <w:b w:val="false"/>
                <w:i/>
                <w:color w:val="000000"/>
                <w:sz w:val="11"/>
              </w:rPr>
              <w: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23.6 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21.5 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7"/>
              </w:rPr>
            </w:pPr>
            <w:r>
              <w:rPr>
                <w:rFonts w:ascii="Times New Roman;sans-serif" w:hAnsi="Times New Roman;sans-serif"/>
                <w:b w:val="false"/>
                <w:i/>
                <w:color w:val="000000"/>
                <w:sz w:val="17"/>
              </w:rPr>
              <w:t>210 bps</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23,867 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36,970 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(13,103)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declared and paid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(*)Effective tax rate is calculated by dividing the provision for income taxes by income before income taxes.</w:t>
      </w:r>
    </w:p>
    <w:p>
      <w:pPr>
        <w:pStyle w:val="TextBody"/>
        <w:bidi w:val="0"/>
        <w:spacing w:lineRule="auto" w:line="288" w:before="0" w:after="200"/>
        <w:jc w:val="left"/>
        <w:rPr>
          <w:rFonts w:ascii="Times New Roman;sans-serif" w:hAnsi="Times New Roman;sans-serif"/>
          <w:b w:val="false"/>
          <w:i/>
          <w:color w:val="000000"/>
          <w:sz w:val="16"/>
        </w:rPr>
      </w:pPr>
      <w:r>
        <w:rPr>
          <w:rFonts w:ascii="Times New Roman;sans-serif" w:hAnsi="Times New Roman;sans-serif"/>
          <w:b w:val="false"/>
          <w:i/>
          <w:color w:val="000000"/>
          <w:sz w:val="16"/>
        </w:rPr>
        <w:t>Note: Results may not be additive due to rounding. Percentage changes that are not considered meaningful are denoted with “nm”.</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decreased $100.5 million, or 14.3%, to $600.2 million. This decrease in net sales was primarily driven by macroeconomic factors, including inflationary pressures, increased interest rates, and risk of recession, driving lower consumer demand. These decreases were partially offset by increased average selling prices per unit due to improved price realization. Average selling prices per unit increased low-single digits and units sold decreased in the high-teens. Changes in foreign currency exchange rates used for translation had an unfavorable effect on our consolidated net sales of approximately $1.2 million.</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Gross Profit and Gross Margin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gross profit decreased $39.3 million, or 11.9%, to $291.9 million and consolidated gross margin increased 130 bps to 48.6%. The decrease in consolidated gross profit was primarily driven by decreased net sales. The increase in gross margin was primarily driven by decreased fabric purchases commitment charges and inventory provisions and increased average selling prices per unit mentioned above. These factors were partially offset by increased average cost per unit sold and changes in customer and channel mix. Average cost per unit sold increased mid-single digits, reflecting increases to product input costs partially offset by decreased ocean freight rates. We expect inbound transportation rates, including ocean freight rates, to decrease in the second half of fiscal 2023 and into fiscal 2024.</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Royalty Income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royalty income decreased $1.3 million, or 22.5%, to $4.3 million, primarily driven by decreased wholesale customer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decreased $2.7 million, or 1.1%, to $258.7 million and increased as a percentage of consolidated net sales by approximately 580 bps to 43.1%. This increase in SG&amp;A rate was primarily driven by fixed cost deleverage on decreased sales, increased consulting and professional fees, and increased performance-based compensation expense.</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decreased $37.9 million, or 50.2%, to $37.6 million and decreased as a percentage of net sales by approximately 450 bps to 6.3%, primarily due to the factors discussed above.</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interest expense decreased $0.6 million, or 6.6%, to $8.1 million. Weighted-average borrowings for the second quarter of fiscal 2023 were $521.5 million at an effective interest rate of 6.20%, compared to weighted-average borrowings for the second quarter of fiscal 2022 of $567.3 million at an effective interest rate of 5.99%.</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weighted-average borrowings was attributable to decreased borrowings under our secured revolving credit facility for the period. The increase in the effective interest rate was primarily due to increased interest rates on our secured revolving credit facility, reflecting the broader rise in market interest rates.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Loss on Extinguishment of Debt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fiscal 2022, loss on extinguishment of debt was $19.9 million due to the early extinguishment of our $500 million in aggregate principal amount of 5.500% senior notes due May 2025. </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income tax provision decreased $2.7 million, or 27.0%, to $7.4 million and the effective tax rate increased 210 bps to 23.6%. The increased effective tax rate primarily relates to a higher proportion of income generated in the United States, which is a higher tax jurisdiction relative to our international operations.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Net Income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net income decreased $13.1 million, or 35.4%, to $23.9 million, primarily due to the factors previously discussed.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 xml:space="preserve">Results by Segment - Second Quarter of Fiscal 2023 compared to Second Quarter of Fiscal 2022 </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sales and operating income, by segment, for the second quarter of fiscal 2023 and the second quarter of fiscal 2022:</w:t>
      </w:r>
    </w:p>
    <w:tbl>
      <w:tblPr>
        <w:tblW w:w="10205" w:type="dxa"/>
        <w:jc w:val="center"/>
        <w:tblInd w:w="0" w:type="dxa"/>
        <w:tblLayout w:type="fixed"/>
        <w:tblCellMar>
          <w:top w:w="28" w:type="dxa"/>
          <w:left w:w="28" w:type="dxa"/>
          <w:bottom w:w="28" w:type="dxa"/>
          <w:right w:w="28" w:type="dxa"/>
        </w:tblCellMar>
      </w:tblPr>
      <w:tblGrid>
        <w:gridCol w:w="610"/>
        <w:gridCol w:w="416"/>
        <w:gridCol w:w="420"/>
        <w:gridCol w:w="196"/>
        <w:gridCol w:w="736"/>
        <w:gridCol w:w="109"/>
        <w:gridCol w:w="109"/>
        <w:gridCol w:w="109"/>
        <w:gridCol w:w="109"/>
        <w:gridCol w:w="368"/>
        <w:gridCol w:w="322"/>
        <w:gridCol w:w="758"/>
        <w:gridCol w:w="109"/>
        <w:gridCol w:w="109"/>
        <w:gridCol w:w="109"/>
        <w:gridCol w:w="196"/>
        <w:gridCol w:w="736"/>
        <w:gridCol w:w="109"/>
        <w:gridCol w:w="109"/>
        <w:gridCol w:w="109"/>
        <w:gridCol w:w="109"/>
        <w:gridCol w:w="368"/>
        <w:gridCol w:w="322"/>
        <w:gridCol w:w="758"/>
        <w:gridCol w:w="109"/>
        <w:gridCol w:w="109"/>
        <w:gridCol w:w="109"/>
        <w:gridCol w:w="196"/>
        <w:gridCol w:w="769"/>
        <w:gridCol w:w="109"/>
        <w:gridCol w:w="109"/>
        <w:gridCol w:w="109"/>
        <w:gridCol w:w="109"/>
        <w:gridCol w:w="248"/>
        <w:gridCol w:w="250"/>
        <w:gridCol w:w="574"/>
      </w:tblGrid>
      <w:tr>
        <w:trPr/>
        <w:tc>
          <w:tcPr>
            <w:tcW w:w="6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600,199 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700,695 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(100,496)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7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7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75,418 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Comparable Sales Metrics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method of calculating sales metrics varies across the retail industry. As a result, our comparable sales metrics may not be comparable to those of other retailers.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U.S. Retail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Retail segment net sales decreased $55.6 million, or 14.7%, to $323.5 million. The decrease in net sales was primarily driven by macroeconomic factors, including inflationary pressures, increased interest rates, and risk of recession, driving lower consumer demand. This decreased demand resulted in lower traffic and decreased units per transaction in our eCommerce channels and in our retail stores. Units sold decreased approximately 20%, while average selling prices per unit increased mid-single digits due to improved price realization, partially offset by an increased mix of clearance sales.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Comparable net sales, including retail store and eCommerce, decreased 15.9% primarily driven by the factors mentioned above. As of July 1, 2023, we operated 763 retail stores in the U.S. compared to 757 as of December 31, 2022, and 738 as of July 2, 2022.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Retail segment operating income decreased $27.3 million, or 49.2%, to $28.2 million, primarily due to a decrease in gross profit of $31.4 million, partially offset by a decrease in SG&amp;A expenses of $4.0 million. Operating margin decreased 600 bps to 8.7%. The primary drivers of the decrease in operating margin were a 670 bps increase in SG&amp;A rate, partially offset by a 70 bps increase in gross margin. The increase in gross margin was primarily due to increased average selling prices per unit mentioned above and decreased fabric purchase commitment charges, partially offset by increased product costs and an increased mix of clearance sales. Average cost per unit sold increased high-single digits, reflecting increases to product input costs partially offset by decreased ocean freight rates. The increase in SG&amp;A rate was primarily driven by fixed cost deleverage on decreased net sales and increased performance-based compensation expense, partially offset by decreased marketing expense.</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U.S. Wholesale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Wholesale segment net sales decreased $37.1 million, or 16.6%, to $186.9 million. The decrease was primarily driven by macroeconomic factors, including inflationary pressures, increased interest rates, and risk of recession, as well as planned inventory reductions by our wholesale customers, driving lower consumer replenishment demand. Units sold decreased mid-teens, while average selling prices per unit was relatively consistent period over period.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Wholesale segment operating income decreased $4.4 million, or 13.1%, to $29.2 million, primarily due to a decrease in gross profit of $5.9 million, partially offset by a decrease in SG&amp;A expenses of $2.4 million. Operating margin increased 60 bps to 15.6%. The primary drivers of the increase in operating margin were a 190 bps increase in gross margin, partially offset by a 100 bps increase in SG&amp;A rate. The increase in gross margin was primarily due to decreased fabric purchase commitment charges and inventory provisions, partially offset by a change in customer mix. Average cost per unit sold was relatively consistent period over period as increased product costs were primarily offset by decreased ocean freight rates. The increase in the SG&amp;A rate was primarily driven by fixed cost deleverage on decreased sales and increased performance-based compensation expense, partially offset by decreased bad debt expense.</w:t>
      </w:r>
    </w:p>
    <w:p>
      <w:pPr>
        <w:pStyle w:val="TextBody"/>
        <w:bidi w:val="0"/>
        <w:spacing w:lineRule="auto" w:line="288" w:before="0" w:after="100"/>
        <w:jc w:val="both"/>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segment net sales decreased $7.7 million, or 7.9%, to $89.9 million. Changes in foreign currency exchange rates, primarily between the U.S. dollar and the Canadian dollar, had a $1.2 million unfavorable effect on International segment net sales. The decrease in net sales was primarily driven by decreased net sales in Canada and decreased demand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partners, partially offset by growth in sales in our Mexico retail stores and increased average selling prices per unit. Units sold decreased low-teens, while average selling prices per unit increased mid-single digits.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Canadian comparable net sales, including retail stores and eCommerce, decreased 7.1% primarily driven by decreased traffic in our retail stores and eCommerce channel. As of July 1, 2023, we operated 186 stores and 50 stores in Canada and Mexico, respectively. As of December 31, 2022, we operated 187 and 49 stores in Canada and Mexico, respectively. As of July 2, 2022, we operated 185 and 43 stores in Canada and Mexico, respectively.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 operating income decreased $5.5 million, or 45.0%, to $6.7 million, primarily due to a decrease in gross profit of $2.0 million and an increase in SG&amp;A expenses of $3.0 million. Operating margin decreased 510 bps to 7.4%. The primary drivers of the decrease in operating margin were a 640 bps increase in the SG&amp;A rate, partially offset by a 170 bps increase in gross margin. The increase in gross margin was primarily due to increased average selling prices per unit and decreased fabric purchase commitment charges and inventory provisions, partially offset by increased average cost per unit sold. Average cost per unit sold increased low-single digits, reflecting increases to product input costs, partially offset by decreased ocean freight rates. The increase in the SG&amp;A rate was primarily due to fixed cost deleverage on decreased sales, increased investments in our Mexican retail stores and technology, and increased performance-based compensation expense.</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Unallocated Corporate Expenses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increased $0.7 million, or 2.6%, to $26.5 million and unallocated corporate expenses, as a percentage of consolidated net sales, increased 70 bps to 4.4%. The increase as a percentage of consolidated net sales was primarily due to fixed cost deleverage on decreased sales, increased consulting and professional fees, and increased performance-based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TWO FISCAL QUARTERS ENDED JULY 1, 2023 COMPARED TO TWO FISCAL QUARTERS ENDED JULY 2,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All percentages shown in the below table and the discussion that follows have been calculated using unrounded numbers.</w:t>
      </w:r>
    </w:p>
    <w:tbl>
      <w:tblPr>
        <w:tblW w:w="9542" w:type="dxa"/>
        <w:jc w:val="left"/>
        <w:tblInd w:w="0" w:type="dxa"/>
        <w:tblLayout w:type="fixed"/>
        <w:tblCellMar>
          <w:top w:w="28" w:type="dxa"/>
          <w:left w:w="28" w:type="dxa"/>
          <w:bottom w:w="28" w:type="dxa"/>
          <w:right w:w="28" w:type="dxa"/>
        </w:tblCellMar>
      </w:tblPr>
      <w:tblGrid>
        <w:gridCol w:w="1232"/>
        <w:gridCol w:w="1085"/>
        <w:gridCol w:w="1088"/>
        <w:gridCol w:w="196"/>
        <w:gridCol w:w="871"/>
        <w:gridCol w:w="256"/>
        <w:gridCol w:w="109"/>
        <w:gridCol w:w="109"/>
        <w:gridCol w:w="109"/>
        <w:gridCol w:w="196"/>
        <w:gridCol w:w="871"/>
        <w:gridCol w:w="256"/>
        <w:gridCol w:w="109"/>
        <w:gridCol w:w="109"/>
        <w:gridCol w:w="109"/>
        <w:gridCol w:w="196"/>
        <w:gridCol w:w="811"/>
        <w:gridCol w:w="109"/>
        <w:gridCol w:w="109"/>
        <w:gridCol w:w="109"/>
        <w:gridCol w:w="109"/>
        <w:gridCol w:w="291"/>
        <w:gridCol w:w="291"/>
        <w:gridCol w:w="812"/>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c>
          <w:tcPr>
            <w:tcW w:w="316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per share data)</w:t>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 bps Change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1,296,079 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1,481,980 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795,699 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601,363 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686,281 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(84,918)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as % of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 bps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Royalty income, net as % of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 bps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518,308 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SG&amp;A expenses as % of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480 bps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178,042 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(84,127)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as % of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(480) bps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&gt;100%</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78,918 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135,422 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18"/>
              </w:rPr>
              <w:t>Effective tax rate</w:t>
            </w:r>
            <w:r>
              <w:rPr>
                <w:rFonts w:ascii="Times New Roman;sans-serif" w:hAnsi="Times New Roman;sans-serif"/>
                <w:b w:val="false"/>
                <w:i/>
                <w:color w:val="000000"/>
                <w:sz w:val="12"/>
              </w:rPr>
              <w:t>(*)</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24.1 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160 bps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8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declared and paid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(*)Effective tax rate is calculated by dividing the provision for income taxes by income before income taxes.</w:t>
      </w:r>
    </w:p>
    <w:p>
      <w:pPr>
        <w:pStyle w:val="TextBody"/>
        <w:bidi w:val="0"/>
        <w:spacing w:lineRule="auto" w:line="288" w:before="0" w:after="200"/>
        <w:jc w:val="left"/>
        <w:rPr>
          <w:rFonts w:ascii="Times New Roman;sans-serif" w:hAnsi="Times New Roman;sans-serif"/>
          <w:b w:val="false"/>
          <w:i/>
          <w:color w:val="000000"/>
          <w:sz w:val="16"/>
        </w:rPr>
      </w:pPr>
      <w:r>
        <w:rPr>
          <w:rFonts w:ascii="Times New Roman;sans-serif" w:hAnsi="Times New Roman;sans-serif"/>
          <w:b w:val="false"/>
          <w:i/>
          <w:color w:val="000000"/>
          <w:sz w:val="16"/>
        </w:rPr>
        <w:t>Note: Results may not be additive due to rounding. Percentage changes that are not considered meaningful are denoted with “nm”.</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decreased $185.9 million, or 12.5%, to $1.30 billion. This decrease in net sales was primarily driven by macroeconomic factors driving lower consumer demand. These decreases were partially offset by increased average selling prices per unit due to improved price realization. Average selling prices per unit increased mid-single digits and units sold decreased mid-teens. Changes in foreign currency exchange rates used for translation had an unfavorable effect on our consolidated net sales of approximately $3.3 million.</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Gross Profit and Gross Margin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gross profit decreased $84.9 million, or 12.4%, to $601.4 million and consolidated gross margin increased 10 bps to 46.4%. The decrease in consolidated gross profit was primarily driven by decreased net sales. The increase in gross margin was primarily driven by increased average selling prices per unit mentioned above, decreased fabric purchase commitment charges and inventory provisions, and decreased air freight costs. These factors were partially offset by increased average cost per unit sold, and changes in customer and channel mix. Average cost per unit sold increased mid-single digits, reflecting increases to product input costs, partially offset by decreased ocean freight rates.</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Royalty Income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royalty income decreased $2.2 million, or 16.9%, to $10.9 million, primarily driven by decreased wholesale customer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SG&amp;A expenses decreased $3.0 million, or 0.6%, to $518.3 million and increased as a percentage of consolidated net sales by approximately 480 bps to 40.0%. This increase in SG&amp;A rate was primarily driven by fixed cost deleverage on decreased sales, organizational restructuring charges, increased consulting and professional fees, and increased performance-based compensation expense, partially offset by decreased marketing expense and a gain on the partial termination of a corporate office lease.</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 decreased $84.1 million, or 47.3%, to $93.9 million and decreased as a percentage of net sales by approximately 480 bps to 7.2% primarily due to the factors discussed above.</w:t>
      </w:r>
    </w:p>
    <w:p>
      <w:pPr>
        <w:pStyle w:val="TextBody"/>
        <w:bidi w:val="0"/>
        <w:spacing w:lineRule="auto" w:line="288" w:before="0" w:after="10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$6.1 million, or 25.5%, to $17.7 million. Weighted-average borrowings for the first two quarters of fiscal 2023 were $567.7 million at an effective interest rate of 6.19%, compared to weighted-average borrowings for the first two quarters of fiscal 2022 of $783.6 million at an effective interest rate of 5.99%.</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weighted-average borrowings was attributable to the early extinguishment of our $500 million in aggregate principal amount of 5.500% senior notes due May 2025 in the second quarter of fiscal 2022, partially offset by increased borrowings under our secured revolving credit facility for the period. In the second quarter of fiscal 2023, we repaid the outstanding borrowings under our secured revolving credit facility. The increase in the effective interest rate was primarily due to increased interest rates on our secured revolving credit facility, reflecting the broader rise in market interest rates.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income tax provision decreased $11.5 million, or 37.6%, to $19.1 million and the effective tax rate increased 160 bps to 24.1%. The increased effective tax rate primarily relates to a higher proportion of income generated in the United States, which is a higher tax jurisdiction relative to our international operations.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Net Income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net income decreased $45.0 million, or 42.9%, to $59.9 million, primarily due to the factors previously discussed and the nonrecurrence of a loss on extinguishment of debt of $19.9 million that occurred in the second quarter of fiscal 2022.</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Results by Segment - First Two Quarters of Fiscal 2023 compared to First Two Quarters of Fiscal 2022</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sales and operating income, by segment, for the first two quarters of fiscal 2023 and fiscal 2022:</w:t>
      </w:r>
    </w:p>
    <w:tbl>
      <w:tblPr>
        <w:tblW w:w="10205" w:type="dxa"/>
        <w:jc w:val="center"/>
        <w:tblInd w:w="0" w:type="dxa"/>
        <w:tblLayout w:type="fixed"/>
        <w:tblCellMar>
          <w:top w:w="28" w:type="dxa"/>
          <w:left w:w="28" w:type="dxa"/>
          <w:bottom w:w="28" w:type="dxa"/>
          <w:right w:w="28" w:type="dxa"/>
        </w:tblCellMar>
      </w:tblPr>
      <w:tblGrid>
        <w:gridCol w:w="584"/>
        <w:gridCol w:w="380"/>
        <w:gridCol w:w="383"/>
        <w:gridCol w:w="196"/>
        <w:gridCol w:w="871"/>
        <w:gridCol w:w="109"/>
        <w:gridCol w:w="109"/>
        <w:gridCol w:w="109"/>
        <w:gridCol w:w="109"/>
        <w:gridCol w:w="353"/>
        <w:gridCol w:w="302"/>
        <w:gridCol w:w="712"/>
        <w:gridCol w:w="109"/>
        <w:gridCol w:w="109"/>
        <w:gridCol w:w="109"/>
        <w:gridCol w:w="196"/>
        <w:gridCol w:w="871"/>
        <w:gridCol w:w="109"/>
        <w:gridCol w:w="109"/>
        <w:gridCol w:w="109"/>
        <w:gridCol w:w="109"/>
        <w:gridCol w:w="353"/>
        <w:gridCol w:w="302"/>
        <w:gridCol w:w="712"/>
        <w:gridCol w:w="109"/>
        <w:gridCol w:w="109"/>
        <w:gridCol w:w="109"/>
        <w:gridCol w:w="196"/>
        <w:gridCol w:w="764"/>
        <w:gridCol w:w="109"/>
        <w:gridCol w:w="109"/>
        <w:gridCol w:w="109"/>
        <w:gridCol w:w="109"/>
        <w:gridCol w:w="246"/>
        <w:gridCol w:w="247"/>
        <w:gridCol w:w="575"/>
      </w:tblGrid>
      <w:tr>
        <w:trPr/>
        <w:tc>
          <w:tcPr>
            <w:tcW w:w="5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consolidated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sales: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1,296,079 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(185,901)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7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7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Wholesale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(84,127)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U.S. Retail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Retail segment net sales decreased $98.3 million, or 13.2%, to $647.2 million. The decrease in net sales was primarily driven by macroeconomic factors driving lower consumer demand. This decreased demand resulted in lower traffic and decreased units per transaction in our eCommerce channels and in our retail stores. Units sold decreased high-teens, while average selling prices per unit increased mid-single digits due to improved price realization, partially offset by an increased mix of clearance sales. Comparable net sales, including retail store and eCommerce, decreased 14.4% primarily driven by the factors mentioned above.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Retail segment operating income decreased $50.4 million, or 47.7%, to $55.2 million, primarily due to a decrease in gross profit of $61.1 million, partially offset by a decrease in SG&amp;A expenses of $11.8 million. Operating margin decreased 570 bps to 8.5% primarily due to a 30 bps decrease in gross margin and a 540 bps increase in SG&amp;A rate. The decrease in gross margin was primarily due to increased product costs and an increased mix of clearance sales, partially offset by increased average selling prices per unit and decreased fabric purchase commitment charges. Average cost per unit sold increased mid-single digits, reflecting increases to product input costs, partially offset by decreased ocean freight rates. The increase in the SG&amp;A rate was primarily driven by fixed cost deleverage on decreased net sales, partially offset by decreased marketing expense.</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U.S. Wholesale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Wholesale segment net sales decreased $64.5 million, or 12.1%, to $466.9 million. The decrease was primarily driven by macroeconomic factors and planned inventory reductions by our wholesale customers driving lower consumer replenishment demand. Units sold decreased mid-teens, while average selling prices per unit increased low-single digits.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U.S. Wholesale segment operating income decreased $12.8 million, or 13.6%, to $81.3 million, primarily due to a decrease in gross profit of $14.6 million, partially offset by a decrease in SG&amp;A expenses of $2.6 million. Operating margin decreased 30 bps to 17.4%. The primary drivers of the decrease in operating margin were a 90 bps increase in SG&amp;A rate, partially offset by a 50 bps increase in gross margin. The increase in gross margin was primarily due to increased average selling prices per unit, decreased fabric purchase commitment charges and inventory provisions, and decreased air freight costs. These factors were partially offset by increased average cost per unit sold and changes in customer mix. Average cost per unit sold increased mid-single digits, reflecting increases to product input costs, partially offset by decreased ocean freight rates. The increase in the SG&amp;A rate was primarily driven by fixed cost deleverage on decreased sales, partially offset by decreased marketing expense.</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 net sales decreased $23.2 million, or 11.3%, to $182.0 million. Changes in foreign currency exchange rates, primarily between the U.S. dollar and the Canadian dollar, had a $3.3 million unfavorable effect on International segment net sales. The decrease in net sales was primarily driven by decreased net sales in Canada, decreased demand from our international partners, and a strengthening of the U.S. Dollar against other foreign currencies. These decreases were partially offset by growth in sales in our Mexico retail stores and increased average selling prices per unit. Units sold decreased mid-teens, while average selling prices per unit increased mid-single digits.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Canadian comparable net sales, including retail stores and eCommerce, decreased 6.4% primarily driven by decreased traffic in our eCommerce channel and in our retail stores.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segment operating income decreased $12.7 million, or 56.5%, to $9.8 million, primarily due to a decrease in gross profit of $9.1 million and an increase in SG&amp;A expenses of $3.2 million. Operating margin decreased 560 bps to 5.4%. The primary drivers of the decrease in operating margin were a 610 bps increase in the SG&amp;A rate, partially offset by a 60 bps increase in gross margin. The increase in gross margin was primarily due to increased average selling prices per unit and decreased fabric purchase commitment charges and inventory provisions, partially offset by increased average cost per unit sold. Average cost per unit sold increased mid-single digits, reflecting increases to product input costs, partially offset by decreased ocean freight rates. The increase in the SG&amp;A rate was primarily due to fixed cost deleverage on decreased sales, increased investments in our Mexican retail stores and technology, and increased performance-based compensation expense. </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Unallocated Corporate Expenses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increased $8.2 million, or 18.6%, to $52.4 million and unallocated corporate expenses, as a percentage of consolidated net sales, increased 100 bps to 4.0%. The increase as a percentage of consolidated net sales was primarily due to fixed cost deleverage on decreased sales and increased consulting and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TO GAAP MEASURES</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substitution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tbl>
      <w:tblPr>
        <w:tblW w:w="12552" w:type="dxa"/>
        <w:jc w:val="left"/>
        <w:tblInd w:w="0" w:type="dxa"/>
        <w:tblLayout w:type="fixed"/>
        <w:tblCellMar>
          <w:top w:w="28" w:type="dxa"/>
          <w:left w:w="28" w:type="dxa"/>
          <w:bottom w:w="28" w:type="dxa"/>
          <w:right w:w="28" w:type="dxa"/>
        </w:tblCellMar>
      </w:tblPr>
      <w:tblGrid>
        <w:gridCol w:w="731"/>
        <w:gridCol w:w="234"/>
        <w:gridCol w:w="236"/>
        <w:gridCol w:w="220"/>
        <w:gridCol w:w="542"/>
        <w:gridCol w:w="124"/>
        <w:gridCol w:w="109"/>
        <w:gridCol w:w="109"/>
        <w:gridCol w:w="109"/>
        <w:gridCol w:w="222"/>
        <w:gridCol w:w="169"/>
        <w:gridCol w:w="343"/>
        <w:gridCol w:w="109"/>
        <w:gridCol w:w="109"/>
        <w:gridCol w:w="109"/>
        <w:gridCol w:w="196"/>
        <w:gridCol w:w="391"/>
        <w:gridCol w:w="109"/>
        <w:gridCol w:w="109"/>
        <w:gridCol w:w="109"/>
        <w:gridCol w:w="109"/>
        <w:gridCol w:w="196"/>
        <w:gridCol w:w="481"/>
        <w:gridCol w:w="109"/>
        <w:gridCol w:w="109"/>
        <w:gridCol w:w="109"/>
        <w:gridCol w:w="109"/>
        <w:gridCol w:w="205"/>
        <w:gridCol w:w="505"/>
        <w:gridCol w:w="116"/>
        <w:gridCol w:w="109"/>
        <w:gridCol w:w="109"/>
        <w:gridCol w:w="109"/>
        <w:gridCol w:w="109"/>
        <w:gridCol w:w="109"/>
        <w:gridCol w:w="109"/>
        <w:gridCol w:w="220"/>
        <w:gridCol w:w="542"/>
        <w:gridCol w:w="124"/>
        <w:gridCol w:w="109"/>
        <w:gridCol w:w="109"/>
        <w:gridCol w:w="109"/>
        <w:gridCol w:w="240"/>
        <w:gridCol w:w="241"/>
        <w:gridCol w:w="343"/>
        <w:gridCol w:w="109"/>
        <w:gridCol w:w="109"/>
        <w:gridCol w:w="109"/>
        <w:gridCol w:w="196"/>
        <w:gridCol w:w="481"/>
        <w:gridCol w:w="109"/>
        <w:gridCol w:w="109"/>
        <w:gridCol w:w="109"/>
        <w:gridCol w:w="109"/>
        <w:gridCol w:w="196"/>
        <w:gridCol w:w="481"/>
        <w:gridCol w:w="109"/>
        <w:gridCol w:w="109"/>
        <w:gridCol w:w="109"/>
        <w:gridCol w:w="109"/>
        <w:gridCol w:w="205"/>
        <w:gridCol w:w="504"/>
        <w:gridCol w:w="162"/>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1" w:type="dxa"/>
            <w:gridSpan w:val="60"/>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quarter ended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millions, except earnings per share)</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reported (GAAP)</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37.6</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0.64</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75.4</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0.93</w:t>
            </w: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Organizational restructuring</w:t>
            </w:r>
            <w:r>
              <w:rPr>
                <w:rFonts w:ascii="Times New Roman;sans-serif" w:hAnsi="Times New Roman;sans-serif"/>
                <w:b w:val="false"/>
                <w:color w:val="000000"/>
                <w:sz w:val="12"/>
              </w:rPr>
              <w:t>(1)</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Loss on extinguishment of debt</w:t>
            </w:r>
            <w:r>
              <w:rPr>
                <w:rFonts w:ascii="Times New Roman;sans-serif" w:hAnsi="Times New Roman;sans-serif"/>
                <w:b w:val="false"/>
                <w:color w:val="000000"/>
                <w:sz w:val="12"/>
              </w:rPr>
              <w:t>(2)</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adjusted</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37.9</w:t>
            </w:r>
            <w:r>
              <w:rPr>
                <w:color w:val="000000"/>
              </w:rPr>
              <w:t>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7.5</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24.2</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0.64</w:t>
            </w: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75.4</w:t>
            </w:r>
            <w:r>
              <w:rPr>
                <w:color w:val="000000"/>
              </w:rPr>
              <w:t>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1.30</w:t>
            </w:r>
            <w:r>
              <w:rPr>
                <w:color w:val="000000"/>
              </w:rPr>
              <w:t> </w:t>
            </w:r>
          </w:p>
        </w:tc>
        <w:tc>
          <w:tcPr>
            <w:tcW w:w="1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(1)Relates to charges for organizational restructuring and related corporate office lease amendment actions.</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(2)Relates to a loss on extinguishment of debt of $19.9 million due to the redemption of the $500 million aggregate principal amount of senior notes due 2025 in April 2022.</w:t>
      </w:r>
    </w:p>
    <w:p>
      <w:pPr>
        <w:pStyle w:val="TextBody"/>
        <w:bidi w:val="0"/>
        <w:spacing w:lineRule="auto" w:line="288" w:before="0" w:after="200"/>
        <w:jc w:val="left"/>
        <w:rPr>
          <w:rFonts w:ascii="Times New Roman;sans-serif" w:hAnsi="Times New Roman;sans-serif"/>
          <w:b w:val="false"/>
          <w:i/>
          <w:color w:val="000000"/>
          <w:sz w:val="16"/>
        </w:rPr>
      </w:pPr>
      <w:r>
        <w:rPr>
          <w:rFonts w:ascii="Times New Roman;sans-serif" w:hAnsi="Times New Roman;sans-serif"/>
          <w:b w:val="false"/>
          <w:i/>
          <w:color w:val="000000"/>
          <w:sz w:val="16"/>
        </w:rPr>
        <w:t>Note: Results may not be additive due to rounding.</w:t>
      </w:r>
    </w:p>
    <w:tbl>
      <w:tblPr>
        <w:tblW w:w="12732" w:type="dxa"/>
        <w:jc w:val="left"/>
        <w:tblInd w:w="0" w:type="dxa"/>
        <w:tblLayout w:type="fixed"/>
        <w:tblCellMar>
          <w:top w:w="28" w:type="dxa"/>
          <w:left w:w="28" w:type="dxa"/>
          <w:bottom w:w="28" w:type="dxa"/>
          <w:right w:w="28" w:type="dxa"/>
        </w:tblCellMar>
      </w:tblPr>
      <w:tblGrid>
        <w:gridCol w:w="731"/>
        <w:gridCol w:w="234"/>
        <w:gridCol w:w="236"/>
        <w:gridCol w:w="220"/>
        <w:gridCol w:w="542"/>
        <w:gridCol w:w="124"/>
        <w:gridCol w:w="109"/>
        <w:gridCol w:w="109"/>
        <w:gridCol w:w="109"/>
        <w:gridCol w:w="222"/>
        <w:gridCol w:w="169"/>
        <w:gridCol w:w="343"/>
        <w:gridCol w:w="109"/>
        <w:gridCol w:w="109"/>
        <w:gridCol w:w="109"/>
        <w:gridCol w:w="196"/>
        <w:gridCol w:w="481"/>
        <w:gridCol w:w="109"/>
        <w:gridCol w:w="109"/>
        <w:gridCol w:w="109"/>
        <w:gridCol w:w="109"/>
        <w:gridCol w:w="196"/>
        <w:gridCol w:w="481"/>
        <w:gridCol w:w="109"/>
        <w:gridCol w:w="109"/>
        <w:gridCol w:w="109"/>
        <w:gridCol w:w="109"/>
        <w:gridCol w:w="205"/>
        <w:gridCol w:w="505"/>
        <w:gridCol w:w="116"/>
        <w:gridCol w:w="109"/>
        <w:gridCol w:w="109"/>
        <w:gridCol w:w="109"/>
        <w:gridCol w:w="109"/>
        <w:gridCol w:w="109"/>
        <w:gridCol w:w="109"/>
        <w:gridCol w:w="198"/>
        <w:gridCol w:w="577"/>
        <w:gridCol w:w="111"/>
        <w:gridCol w:w="109"/>
        <w:gridCol w:w="109"/>
        <w:gridCol w:w="109"/>
        <w:gridCol w:w="240"/>
        <w:gridCol w:w="241"/>
        <w:gridCol w:w="343"/>
        <w:gridCol w:w="109"/>
        <w:gridCol w:w="109"/>
        <w:gridCol w:w="109"/>
        <w:gridCol w:w="196"/>
        <w:gridCol w:w="481"/>
        <w:gridCol w:w="109"/>
        <w:gridCol w:w="109"/>
        <w:gridCol w:w="109"/>
        <w:gridCol w:w="109"/>
        <w:gridCol w:w="196"/>
        <w:gridCol w:w="571"/>
        <w:gridCol w:w="109"/>
        <w:gridCol w:w="109"/>
        <w:gridCol w:w="109"/>
        <w:gridCol w:w="109"/>
        <w:gridCol w:w="205"/>
        <w:gridCol w:w="504"/>
        <w:gridCol w:w="162"/>
      </w:tblGrid>
      <w:tr>
        <w:trPr/>
        <w:tc>
          <w:tcPr>
            <w:tcW w:w="7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1" w:type="dxa"/>
            <w:gridSpan w:val="60"/>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Two fiscal quarters ended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6"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1,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51"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July 2, 2022</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millions, except earnings per share)</w:t>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Taxes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Diluted Net Income per Common Share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reported (GAAP)</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93.9</w:t>
            </w: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1.59</w:t>
            </w: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178.0</w:t>
            </w:r>
            <w:r>
              <w:rPr>
                <w:color w:val="000000"/>
              </w:rPr>
              <w:t>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w:t>
            </w:r>
            <w:r>
              <w:rPr>
                <w:color w:val="000000"/>
              </w:rPr>
              <w:t> </w:t>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w:t>
            </w: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Organizational restructuring</w:t>
            </w:r>
            <w:r>
              <w:rPr>
                <w:rFonts w:ascii="Times New Roman;sans-serif" w:hAnsi="Times New Roman;sans-serif"/>
                <w:b w:val="false"/>
                <w:color w:val="000000"/>
                <w:sz w:val="12"/>
              </w:rPr>
              <w:t>(1)</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Loss on extinguishment of debt</w:t>
            </w:r>
            <w:r>
              <w:rPr>
                <w:rFonts w:ascii="Times New Roman;sans-serif" w:hAnsi="Times New Roman;sans-serif"/>
                <w:b w:val="false"/>
                <w:color w:val="000000"/>
                <w:sz w:val="12"/>
              </w:rPr>
              <w:t>(2)</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adjusted</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95.5</w:t>
            </w:r>
            <w:r>
              <w:rPr>
                <w:color w:val="000000"/>
              </w:rPr>
              <w:t> </w:t>
            </w:r>
          </w:p>
        </w:tc>
        <w:tc>
          <w:tcPr>
            <w:tcW w:w="1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19.4</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1.62</w:t>
            </w: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178.0</w:t>
            </w:r>
            <w:r>
              <w:rPr>
                <w:color w:val="000000"/>
              </w:rPr>
              <w:t> </w:t>
            </w:r>
          </w:p>
        </w:tc>
        <w:tc>
          <w:tcPr>
            <w:tcW w:w="1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120.1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2.97</w:t>
            </w:r>
            <w:r>
              <w:rPr>
                <w:color w:val="000000"/>
              </w:rPr>
              <w:t> </w:t>
            </w:r>
          </w:p>
        </w:tc>
        <w:tc>
          <w:tcPr>
            <w:tcW w:w="1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(1)Relates to charges for organizational restructuring and related corporate office lease amendment actions.</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(2)Relates to a loss on extinguishment of debt of $19.9 million due to the redemption of the $500 million aggregate principal amount of senior notes due 2025 in April 2022.</w:t>
      </w:r>
    </w:p>
    <w:p>
      <w:pPr>
        <w:pStyle w:val="TextBody"/>
        <w:bidi w:val="0"/>
        <w:spacing w:lineRule="auto" w:line="288" w:before="0" w:after="200"/>
        <w:jc w:val="left"/>
        <w:rPr>
          <w:rFonts w:ascii="Times New Roman;sans-serif" w:hAnsi="Times New Roman;sans-serif"/>
          <w:b w:val="false"/>
          <w:i/>
          <w:color w:val="000000"/>
          <w:sz w:val="16"/>
        </w:rPr>
      </w:pPr>
      <w:r>
        <w:rPr>
          <w:rFonts w:ascii="Times New Roman;sans-serif" w:hAnsi="Times New Roman;sans-serif"/>
          <w:b w:val="false"/>
          <w:i/>
          <w:color w:val="000000"/>
          <w:sz w:val="16"/>
        </w:rPr>
        <w:t>Note: Results may not be additive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FINANCIAL CONDITION, CAPITAL RESOURCES, AND LIQUIDITY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ongoing cash needs are primarily for working capital,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months. However, these sources of liquidity may be affected by events described in the “Forward-Looking Statements” section of this Form 10-Q, including, but not limited to, our risk factors discussed under the heading “Risk Factors” in our most recently filed Annual Report on Form 10-K and in other reports filed with the Securities and Exchange Commission from time to time.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under the heading “Recent Developments” in this Quarterly Report on Form 10-Q and in our most recently filed Annual Report on Form 10-K, we expect inflationary pressures and declining consumer sentiment to continue and to adversely impact our financial results in fiscal 2023. We cannot predict the timing and amount of such impact.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approximately $174.5 million of cash and cash equivalents held at major financial institutions, including approximately $49.4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Net accounts receivable at July 1, 2023 were $132.7 million compared to $183.9 million at July 2, 2022 and $198.6 million at December 31, 2022. The overall decrease of $51.2 million, or 27.9%, at July 1, 2023 compared to July 2, 2022 primarily reflects decreased net sales and the timing of wholesale customer shipments and associated payments. Due to the seasonal nature of our operations, the net accounts receivable balance at July 1, 2023 is not comparable to the net accounts receivable balance at December 31, 2022.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July 1, 2023 were $681.6 million compared to $858.3 million at July 2, 2022 and $744.6 million at December 31, 2022. The decrease of $176.7 million, or 20.6%, at July 1, 2023 compared to July 2, 2022 was primarily due to decreased in-transit inventory and lower forecasted net sales for fiscal 2023, partially offset by increased product costs. Due to the seasonal nature of our operations, the inventory balance at July 1, 2023 is not comparable to the inventories balance at December 31, 2022.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at July 1, 2023 were $281.3 million compared to $408.0 million at July 2, 2022 and $264.1 million at December 31, 2022. The decrease of $126.7 million, or 31.0%, at July 1, 2023 compared to July 2, 2022 was primarily due to the timing of working capital payments. Due to the seasonal nature of our operations, the accounts payable balance at July 1, 2023 is not comparable to the accounts payable balance at December 31, 2022.</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Cash Flow</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Net Cash Provided by (Used in) Operating Activities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$209.2 million for the first two quarters of fiscal 2023 compared to net cash used in operating activities of $93.6 million in the first two quarters of fiscal 2022. Our cash flow provided by operating activities is driven by net income and changes in our working capital. The increase in operating cash flow was primarily due to favorable changes in working capital, including the reductions in inventories, and lower payments of performance-based compensation, partially offset by decreased net income.</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$26.4 million for the first two quarters of fiscal 2023 compared to $16.3 million in the first two quarters of fiscal 2022. The increase in net cash used in investing activities was primarily due to increased capital expenditures. Capital expenditures in the first two quarters of fiscal 2023 primarily included $17.9 million for U.S and international retail store openings and remodels, $5.2 million for information technology, and $2.8 million for our distribution facilities.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invest approximately $75.0 million in capital expenditures in fiscal 2023, which primarily relates to U.S. and international retail store openings and remodels, investments in our distribution facilities, and strategic information technology initiatives.</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$221.3 million in the first two quarters of fiscal 2023 compared to $641.6 million in the first two quarters of fiscal 2022. This change in cash flow from financing activities was primarily due to the early extinguishment of our $500 million in aggregate principal amount of 5.500% senior notes due May 2025 in the second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of fiscal 2022 and decreased common stock share repurchases, partially offset by payments on our secured revolving credit facility.</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Secured Revolving Credit Facility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no outstanding borrowings under our secured revolving credit facility, exclusive of $4.4 million of outstanding letters of credit. As of July 1, 2023, there was approximately $845.6 million available for future borrowing. Any outstanding borrowings under our secured revolving 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interest rate margins applicable to the secured revolving credit facility were 1.125% for adjusted term SOFR rate loans and 0.125% for base rate loans. As of July 1, 2023, the applicable borrowing rate for the secured revolving credit facility was approximately 6.37%, consisting of an adjusted term SOFR rate plus the applicable margin. As of July 1, 2023, the Company was in compliance with the financial and other covenants under the secured revolving credit facility.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and subsequent to the second quarter of fiscal 2023, we borrowed $35.0 million on our secured revolving credit facility to support our working capital requirements.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1, 2023, the Company had outstanding $500.0 million principal amount of senior notes, bearing interest at a rate of 5.625% per annum, and scheduled to mature on March 15, 2027. On our condensed consolidated balance sheets, the $500.0 million of outstanding senior notes as of July 1, 2023 is reported net of $3.0 million of unamortized issuance-related debt costs.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two quarters of fiscal 2023, we repurchased and retired 585,354 shares in open market transactions for approximately $39.9 million, at an average price of $68.20 per share. In the first two quarters of fiscal 2022, we repurchased and retired 2,065,362 shares in open market transactions for approximately $176.3 million, at an average price of $85.36 per share.</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total remaining capacity under outstanding repurchase authorizations as of July 1, 2023 was approximately $709.6 million, based on settled repurchase transactions. The share repurchase authorizations have no expiration dates.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and other factors.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each of the first two quarters of fiscal 2023, the Board of Directors declared, and the Company paid, a cash dividend per common share of $0.75 (for an aggregate cash dividend per common share of $1.50 for the first two quarters of fiscal 2023). Additionally, in each of the first two quarters of fiscal 2022, the Board of Directors declared, and the Company paid, a cash dividend per common share of $0.75 (for an aggregate cash dividend per common share of $1.50 for the first two quarters of fiscal 2022).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will evaluate future dividend declarations based on a number of factors, including restrictions under the Company’s secured revolving credit facility, business conditions, the Company’s financial performance, and other considerations.</w:t>
      </w:r>
    </w:p>
    <w:p>
      <w:pPr>
        <w:pStyle w:val="TextBody"/>
        <w:bidi w:val="0"/>
        <w:spacing w:lineRule="auto" w:line="288" w:before="0" w:after="200"/>
        <w:jc w:val="left"/>
        <w:rPr/>
      </w:pPr>
      <w:r>
        <w:rPr>
          <w:rFonts w:ascii="Times New Roman;sans-serif" w:hAnsi="Times New Roman;sans-serif"/>
          <w:b w:val="false"/>
          <w:color w:val="000000"/>
          <w:sz w:val="20"/>
        </w:rPr>
        <w:t xml:space="preserve">Provisions in our secured revolving credit facility could have the effect of restricting our ability to pay cash dividends on, or make future repurchases of, our common stock, as further described in Note 6,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under the heading “Critical Accounting Policies and Estimates” in Item 7 of our most recent Annual Report on Form 10-K for the 2022 fiscal year ended December 31, 2022.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Currency and Interest Rate Risks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 the operation of our business, we have market risk exposures including those related to foreign currency risk and interest rates. These risks, and our strategies to manage our exposure to them, are discussed below.</w:t>
      </w:r>
    </w:p>
    <w:p>
      <w:pPr>
        <w:pStyle w:val="TextBody"/>
        <w:bidi w:val="0"/>
        <w:spacing w:lineRule="auto" w:line="288" w:before="0" w:after="100"/>
        <w:jc w:val="left"/>
        <w:rPr>
          <w:rFonts w:ascii="Times New Roman;sans-serif" w:hAnsi="Times New Roman;sans-serif"/>
          <w:b/>
          <w:i/>
          <w:color w:val="000000"/>
          <w:sz w:val="20"/>
        </w:rPr>
      </w:pPr>
      <w:r>
        <w:rPr>
          <w:rFonts w:ascii="Times New Roman;sans-serif" w:hAnsi="Times New Roman;sans-serif"/>
          <w:b/>
          <w:i/>
          <w:color w:val="000000"/>
          <w:sz w:val="20"/>
        </w:rPr>
        <w:t>Currency Risk</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 </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typically record sales denominated in currencies other than the U.S. dollar, which are then translated into U.S. dollars using weighted-average exchange rates. Changes in foreign currency exchange rates used for translation in the second quarter of fiscal 2023, as compared to the second quarter of fiscal 2022, had an unfavorable effect on our consolidated net sales of approximately $1.2 million. Changes in foreign currency exchange rates used for translation in the first two quarters of fiscal 2023, as compared to the first two quarters of fiscal 2022, had an unfavorable effect on our consolidated net sales of approximately $3.3 million.</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pStyle w:val="TextBody"/>
        <w:bidi w:val="0"/>
        <w:spacing w:lineRule="auto" w:line="288" w:before="0" w:after="10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subject to risk from interest rate fluctuations on our secured revolving credit facility, which carries variable interest rates. As of July 1, 2023, there were no variable rate borrowings outstanding under the secured revolving credit facility. As a result, the impact of a hypothetical 100 bps increase in the effective interest rate would not result in a material amount of additional interest expense over a 12-month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Other Risks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purchase order commitments with our suppliers. We generally can cancel these arrangements, although in some instances we may be subject to a termination charge reflecting a percentage of work performed prior to cancellation.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0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July 1, 2023.</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executive officer and principal financial officer also conducted an evaluation of the Company’s internal control over financial reporting (“Internal Control”) to determine whether any changes in Internal Control occurred during the fiscal quarter ended July 1, 2023 that have materially affected, or which are reasonably likely to materially affect, Internal Control.</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that materially affected, or were likely to materially affect, such control over financial reporting during the fiscal quarter ended July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described in our Form 10-K for the 2022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share repurchases during the second quarter of fiscal 2023:</w:t>
      </w:r>
    </w:p>
    <w:tbl>
      <w:tblPr>
        <w:tblW w:w="10205" w:type="dxa"/>
        <w:jc w:val="center"/>
        <w:tblInd w:w="0" w:type="dxa"/>
        <w:tblLayout w:type="fixed"/>
        <w:tblCellMar>
          <w:top w:w="28" w:type="dxa"/>
          <w:left w:w="28" w:type="dxa"/>
          <w:bottom w:w="28" w:type="dxa"/>
          <w:right w:w="28" w:type="dxa"/>
        </w:tblCellMar>
      </w:tblPr>
      <w:tblGrid>
        <w:gridCol w:w="416"/>
        <w:gridCol w:w="367"/>
        <w:gridCol w:w="370"/>
        <w:gridCol w:w="109"/>
        <w:gridCol w:w="109"/>
        <w:gridCol w:w="109"/>
        <w:gridCol w:w="539"/>
        <w:gridCol w:w="465"/>
        <w:gridCol w:w="466"/>
        <w:gridCol w:w="109"/>
        <w:gridCol w:w="109"/>
        <w:gridCol w:w="109"/>
        <w:gridCol w:w="277"/>
        <w:gridCol w:w="786"/>
        <w:gridCol w:w="154"/>
        <w:gridCol w:w="109"/>
        <w:gridCol w:w="109"/>
        <w:gridCol w:w="109"/>
        <w:gridCol w:w="823"/>
        <w:gridCol w:w="748"/>
        <w:gridCol w:w="750"/>
        <w:gridCol w:w="109"/>
        <w:gridCol w:w="109"/>
        <w:gridCol w:w="109"/>
        <w:gridCol w:w="381"/>
        <w:gridCol w:w="2048"/>
        <w:gridCol w:w="307"/>
      </w:tblGrid>
      <w:tr>
        <w:trPr/>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76" w:before="0" w:after="6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8"/>
              </w:rPr>
              <w:t>Total number of shares purchased as part of publicly announced plans or programs</w:t>
            </w:r>
            <w:r>
              <w:rPr>
                <w:rFonts w:ascii="Times New Roman;sans-serif" w:hAnsi="Times New Roman;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18"/>
              </w:rPr>
              <w:t>Approximate dollar value of shares that may yet be purchased under the plans or programs</w:t>
            </w:r>
            <w:r>
              <w:rPr>
                <w:rFonts w:ascii="Times New Roman;sans-serif" w:hAnsi="Times New Roman;sans-serif"/>
                <w:b/>
                <w:color w:val="000000"/>
                <w:sz w:val="12"/>
              </w:rPr>
              <w:t>(4)</w:t>
            </w:r>
          </w:p>
        </w:tc>
      </w:tr>
      <w:tr>
        <w:trPr/>
        <w:tc>
          <w:tcPr>
            <w:tcW w:w="115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 2023 through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145,931 </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145,931 </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729,674,333 </w:t>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30, 2023 through May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111,188 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110,256 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722,324,855 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28, 2023 through 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193,294 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193,294 </w:t>
            </w:r>
          </w:p>
        </w:tc>
        <w:tc>
          <w:tcPr>
            <w:tcW w:w="7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709,603,816 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450,413 </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449,481 </w:t>
            </w:r>
          </w:p>
        </w:tc>
        <w:tc>
          <w:tcPr>
            <w:tcW w:w="7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shares of our common stock surrendered by our employees to satisfy required tax withholding upon the vesting of restricted stock awards. There were 932 shares surrendered between April 30, 2023 and May 27, 2023.</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average price paid per share excludes excise tax on share repurchases imposed as part of the Inflation Reduction Act of 2022.</w:t>
      </w:r>
    </w:p>
    <w:p>
      <w:pPr>
        <w:pStyle w:val="TextBody"/>
        <w:bidi w:val="0"/>
        <w:spacing w:lineRule="auto" w:line="288" w:before="0" w:after="6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(3)Share purchases during the second quarter of fiscal 2023 were made in compliance with all applicable rules and regulations and in accordance with the share repurchase authorizations described in Note 5, Common Stock, to our accompanying unaudited condensed consolidated financial statements included in Part I. Item 1 of this Quarterly Report on Form 10-Q.</w:t>
      </w:r>
    </w:p>
    <w:p>
      <w:pPr>
        <w:pStyle w:val="TextBody"/>
        <w:bidi w:val="0"/>
        <w:spacing w:lineRule="auto" w:line="288" w:before="0" w:after="20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(4)Under share repurchase authorizations approved by our Board of Directors. The share repurchase authorizations have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July 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left"/>
        <w:rPr/>
      </w:pPr>
      <w:r>
        <w:rPr>
          <w:rFonts w:ascii="Times New Roman;sans-serif" w:hAnsi="Times New Roman;sans-serif"/>
          <w:b/>
          <w:color w:val="000000"/>
          <w:sz w:val="20"/>
        </w:rPr>
        <w:t>ITEM 6. EXHIBITS</w:t>
      </w:r>
      <w:r>
        <w:rPr>
          <w:color w:val="000000"/>
        </w:rPr>
        <w:t xml:space="preserve"> </w:t>
      </w:r>
    </w:p>
    <w:tbl>
      <w:tblPr>
        <w:tblW w:w="3343" w:type="dxa"/>
        <w:jc w:val="left"/>
        <w:tblInd w:w="0" w:type="dxa"/>
        <w:tblLayout w:type="fixed"/>
        <w:tblCellMar>
          <w:top w:w="28" w:type="dxa"/>
          <w:left w:w="28" w:type="dxa"/>
          <w:bottom w:w="28" w:type="dxa"/>
          <w:right w:w="28" w:type="dxa"/>
        </w:tblCellMar>
      </w:tblPr>
      <w:tblGrid>
        <w:gridCol w:w="499"/>
        <w:gridCol w:w="439"/>
        <w:gridCol w:w="441"/>
        <w:gridCol w:w="574"/>
        <w:gridCol w:w="574"/>
        <w:gridCol w:w="81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Exhibit Number</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Description of Exhibits </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90"/>
        <w:gridCol w:w="519"/>
        <w:gridCol w:w="532"/>
        <w:gridCol w:w="2505"/>
        <w:gridCol w:w="2505"/>
        <w:gridCol w:w="3554"/>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Certificate of Incorporation of Carter’s, Inc., as amended on May 22, 2017 (incorporated by reference to Exhibit 3.1 of Carter’s, Inc.’s Current Report on Form 8-K filed on May 23, 2017).</w:t>
              </w:r>
            </w:hyperlink>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Amended and Restated By-Laws of Carter’s, Inc. (incorporated by reference to Exhibit 3.2 of Carter's, Inc.’s Current Report on Form 8-K filed on May 23, 2017).</w:t>
              </w:r>
            </w:hyperlink>
            <w:r>
              <w:rPr>
                <w:color w:val="000000"/>
              </w:rPr>
              <w:t xml:space="preserve"> </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ri-20230701exh311.htm">
              <w:r>
                <w:rPr>
                  <w:rStyle w:val="InternetLink"/>
                  <w:rFonts w:ascii="Times New Roman;sans-serif" w:hAnsi="Times New Roman;sans-serif"/>
                  <w:b w:val="false"/>
                  <w:color w:val="0000FF"/>
                  <w:sz w:val="18"/>
                  <w:u w:val="single"/>
                </w:rPr>
                <w:t>Rule 13a-15(e)/15d-15(e) and 13a-15(f)/15d-15(f) Certification.</w:t>
              </w:r>
            </w:hyperlink>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ri-20230701exh312.htm">
              <w:r>
                <w:rPr>
                  <w:rStyle w:val="InternetLink"/>
                  <w:rFonts w:ascii="Times New Roman;sans-serif" w:hAnsi="Times New Roman;sans-serif"/>
                  <w:b w:val="false"/>
                  <w:color w:val="0000FF"/>
                  <w:sz w:val="18"/>
                  <w:u w:val="single"/>
                </w:rPr>
                <w:t>Rule 13a-15(e)/15d-15(e) and 13a-15(f)/15d-15(f) Certification.</w:t>
              </w:r>
            </w:hyperlink>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ri-20230701exh320.htm">
              <w:r>
                <w:rPr>
                  <w:rStyle w:val="InternetLink"/>
                  <w:rFonts w:ascii="Times New Roman;sans-serif" w:hAnsi="Times New Roman;sans-serif"/>
                  <w:b w:val="false"/>
                  <w:color w:val="0000FF"/>
                  <w:sz w:val="18"/>
                  <w:u w:val="single"/>
                </w:rPr>
                <w:t>Section 1350 Certification.</w:t>
              </w:r>
            </w:hyperlink>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 (101).INS</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instant document does not appear in the Interactive Data File because its XBRL tags are embedded within the Inline XBRL document</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 (101).SCH</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 (101).CAL</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 (101).DEF</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 (101).LAB</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Exhibit No. (101).PRE</w:t>
            </w:r>
          </w:p>
        </w:tc>
        <w:tc>
          <w:tcPr>
            <w:tcW w:w="8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No. 104</w:t>
            </w:r>
          </w:p>
        </w:tc>
        <w:tc>
          <w:tcPr>
            <w:tcW w:w="8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this Current Report on Form 10-Q formatted as Inline XBRL</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20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CARTER’S, INC.</w:t>
      </w:r>
    </w:p>
    <w:p>
      <w:pPr>
        <w:pStyle w:val="TextBody"/>
        <w:bidi w:val="0"/>
        <w:spacing w:before="0" w:after="200"/>
        <w:jc w:val="center"/>
        <w:rPr/>
      </w:pPr>
      <w:r>
        <w:rPr/>
      </w:r>
    </w:p>
    <w:tbl>
      <w:tblPr>
        <w:tblW w:w="3268" w:type="dxa"/>
        <w:jc w:val="center"/>
        <w:tblInd w:w="0" w:type="dxa"/>
        <w:tblLayout w:type="fixed"/>
        <w:tblCellMar>
          <w:top w:w="28" w:type="dxa"/>
          <w:left w:w="28" w:type="dxa"/>
          <w:bottom w:w="28" w:type="dxa"/>
          <w:right w:w="28" w:type="dxa"/>
        </w:tblCellMar>
      </w:tblPr>
      <w:tblGrid>
        <w:gridCol w:w="395"/>
        <w:gridCol w:w="348"/>
        <w:gridCol w:w="351"/>
        <w:gridCol w:w="636"/>
        <w:gridCol w:w="636"/>
        <w:gridCol w:w="902"/>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28, 2023</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MICHAEL D. CASEY</w:t>
            </w:r>
          </w:p>
        </w:tc>
      </w:tr>
      <w:tr>
        <w:trPr/>
        <w:tc>
          <w:tcPr>
            <w:tcW w:w="1094"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Michael D. Casey</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bidi w:val="0"/>
        <w:spacing w:before="0" w:after="200"/>
        <w:jc w:val="center"/>
        <w:rPr/>
      </w:pPr>
      <w:r>
        <w:rPr/>
      </w:r>
    </w:p>
    <w:p>
      <w:pPr>
        <w:pStyle w:val="TextBody"/>
        <w:bidi w:val="0"/>
        <w:spacing w:before="0" w:after="200"/>
        <w:jc w:val="center"/>
        <w:rPr/>
      </w:pPr>
      <w:r>
        <w:rPr/>
      </w:r>
    </w:p>
    <w:tbl>
      <w:tblPr>
        <w:tblW w:w="4439" w:type="dxa"/>
        <w:jc w:val="center"/>
        <w:tblInd w:w="0" w:type="dxa"/>
        <w:tblLayout w:type="fixed"/>
        <w:tblCellMar>
          <w:top w:w="28" w:type="dxa"/>
          <w:left w:w="28" w:type="dxa"/>
          <w:bottom w:w="28" w:type="dxa"/>
          <w:right w:w="28" w:type="dxa"/>
        </w:tblCellMar>
      </w:tblPr>
      <w:tblGrid>
        <w:gridCol w:w="395"/>
        <w:gridCol w:w="348"/>
        <w:gridCol w:w="351"/>
        <w:gridCol w:w="978"/>
        <w:gridCol w:w="978"/>
        <w:gridCol w:w="1389"/>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28, 2023</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RICHARD F. WESTENBERGER</w:t>
            </w:r>
          </w:p>
        </w:tc>
      </w:tr>
      <w:tr>
        <w:trPr/>
        <w:tc>
          <w:tcPr>
            <w:tcW w:w="1094"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Richard F. Westenberger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and</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and Accounting Officer)</w:t>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140" w:after="1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D. Casey, certify that: </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Carter’s, Inc.; </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140"/>
        <w:jc w:val="left"/>
        <w:rPr/>
      </w:pPr>
      <w:r>
        <w:rPr/>
      </w:r>
    </w:p>
    <w:tbl>
      <w:tblPr>
        <w:tblW w:w="3404" w:type="dxa"/>
        <w:jc w:val="center"/>
        <w:tblInd w:w="0" w:type="dxa"/>
        <w:tblLayout w:type="fixed"/>
        <w:tblCellMar>
          <w:top w:w="28" w:type="dxa"/>
          <w:left w:w="28" w:type="dxa"/>
          <w:bottom w:w="28" w:type="dxa"/>
          <w:right w:w="28" w:type="dxa"/>
        </w:tblCellMar>
      </w:tblPr>
      <w:tblGrid>
        <w:gridCol w:w="443"/>
        <w:gridCol w:w="390"/>
        <w:gridCol w:w="396"/>
        <w:gridCol w:w="636"/>
        <w:gridCol w:w="636"/>
        <w:gridCol w:w="903"/>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2023</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CASEY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D. Casey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14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140" w:after="14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Richard F. Westenberger, certify that: </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Carter’s, Inc.; </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1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40" w:after="1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140"/>
        <w:jc w:val="left"/>
        <w:rPr/>
      </w:pPr>
      <w:r>
        <w:rPr/>
      </w:r>
    </w:p>
    <w:tbl>
      <w:tblPr>
        <w:tblW w:w="4289" w:type="dxa"/>
        <w:jc w:val="center"/>
        <w:tblInd w:w="0" w:type="dxa"/>
        <w:tblLayout w:type="fixed"/>
        <w:tblCellMar>
          <w:top w:w="28" w:type="dxa"/>
          <w:left w:w="28" w:type="dxa"/>
          <w:bottom w:w="28" w:type="dxa"/>
          <w:right w:w="28" w:type="dxa"/>
        </w:tblCellMar>
      </w:tblPr>
      <w:tblGrid>
        <w:gridCol w:w="443"/>
        <w:gridCol w:w="390"/>
        <w:gridCol w:w="396"/>
        <w:gridCol w:w="896"/>
        <w:gridCol w:w="896"/>
        <w:gridCol w:w="126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2023</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F. WESTENBERGER</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F. Westenberger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14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Each of the undersigned in the capacity indicated hereby certifies that, to his knowledge, this Report on Form 10-Q for the fiscal quarter ended July 1, 2023 fully complies with the requirements of Section 13(a) or 15(d) of the Securities Exchange Act of 1934, and the information contained in this Report fairly presents, in all material respects, the financial condition and results of operations of Carter’s, Inc. </w:t>
      </w:r>
    </w:p>
    <w:p>
      <w:pPr>
        <w:pStyle w:val="TextBody"/>
        <w:bidi w:val="0"/>
        <w:spacing w:before="0" w:after="0"/>
        <w:jc w:val="left"/>
        <w:rPr/>
      </w:pPr>
      <w:r>
        <w:rPr/>
      </w:r>
    </w:p>
    <w:p>
      <w:pPr>
        <w:pStyle w:val="TextBody"/>
        <w:bidi w:val="0"/>
        <w:spacing w:before="0" w:after="0"/>
        <w:jc w:val="left"/>
        <w:rPr/>
      </w:pPr>
      <w:r>
        <w:rPr/>
      </w:r>
    </w:p>
    <w:tbl>
      <w:tblPr>
        <w:tblW w:w="3404" w:type="dxa"/>
        <w:jc w:val="center"/>
        <w:tblInd w:w="0" w:type="dxa"/>
        <w:tblLayout w:type="fixed"/>
        <w:tblCellMar>
          <w:top w:w="28" w:type="dxa"/>
          <w:left w:w="28" w:type="dxa"/>
          <w:bottom w:w="28" w:type="dxa"/>
          <w:right w:w="28" w:type="dxa"/>
        </w:tblCellMar>
      </w:tblPr>
      <w:tblGrid>
        <w:gridCol w:w="443"/>
        <w:gridCol w:w="390"/>
        <w:gridCol w:w="396"/>
        <w:gridCol w:w="636"/>
        <w:gridCol w:w="636"/>
        <w:gridCol w:w="903"/>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2023</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CASEY</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D. Casey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4289" w:type="dxa"/>
        <w:jc w:val="center"/>
        <w:tblInd w:w="0" w:type="dxa"/>
        <w:tblLayout w:type="fixed"/>
        <w:tblCellMar>
          <w:top w:w="28" w:type="dxa"/>
          <w:left w:w="28" w:type="dxa"/>
          <w:bottom w:w="28" w:type="dxa"/>
          <w:right w:w="28" w:type="dxa"/>
        </w:tblCellMar>
      </w:tblPr>
      <w:tblGrid>
        <w:gridCol w:w="443"/>
        <w:gridCol w:w="390"/>
        <w:gridCol w:w="396"/>
        <w:gridCol w:w="896"/>
        <w:gridCol w:w="896"/>
        <w:gridCol w:w="126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28, 2023</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F. WESTENBERGER</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Richard F. Westenberger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foregoing certifications are being furnished solely pursuant to 18 U.S.C. § 1350 and are not being filed as part of the Report on Form 10-Q or as a separate disclosure document.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0822/000119312517179483/d400342dex31.htm" TargetMode="External"/><Relationship Id="rId3" Type="http://schemas.openxmlformats.org/officeDocument/2006/relationships/hyperlink" Target="http://www.sec.gov/Archives/edgar/data/1060822/000119312517179483/d400342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17046</Words>
  <Characters>94987</Characters>
  <CharactersWithSpaces>110592</CharactersWithSpaces>
  <Paragraphs>2598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