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8" w:lineRule="exact"/>
        <w:rPr>
          <w:sz w:val="24"/>
          <w:szCs w:val="24"/>
          <w:color w:val="auto"/>
        </w:rPr>
      </w:pPr>
    </w:p>
    <w:p>
      <w:pPr>
        <w:jc w:val="center"/>
        <w:ind w:left="4140" w:right="1300" w:hanging="2811"/>
        <w:spacing w:after="0" w:line="307" w:lineRule="auto"/>
        <w:tabs>
          <w:tab w:leader="none" w:pos="1677"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28, 2025</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3660" w:right="1260" w:hanging="2366"/>
        <w:spacing w:after="0" w:line="249" w:lineRule="auto"/>
        <w:tabs>
          <w:tab w:leader="none" w:pos="1709"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__________to __________</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Commission file number: 001-31829</w:t>
      </w:r>
    </w:p>
    <w:p>
      <w:pPr>
        <w:spacing w:after="0" w:line="1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CARTER’S, INC.</w:t>
      </w:r>
    </w:p>
    <w:p>
      <w:pPr>
        <w:spacing w:after="0" w:line="1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053" w:right="359" w:bottom="1440" w:gutter="0" w:footer="0" w:header="0"/>
        </w:sectPr>
      </w:pPr>
    </w:p>
    <w:p>
      <w:pPr>
        <w:spacing w:after="0" w:line="160"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13-3912933</w:t>
      </w:r>
    </w:p>
    <w:p>
      <w:pPr>
        <w:spacing w:after="0" w:line="34" w:lineRule="exact"/>
        <w:rPr>
          <w:sz w:val="24"/>
          <w:szCs w:val="24"/>
          <w:color w:val="auto"/>
        </w:rPr>
      </w:pPr>
    </w:p>
    <w:p>
      <w:pPr>
        <w:sectPr>
          <w:pgSz w:w="11900" w:h="16838" w:orient="portrait"/>
          <w:cols w:equalWidth="0" w:num="2">
            <w:col w:w="7140" w:space="720"/>
            <w:col w:w="3360"/>
          </w:cols>
          <w:pgMar w:left="320" w:top="1053" w:right="35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3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16" w:lineRule="exact"/>
        <w:rPr>
          <w:sz w:val="24"/>
          <w:szCs w:val="24"/>
          <w:color w:val="auto"/>
        </w:rPr>
      </w:pPr>
    </w:p>
    <w:p>
      <w:pPr>
        <w:sectPr>
          <w:pgSz w:w="11900" w:h="16838" w:orient="portrait"/>
          <w:cols w:equalWidth="0" w:num="2">
            <w:col w:w="6360" w:space="720"/>
            <w:col w:w="4140"/>
          </w:cols>
          <w:pgMar w:left="320" w:top="1053" w:right="359" w:bottom="1440" w:gutter="0" w:footer="0" w:header="0"/>
          <w:type w:val="continuous"/>
        </w:sectPr>
      </w:pP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Phipps Tower,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3438 Peachtree Road NE, Suite 1800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Atlanta, Georgia 30326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(678) 791-1000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228"/>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CRI</w:t>
            </w: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71"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08"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p>
    <w:p>
      <w:pPr>
        <w:spacing w:after="0" w:line="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p>
    <w:p>
      <w:pPr>
        <w:spacing w:after="0" w:line="98"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0"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18, 2025, there were 36,432,176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66433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CARTER’S,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66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560" w:type="dxa"/>
            <w:vAlign w:val="bottom"/>
            <w:gridSpan w:val="5"/>
          </w:tcPr>
          <w:p>
            <w:pPr>
              <w:ind w:left="58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1</w:t>
            </w:r>
          </w:p>
        </w:tc>
        <w:tc>
          <w:tcPr>
            <w:tcW w:w="640" w:type="dxa"/>
            <w:vAlign w:val="bottom"/>
            <w:gridSpan w:val="2"/>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Financial Statements</w:t>
            </w: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Balance Sheets as of June 28, 2025, December 28, 2024 and June 29, 2024</w:t>
            </w:r>
          </w:p>
        </w:tc>
        <w:tc>
          <w:tcPr>
            <w:tcW w:w="820" w:type="dxa"/>
            <w:vAlign w:val="bottom"/>
            <w:gridSpan w:val="3"/>
          </w:tcPr>
          <w:p>
            <w:pPr>
              <w:jc w:val="center"/>
              <w:ind w:left="658"/>
              <w:spacing w:after="0" w:line="175" w:lineRule="exact"/>
              <w:rPr>
                <w:sz w:val="20"/>
                <w:szCs w:val="20"/>
                <w:color w:val="auto"/>
              </w:rPr>
            </w:pPr>
            <w:r>
              <w:rPr>
                <w:rFonts w:ascii="Times New Roman" w:cs="Times New Roman" w:eastAsia="Times New Roman" w:hAnsi="Times New Roman"/>
                <w:sz w:val="16"/>
                <w:szCs w:val="16"/>
                <w:color w:val="0000FF"/>
                <w:w w:val="99"/>
              </w:rPr>
              <w:t>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Operations for the fiscal quarter and two fiscal quarters ended June 28,</w:t>
            </w:r>
          </w:p>
        </w:tc>
        <w:tc>
          <w:tcPr>
            <w:tcW w:w="820" w:type="dxa"/>
            <w:vAlign w:val="bottom"/>
            <w:gridSpan w:val="3"/>
            <w:vMerge w:val="restart"/>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0000FF"/>
                <w:w w:val="99"/>
              </w:rPr>
              <w:t>2</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0000FF"/>
            </w:tcBorders>
            <w:gridSpan w:val="9"/>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w w:val="99"/>
              </w:rPr>
              <w:t>2025 and June 29, 2024</w:t>
            </w:r>
          </w:p>
        </w:tc>
        <w:tc>
          <w:tcPr>
            <w:tcW w:w="6340" w:type="dxa"/>
            <w:vAlign w:val="bottom"/>
            <w:tcBorders>
              <w:top w:val="single" w:sz="8" w:color="0000FF"/>
            </w:tcBorders>
            <w:gridSpan w:val="13"/>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gridSpan w:val="3"/>
            <w:vMerge w:val="continue"/>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Comprehensive Income for the fiscal quarter and two fiscal quarters</w:t>
            </w:r>
          </w:p>
        </w:tc>
        <w:tc>
          <w:tcPr>
            <w:tcW w:w="820" w:type="dxa"/>
            <w:vAlign w:val="bottom"/>
            <w:gridSpan w:val="3"/>
            <w:vMerge w:val="restart"/>
          </w:tcPr>
          <w:p>
            <w:pPr>
              <w:jc w:val="center"/>
              <w:ind w:left="658"/>
              <w:spacing w:after="0"/>
              <w:rPr>
                <w:sz w:val="20"/>
                <w:szCs w:val="20"/>
                <w:color w:val="auto"/>
              </w:rPr>
            </w:pPr>
            <w:r>
              <w:rPr>
                <w:rFonts w:ascii="Times New Roman" w:cs="Times New Roman" w:eastAsia="Times New Roman" w:hAnsi="Times New Roman"/>
                <w:sz w:val="16"/>
                <w:szCs w:val="16"/>
                <w:color w:val="0000FF"/>
                <w:w w:val="99"/>
              </w:rPr>
              <w:t>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700" w:type="dxa"/>
            <w:vAlign w:val="bottom"/>
            <w:tcBorders>
              <w:top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6"/>
                <w:szCs w:val="16"/>
                <w:color w:val="0000FF"/>
              </w:rPr>
              <w:t>ended June 28, 2025 and June 29, 2024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Changes in Shareholders’ Equity for the fiscal quarters ended June 28,</w:t>
            </w:r>
          </w:p>
        </w:tc>
        <w:tc>
          <w:tcPr>
            <w:tcW w:w="820" w:type="dxa"/>
            <w:vAlign w:val="bottom"/>
            <w:gridSpan w:val="3"/>
            <w:vMerge w:val="restart"/>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3800" w:type="dxa"/>
            <w:vAlign w:val="bottom"/>
            <w:tcBorders>
              <w:top w:val="single" w:sz="8" w:color="0000FF"/>
            </w:tcBorders>
            <w:gridSpan w:val="13"/>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2025, March 29, 2025, June 29, 2024, and March 30, 2024</w:t>
            </w:r>
          </w:p>
        </w:tc>
        <w:tc>
          <w:tcPr>
            <w:tcW w:w="4060" w:type="dxa"/>
            <w:vAlign w:val="bottom"/>
            <w:tcBorders>
              <w:top w:val="single" w:sz="8" w:color="0000FF"/>
            </w:tcBorders>
            <w:gridSpan w:val="8"/>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820" w:type="dxa"/>
            <w:vAlign w:val="bottom"/>
            <w:tcBorders>
              <w:top w:val="single" w:sz="8" w:color="CCEEFF"/>
            </w:tcBorders>
            <w:gridSpan w:val="3"/>
            <w:vMerge w:val="continue"/>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Cash Flows for the two fiscal quarters ended June 28, 2025 and June</w:t>
            </w:r>
          </w:p>
        </w:tc>
        <w:tc>
          <w:tcPr>
            <w:tcW w:w="820" w:type="dxa"/>
            <w:vAlign w:val="bottom"/>
            <w:gridSpan w:val="3"/>
            <w:vMerge w:val="restart"/>
          </w:tcPr>
          <w:p>
            <w:pPr>
              <w:jc w:val="center"/>
              <w:ind w:left="658"/>
              <w:spacing w:after="0"/>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29, 2024</w:t>
            </w:r>
          </w:p>
        </w:tc>
        <w:tc>
          <w:tcPr>
            <w:tcW w:w="20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Notes to the Unaudited Condensed Consolidated Financial Statements</w:t>
            </w:r>
          </w:p>
        </w:tc>
        <w:tc>
          <w:tcPr>
            <w:tcW w:w="820" w:type="dxa"/>
            <w:vAlign w:val="bottom"/>
            <w:gridSpan w:val="3"/>
            <w:shd w:val="clear" w:color="auto" w:fill="CCEEFF"/>
          </w:tcPr>
          <w:p>
            <w:pPr>
              <w:jc w:val="center"/>
              <w:ind w:left="658"/>
              <w:spacing w:after="0" w:line="175" w:lineRule="exact"/>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80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3</w:t>
            </w:r>
          </w:p>
        </w:tc>
        <w:tc>
          <w:tcPr>
            <w:tcW w:w="640" w:type="dxa"/>
            <w:vAlign w:val="bottom"/>
            <w:gridSpan w:val="2"/>
            <w:shd w:val="clear" w:color="auto" w:fill="CCEEFF"/>
          </w:tcPr>
          <w:p>
            <w:pPr>
              <w:spacing w:after="0"/>
              <w:rPr>
                <w:sz w:val="15"/>
                <w:szCs w:val="15"/>
                <w:color w:val="auto"/>
              </w:rPr>
            </w:pPr>
          </w:p>
        </w:tc>
        <w:tc>
          <w:tcPr>
            <w:tcW w:w="3880" w:type="dxa"/>
            <w:vAlign w:val="bottom"/>
            <w:gridSpan w:val="1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4120" w:type="dxa"/>
            <w:vAlign w:val="bottom"/>
            <w:gridSpan w:val="9"/>
            <w:shd w:val="clear" w:color="auto" w:fill="CCEEFF"/>
          </w:tcPr>
          <w:p>
            <w:pPr>
              <w:spacing w:after="0"/>
              <w:rPr>
                <w:sz w:val="15"/>
                <w:szCs w:val="15"/>
                <w:color w:val="auto"/>
              </w:rPr>
            </w:pP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33</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w w:val="96"/>
              </w:rPr>
              <w:t>Item 4</w:t>
            </w:r>
          </w:p>
        </w:tc>
        <w:tc>
          <w:tcPr>
            <w:tcW w:w="640" w:type="dxa"/>
            <w:vAlign w:val="bottom"/>
            <w:gridSpan w:val="2"/>
          </w:tcPr>
          <w:p>
            <w:pPr>
              <w:spacing w:after="0"/>
              <w:rPr>
                <w:sz w:val="15"/>
                <w:szCs w:val="15"/>
                <w:color w:val="auto"/>
              </w:rPr>
            </w:pPr>
          </w:p>
        </w:tc>
        <w:tc>
          <w:tcPr>
            <w:tcW w:w="3880" w:type="dxa"/>
            <w:vAlign w:val="bottom"/>
            <w:gridSpan w:val="14"/>
          </w:tcPr>
          <w:p>
            <w:pPr>
              <w:spacing w:after="0" w:line="175" w:lineRule="exact"/>
              <w:rPr>
                <w:sz w:val="20"/>
                <w:szCs w:val="20"/>
                <w:color w:val="auto"/>
              </w:rPr>
            </w:pPr>
            <w:r>
              <w:rPr>
                <w:rFonts w:ascii="Times New Roman" w:cs="Times New Roman" w:eastAsia="Times New Roman" w:hAnsi="Times New Roman"/>
                <w:sz w:val="16"/>
                <w:szCs w:val="16"/>
                <w:color w:val="0000FF"/>
              </w:rPr>
              <w:t>Controls and Procedures</w:t>
            </w:r>
          </w:p>
        </w:tc>
        <w:tc>
          <w:tcPr>
            <w:tcW w:w="4120" w:type="dxa"/>
            <w:vAlign w:val="bottom"/>
            <w:gridSpan w:val="9"/>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33</w:t>
            </w:r>
          </w:p>
        </w:tc>
        <w:tc>
          <w:tcPr>
            <w:tcW w:w="0" w:type="dxa"/>
            <w:vAlign w:val="bottom"/>
          </w:tcPr>
          <w:p>
            <w:pPr>
              <w:spacing w:after="0"/>
              <w:rPr>
                <w:sz w:val="1"/>
                <w:szCs w:val="1"/>
                <w:color w:val="auto"/>
              </w:rPr>
            </w:pPr>
          </w:p>
        </w:tc>
      </w:tr>
      <w:tr>
        <w:trPr>
          <w:trHeight w:val="54"/>
        </w:trPr>
        <w:tc>
          <w:tcPr>
            <w:tcW w:w="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2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400" w:type="dxa"/>
            <w:vAlign w:val="bottom"/>
            <w:tcBorders>
              <w:top w:val="single" w:sz="8" w:color="0000FF"/>
              <w:bottom w:val="single" w:sz="8" w:color="CCEEFF"/>
            </w:tcBorders>
          </w:tcPr>
          <w:p>
            <w:pPr>
              <w:spacing w:after="0"/>
              <w:rPr>
                <w:sz w:val="4"/>
                <w:szCs w:val="4"/>
                <w:color w:val="auto"/>
              </w:rPr>
            </w:pPr>
          </w:p>
        </w:tc>
        <w:tc>
          <w:tcPr>
            <w:tcW w:w="140" w:type="dxa"/>
            <w:vAlign w:val="bottom"/>
            <w:tcBorders>
              <w:top w:val="single" w:sz="8" w:color="0000FF"/>
              <w:bottom w:val="single" w:sz="8" w:color="CCEEFF"/>
            </w:tcBorders>
          </w:tcPr>
          <w:p>
            <w:pPr>
              <w:spacing w:after="0"/>
              <w:rPr>
                <w:sz w:val="4"/>
                <w:szCs w:val="4"/>
                <w:color w:val="auto"/>
              </w:rPr>
            </w:pPr>
          </w:p>
        </w:tc>
        <w:tc>
          <w:tcPr>
            <w:tcW w:w="20" w:type="dxa"/>
            <w:vAlign w:val="bottom"/>
            <w:tcBorders>
              <w:top w:val="single" w:sz="8" w:color="0000FF"/>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380" w:type="dxa"/>
            <w:vAlign w:val="bottom"/>
            <w:tcBorders>
              <w:top w:val="single" w:sz="8" w:color="0000FF"/>
              <w:bottom w:val="single" w:sz="8" w:color="CCEEFF"/>
            </w:tcBorders>
          </w:tcPr>
          <w:p>
            <w:pPr>
              <w:spacing w:after="0"/>
              <w:rPr>
                <w:sz w:val="4"/>
                <w:szCs w:val="4"/>
                <w:color w:val="auto"/>
              </w:rPr>
            </w:pPr>
          </w:p>
        </w:tc>
        <w:tc>
          <w:tcPr>
            <w:tcW w:w="20" w:type="dxa"/>
            <w:vAlign w:val="bottom"/>
            <w:tcBorders>
              <w:top w:val="single" w:sz="8" w:color="0000FF"/>
              <w:bottom w:val="single" w:sz="8" w:color="CCEEFF"/>
            </w:tcBorders>
          </w:tcPr>
          <w:p>
            <w:pPr>
              <w:spacing w:after="0"/>
              <w:rPr>
                <w:sz w:val="4"/>
                <w:szCs w:val="4"/>
                <w:color w:val="auto"/>
              </w:rPr>
            </w:pPr>
          </w:p>
        </w:tc>
        <w:tc>
          <w:tcPr>
            <w:tcW w:w="14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80" w:type="dxa"/>
            <w:vAlign w:val="bottom"/>
            <w:tcBorders>
              <w:top w:val="single" w:sz="8" w:color="0000FF"/>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0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520" w:type="dxa"/>
            <w:vAlign w:val="bottom"/>
            <w:tcBorders>
              <w:top w:val="single" w:sz="8" w:color="0000FF"/>
            </w:tcBorders>
          </w:tcPr>
          <w:p>
            <w:pPr>
              <w:spacing w:after="0"/>
              <w:rPr>
                <w:sz w:val="6"/>
                <w:szCs w:val="6"/>
                <w:color w:val="auto"/>
              </w:rPr>
            </w:pPr>
          </w:p>
        </w:tc>
        <w:tc>
          <w:tcPr>
            <w:tcW w:w="400" w:type="dxa"/>
            <w:vAlign w:val="bottom"/>
            <w:tcBorders>
              <w:top w:val="single" w:sz="8" w:color="0000FF"/>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1</w:t>
            </w:r>
          </w:p>
        </w:tc>
        <w:tc>
          <w:tcPr>
            <w:tcW w:w="640" w:type="dxa"/>
            <w:vAlign w:val="bottom"/>
            <w:gridSpan w:val="2"/>
            <w:shd w:val="clear" w:color="auto" w:fill="CCEEFF"/>
          </w:tcPr>
          <w:p>
            <w:pPr>
              <w:spacing w:after="0"/>
              <w:rPr>
                <w:sz w:val="15"/>
                <w:szCs w:val="15"/>
                <w:color w:val="auto"/>
              </w:rPr>
            </w:pPr>
          </w:p>
        </w:tc>
        <w:tc>
          <w:tcPr>
            <w:tcW w:w="1200" w:type="dxa"/>
            <w:vAlign w:val="bottom"/>
            <w:gridSpan w:val="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Legal Proceedings</w:t>
            </w:r>
          </w:p>
        </w:tc>
        <w:tc>
          <w:tcPr>
            <w:tcW w:w="6800" w:type="dxa"/>
            <w:vAlign w:val="bottom"/>
            <w:gridSpan w:val="16"/>
            <w:shd w:val="clear" w:color="auto" w:fill="CCEEFF"/>
          </w:tcPr>
          <w:p>
            <w:pPr>
              <w:spacing w:after="0"/>
              <w:rPr>
                <w:sz w:val="15"/>
                <w:szCs w:val="15"/>
                <w:color w:val="auto"/>
              </w:rPr>
            </w:pP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FF"/>
              </w:rPr>
              <w:t>Item 1A</w:t>
            </w:r>
          </w:p>
        </w:tc>
        <w:tc>
          <w:tcPr>
            <w:tcW w:w="80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Risk Factors</w:t>
            </w: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2</w:t>
            </w:r>
          </w:p>
        </w:tc>
        <w:tc>
          <w:tcPr>
            <w:tcW w:w="640" w:type="dxa"/>
            <w:vAlign w:val="bottom"/>
            <w:gridSpan w:val="2"/>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36</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w w:val="96"/>
              </w:rPr>
              <w:t>Item 3</w:t>
            </w:r>
          </w:p>
        </w:tc>
        <w:tc>
          <w:tcPr>
            <w:tcW w:w="640" w:type="dxa"/>
            <w:vAlign w:val="bottom"/>
            <w:gridSpan w:val="2"/>
          </w:tcPr>
          <w:p>
            <w:pPr>
              <w:spacing w:after="0"/>
              <w:rPr>
                <w:sz w:val="15"/>
                <w:szCs w:val="15"/>
                <w:color w:val="auto"/>
              </w:rPr>
            </w:pPr>
          </w:p>
        </w:tc>
        <w:tc>
          <w:tcPr>
            <w:tcW w:w="3900" w:type="dxa"/>
            <w:vAlign w:val="bottom"/>
            <w:gridSpan w:val="15"/>
          </w:tcPr>
          <w:p>
            <w:pPr>
              <w:spacing w:after="0" w:line="175"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4100" w:type="dxa"/>
            <w:vAlign w:val="bottom"/>
            <w:gridSpan w:val="8"/>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4</w:t>
            </w:r>
          </w:p>
        </w:tc>
        <w:tc>
          <w:tcPr>
            <w:tcW w:w="640" w:type="dxa"/>
            <w:vAlign w:val="bottom"/>
            <w:gridSpan w:val="2"/>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Mine Safety Disclosures</w:t>
            </w: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36</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w w:val="96"/>
              </w:rPr>
              <w:t>Item 5</w:t>
            </w:r>
          </w:p>
        </w:tc>
        <w:tc>
          <w:tcPr>
            <w:tcW w:w="640" w:type="dxa"/>
            <w:vAlign w:val="bottom"/>
            <w:gridSpan w:val="2"/>
          </w:tcPr>
          <w:p>
            <w:pPr>
              <w:spacing w:after="0"/>
              <w:rPr>
                <w:sz w:val="15"/>
                <w:szCs w:val="15"/>
                <w:color w:val="auto"/>
              </w:rPr>
            </w:pPr>
          </w:p>
        </w:tc>
        <w:tc>
          <w:tcPr>
            <w:tcW w:w="1580" w:type="dxa"/>
            <w:vAlign w:val="bottom"/>
            <w:gridSpan w:val="10"/>
          </w:tcPr>
          <w:p>
            <w:pPr>
              <w:spacing w:after="0" w:line="175" w:lineRule="exact"/>
              <w:rPr>
                <w:sz w:val="20"/>
                <w:szCs w:val="20"/>
                <w:color w:val="auto"/>
              </w:rPr>
            </w:pPr>
            <w:r>
              <w:rPr>
                <w:rFonts w:ascii="Times New Roman" w:cs="Times New Roman" w:eastAsia="Times New Roman" w:hAnsi="Times New Roman"/>
                <w:sz w:val="16"/>
                <w:szCs w:val="16"/>
                <w:color w:val="0000FF"/>
              </w:rPr>
              <w:t>Other Information</w:t>
            </w:r>
          </w:p>
        </w:tc>
        <w:tc>
          <w:tcPr>
            <w:tcW w:w="6420" w:type="dxa"/>
            <w:vAlign w:val="bottom"/>
            <w:gridSpan w:val="13"/>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6</w:t>
            </w: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Exhibits</w:t>
            </w: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37</w:t>
            </w:r>
          </w:p>
        </w:tc>
        <w:tc>
          <w:tcPr>
            <w:tcW w:w="0" w:type="dxa"/>
            <w:vAlign w:val="bottom"/>
          </w:tcPr>
          <w:p>
            <w:pPr>
              <w:spacing w:after="0"/>
              <w:rPr>
                <w:sz w:val="1"/>
                <w:szCs w:val="1"/>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12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60" w:type="dxa"/>
            <w:vAlign w:val="bottom"/>
            <w:tcBorders>
              <w:top w:val="single" w:sz="8" w:color="CCEE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99"/>
              </w:rPr>
              <w:t>38</w:t>
            </w:r>
          </w:p>
        </w:tc>
        <w:tc>
          <w:tcPr>
            <w:tcW w:w="0" w:type="dxa"/>
            <w:vAlign w:val="bottom"/>
          </w:tcPr>
          <w:p>
            <w:pPr>
              <w:spacing w:after="0"/>
              <w:rPr>
                <w:sz w:val="1"/>
                <w:szCs w:val="1"/>
                <w:color w:val="auto"/>
              </w:rPr>
            </w:pPr>
          </w:p>
        </w:tc>
      </w:tr>
      <w:tr>
        <w:trPr>
          <w:trHeight w:val="736"/>
        </w:trPr>
        <w:tc>
          <w:tcPr>
            <w:tcW w:w="2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CCEEFF"/>
              <w:bottom w:val="single" w:sz="8" w:color="9A9A9A"/>
            </w:tcBorders>
          </w:tcPr>
          <w:p>
            <w:pPr>
              <w:spacing w:after="0"/>
              <w:rPr>
                <w:sz w:val="24"/>
                <w:szCs w:val="24"/>
                <w:color w:val="auto"/>
              </w:rPr>
            </w:pPr>
          </w:p>
        </w:tc>
        <w:tc>
          <w:tcPr>
            <w:tcW w:w="142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June 28, 2025</w:t>
            </w:r>
          </w:p>
        </w:tc>
        <w:tc>
          <w:tcPr>
            <w:tcW w:w="200" w:type="dxa"/>
            <w:vAlign w:val="bottom"/>
          </w:tcPr>
          <w:p>
            <w:pPr>
              <w:spacing w:after="0"/>
              <w:rPr>
                <w:sz w:val="17"/>
                <w:szCs w:val="17"/>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28, 2024</w:t>
            </w:r>
          </w:p>
        </w:tc>
        <w:tc>
          <w:tcPr>
            <w:tcW w:w="280" w:type="dxa"/>
            <w:vAlign w:val="bottom"/>
          </w:tcPr>
          <w:p>
            <w:pPr>
              <w:spacing w:after="0"/>
              <w:rPr>
                <w:sz w:val="17"/>
                <w:szCs w:val="17"/>
                <w:color w:val="auto"/>
              </w:rPr>
            </w:pPr>
          </w:p>
        </w:tc>
        <w:tc>
          <w:tcPr>
            <w:tcW w:w="1580" w:type="dxa"/>
            <w:vAlign w:val="bottom"/>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June 29, 2024</w:t>
            </w:r>
          </w:p>
        </w:tc>
      </w:tr>
      <w:tr>
        <w:trPr>
          <w:trHeight w:val="187"/>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338,183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412,926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316,646</w:t>
            </w:r>
          </w:p>
        </w:tc>
      </w:tr>
      <w:tr>
        <w:trPr>
          <w:trHeight w:val="148"/>
        </w:trPr>
        <w:tc>
          <w:tcPr>
            <w:tcW w:w="542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Accounts receivable, net of allowance for credit losses of $6,340, $5,663, and $4,895,</w:t>
            </w: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2"/>
        </w:trPr>
        <w:tc>
          <w:tcPr>
            <w:tcW w:w="5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respectively</w:t>
            </w:r>
          </w:p>
        </w:tc>
        <w:tc>
          <w:tcPr>
            <w:tcW w:w="280" w:type="dxa"/>
            <w:vAlign w:val="bottom"/>
          </w:tcPr>
          <w:p>
            <w:pPr>
              <w:spacing w:after="0"/>
              <w:rPr>
                <w:sz w:val="18"/>
                <w:szCs w:val="18"/>
                <w:color w:val="auto"/>
              </w:rPr>
            </w:pPr>
          </w:p>
        </w:tc>
        <w:tc>
          <w:tcPr>
            <w:tcW w:w="15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140,352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194,834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132,360</w:t>
            </w:r>
          </w:p>
        </w:tc>
      </w:tr>
      <w:tr>
        <w:trPr>
          <w:trHeight w:val="153"/>
        </w:trPr>
        <w:tc>
          <w:tcPr>
            <w:tcW w:w="542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Finished goods inventories, net of inventory reserves of $10,284, $8,257, and</w:t>
            </w:r>
          </w:p>
        </w:tc>
        <w:tc>
          <w:tcPr>
            <w:tcW w:w="2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216"/>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$13,844, respectively</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619,074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502,332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599,295</w:t>
            </w:r>
          </w:p>
        </w:tc>
      </w:tr>
      <w:tr>
        <w:trPr>
          <w:trHeight w:val="200"/>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60,612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32,580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54,085</w:t>
            </w:r>
          </w:p>
        </w:tc>
      </w:tr>
      <w:tr>
        <w:trPr>
          <w:trHeight w:val="198"/>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current assets</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1,158,221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1,142,672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1,102,386</w:t>
            </w:r>
          </w:p>
        </w:tc>
      </w:tr>
      <w:tr>
        <w:trPr>
          <w:trHeight w:val="148"/>
        </w:trPr>
        <w:tc>
          <w:tcPr>
            <w:tcW w:w="542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Property, plant, and equipment, net of accumulated depreciation of $598,575,</w:t>
            </w: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$602,670, and $640,751, respectively</w:t>
            </w:r>
          </w:p>
        </w:tc>
        <w:tc>
          <w:tcPr>
            <w:tcW w:w="280" w:type="dxa"/>
            <w:vAlign w:val="bottom"/>
          </w:tcPr>
          <w:p>
            <w:pPr>
              <w:spacing w:after="0"/>
              <w:rPr>
                <w:sz w:val="18"/>
                <w:szCs w:val="18"/>
                <w:color w:val="auto"/>
              </w:rPr>
            </w:pPr>
          </w:p>
        </w:tc>
        <w:tc>
          <w:tcPr>
            <w:tcW w:w="15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188,177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180,956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181,659</w:t>
            </w:r>
          </w:p>
        </w:tc>
      </w:tr>
      <w:tr>
        <w:trPr>
          <w:trHeight w:val="20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assets</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571,303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577,133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509,168</w:t>
            </w: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Tradenames, net</w:t>
            </w:r>
          </w:p>
        </w:tc>
        <w:tc>
          <w:tcPr>
            <w:tcW w:w="280" w:type="dxa"/>
            <w:vAlign w:val="bottom"/>
          </w:tcPr>
          <w:p>
            <w:pPr>
              <w:spacing w:after="0"/>
              <w:rPr>
                <w:sz w:val="17"/>
                <w:szCs w:val="17"/>
                <w:color w:val="auto"/>
              </w:rPr>
            </w:pPr>
          </w:p>
        </w:tc>
        <w:tc>
          <w:tcPr>
            <w:tcW w:w="15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268,777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268,008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298,097</w:t>
            </w:r>
          </w:p>
        </w:tc>
      </w:tr>
      <w:tr>
        <w:trPr>
          <w:trHeight w:val="20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209,016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206,875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209,086</w:t>
            </w: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relationships, net</w:t>
            </w:r>
          </w:p>
        </w:tc>
        <w:tc>
          <w:tcPr>
            <w:tcW w:w="280" w:type="dxa"/>
            <w:vAlign w:val="bottom"/>
          </w:tcPr>
          <w:p>
            <w:pPr>
              <w:spacing w:after="0"/>
              <w:rPr>
                <w:sz w:val="17"/>
                <w:szCs w:val="17"/>
                <w:color w:val="auto"/>
              </w:rPr>
            </w:pPr>
          </w:p>
        </w:tc>
        <w:tc>
          <w:tcPr>
            <w:tcW w:w="15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21,854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23,543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25,386</w:t>
            </w:r>
          </w:p>
        </w:tc>
      </w:tr>
      <w:tr>
        <w:trPr>
          <w:trHeight w:val="20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38,204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33,980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29,735</w:t>
            </w:r>
          </w:p>
        </w:tc>
      </w:tr>
      <w:tr>
        <w:trPr>
          <w:trHeight w:val="198"/>
        </w:trPr>
        <w:tc>
          <w:tcPr>
            <w:tcW w:w="54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Total assets</w:t>
            </w: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2,455,552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2,433,167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2,355,517</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29"/>
        </w:trPr>
        <w:tc>
          <w:tcPr>
            <w:tcW w:w="5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202"/>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0"/>
        </w:trPr>
        <w:tc>
          <w:tcPr>
            <w:tcW w:w="5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306,399</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248,200</w:t>
            </w:r>
          </w:p>
        </w:tc>
        <w:tc>
          <w:tcPr>
            <w:tcW w:w="12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313,796</w:t>
            </w:r>
          </w:p>
        </w:tc>
      </w:tr>
      <w:tr>
        <w:trPr>
          <w:trHeight w:val="20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operating lease liabilities</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124,002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130,564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128,952</w:t>
            </w:r>
          </w:p>
        </w:tc>
      </w:tr>
      <w:tr>
        <w:trPr>
          <w:trHeight w:val="200"/>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95,270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130,052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84,895</w:t>
            </w:r>
          </w:p>
        </w:tc>
      </w:tr>
      <w:tr>
        <w:trPr>
          <w:trHeight w:val="198"/>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525,671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508,816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527,643</w:t>
            </w: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debt, net</w:t>
            </w:r>
          </w:p>
        </w:tc>
        <w:tc>
          <w:tcPr>
            <w:tcW w:w="280" w:type="dxa"/>
            <w:vAlign w:val="bottom"/>
          </w:tcPr>
          <w:p>
            <w:pPr>
              <w:spacing w:after="0"/>
              <w:rPr>
                <w:sz w:val="17"/>
                <w:szCs w:val="17"/>
                <w:color w:val="auto"/>
              </w:rPr>
            </w:pPr>
          </w:p>
        </w:tc>
        <w:tc>
          <w:tcPr>
            <w:tcW w:w="15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498,531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498,127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497,735</w:t>
            </w:r>
          </w:p>
        </w:tc>
      </w:tr>
      <w:tr>
        <w:trPr>
          <w:trHeight w:val="20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42,290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38,210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48,910</w:t>
            </w: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operating lease liabilities</w:t>
            </w:r>
          </w:p>
        </w:tc>
        <w:tc>
          <w:tcPr>
            <w:tcW w:w="280" w:type="dxa"/>
            <w:vAlign w:val="bottom"/>
          </w:tcPr>
          <w:p>
            <w:pPr>
              <w:spacing w:after="0"/>
              <w:rPr>
                <w:sz w:val="17"/>
                <w:szCs w:val="17"/>
                <w:color w:val="auto"/>
              </w:rPr>
            </w:pPr>
          </w:p>
        </w:tc>
        <w:tc>
          <w:tcPr>
            <w:tcW w:w="15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501,804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501,503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436,575</w:t>
            </w:r>
          </w:p>
        </w:tc>
      </w:tr>
      <w:tr>
        <w:trPr>
          <w:trHeight w:val="20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33,354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31,949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32,904</w:t>
            </w:r>
          </w:p>
        </w:tc>
      </w:tr>
      <w:tr>
        <w:trPr>
          <w:trHeight w:val="194"/>
        </w:trPr>
        <w:tc>
          <w:tcPr>
            <w:tcW w:w="54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Total liabilities</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1,601,650</w:t>
            </w:r>
          </w:p>
        </w:tc>
        <w:tc>
          <w:tcPr>
            <w:tcW w:w="1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1,578,605</w:t>
            </w:r>
          </w:p>
        </w:tc>
        <w:tc>
          <w:tcPr>
            <w:tcW w:w="12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1,543,767</w:t>
            </w:r>
          </w:p>
        </w:tc>
      </w:tr>
      <w:tr>
        <w:trPr>
          <w:trHeight w:val="164"/>
        </w:trPr>
        <w:tc>
          <w:tcPr>
            <w:tcW w:w="5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 Note 14</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64"/>
        </w:trPr>
        <w:tc>
          <w:tcPr>
            <w:tcW w:w="5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Shareholders’ equity:</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51"/>
        </w:trPr>
        <w:tc>
          <w:tcPr>
            <w:tcW w:w="542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Preferred stock; par value $0.01 per share; 100,000 shares authorized; none issued or</w:t>
            </w:r>
          </w:p>
        </w:tc>
        <w:tc>
          <w:tcPr>
            <w:tcW w:w="2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48"/>
        </w:trPr>
        <w:tc>
          <w:tcPr>
            <w:tcW w:w="542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Common stock, voting; par value $0.01 per share; 150,000,000 shares authorized;</w:t>
            </w: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36,467,071, 36,041,995, and 36,280,056 shares issued and outstanding, respectively</w:t>
            </w:r>
          </w:p>
        </w:tc>
        <w:tc>
          <w:tcPr>
            <w:tcW w:w="280" w:type="dxa"/>
            <w:vAlign w:val="bottom"/>
          </w:tcPr>
          <w:p>
            <w:pPr>
              <w:spacing w:after="0"/>
              <w:rPr>
                <w:sz w:val="18"/>
                <w:szCs w:val="18"/>
                <w:color w:val="auto"/>
              </w:rPr>
            </w:pPr>
          </w:p>
        </w:tc>
        <w:tc>
          <w:tcPr>
            <w:tcW w:w="15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w:t>
            </w: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14,460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(43,678)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(32,814)</w:t>
            </w:r>
          </w:p>
        </w:tc>
      </w:tr>
      <w:tr>
        <w:trPr>
          <w:trHeight w:val="20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Retained earnings</w:t>
            </w: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871,894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894,024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844,201</w:t>
            </w:r>
          </w:p>
        </w:tc>
      </w:tr>
      <w:tr>
        <w:trPr>
          <w:trHeight w:val="194"/>
        </w:trPr>
        <w:tc>
          <w:tcPr>
            <w:tcW w:w="54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5"/>
                <w:szCs w:val="15"/>
                <w:color w:val="auto"/>
              </w:rPr>
              <w:t>Total shareholders’ equity</w:t>
            </w: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853,902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854,562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811,750</w:t>
            </w:r>
          </w:p>
        </w:tc>
      </w:tr>
      <w:tr>
        <w:trPr>
          <w:trHeight w:val="223"/>
        </w:trPr>
        <w:tc>
          <w:tcPr>
            <w:tcW w:w="5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Total liabilities and shareholders’ equity</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2,455,552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2,433,167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2,355,517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00" w:type="dxa"/>
            <w:vAlign w:val="bottom"/>
          </w:tcPr>
          <w:p>
            <w:pPr>
              <w:spacing w:after="0"/>
              <w:rPr>
                <w:sz w:val="18"/>
                <w:szCs w:val="18"/>
                <w:color w:val="auto"/>
              </w:rPr>
            </w:pPr>
          </w:p>
        </w:tc>
        <w:tc>
          <w:tcPr>
            <w:tcW w:w="306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211"/>
        </w:trPr>
        <w:tc>
          <w:tcPr>
            <w:tcW w:w="4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29,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29, 2024</w:t>
            </w: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585,313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564,434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1,215,139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1,225,926</w:t>
            </w:r>
          </w:p>
        </w:tc>
      </w:tr>
      <w:tr>
        <w:trPr>
          <w:trHeight w:val="21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303,553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281,497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642,289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627,799</w:t>
            </w: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572,850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598,127</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9,220</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551,284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512,859</w:t>
            </w: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94,488</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15,775</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(6,274)</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84,309</w:t>
            </w: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18,637</w:t>
            </w: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65,672</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29"/>
        </w:trPr>
        <w:tc>
          <w:tcPr>
            <w:tcW w:w="4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20" w:type="dxa"/>
            <w:vAlign w:val="bottom"/>
          </w:tcPr>
          <w:p>
            <w:pPr>
              <w:spacing w:after="0"/>
              <w:rPr>
                <w:sz w:val="18"/>
                <w:szCs w:val="18"/>
                <w:color w:val="auto"/>
              </w:rPr>
            </w:pPr>
          </w:p>
        </w:tc>
        <w:tc>
          <w:tcPr>
            <w:tcW w:w="304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211"/>
        </w:trPr>
        <w:tc>
          <w:tcPr>
            <w:tcW w:w="4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June 29, 2024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June 29, 2024</w:t>
            </w: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27,639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65,672</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(7,147)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(8,899)</w:t>
            </w: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20,492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26,846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56,773</w:t>
            </w:r>
          </w:p>
        </w:tc>
      </w:tr>
      <w:tr>
        <w:trPr>
          <w:trHeight w:val="21"/>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amounts in thousands, except share amounts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7"/>
                <w:szCs w:val="17"/>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25"/>
        </w:trPr>
        <w:tc>
          <w:tcPr>
            <w:tcW w:w="340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 shares</w:t>
            </w:r>
          </w:p>
        </w:tc>
        <w:tc>
          <w:tcPr>
            <w:tcW w:w="1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 - $</w:t>
            </w: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4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8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9"/>
                <w:szCs w:val="19"/>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28,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36,041,995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894,024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854,562</w:t>
            </w:r>
          </w:p>
        </w:tc>
        <w:tc>
          <w:tcPr>
            <w:tcW w:w="0" w:type="dxa"/>
            <w:vAlign w:val="bottom"/>
          </w:tcPr>
          <w:p>
            <w:pPr>
              <w:spacing w:after="0"/>
              <w:rPr>
                <w:sz w:val="1"/>
                <w:szCs w:val="1"/>
                <w:color w:val="auto"/>
              </w:rPr>
            </w:pPr>
          </w:p>
        </w:tc>
      </w:tr>
      <w:tr>
        <w:trPr>
          <w:trHeight w:val="162"/>
        </w:trPr>
        <w:tc>
          <w:tcPr>
            <w:tcW w:w="3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(93,538)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declared and paid of $0.80 per</w:t>
            </w: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(28,999)</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16,151</w:t>
            </w:r>
          </w:p>
        </w:tc>
        <w:tc>
          <w:tcPr>
            <w:tcW w:w="0" w:type="dxa"/>
            <w:vAlign w:val="bottom"/>
          </w:tcPr>
          <w:p>
            <w:pPr>
              <w:spacing w:after="0"/>
              <w:rPr>
                <w:sz w:val="1"/>
                <w:szCs w:val="1"/>
                <w:color w:val="auto"/>
              </w:rPr>
            </w:pPr>
          </w:p>
        </w:tc>
      </w:tr>
      <w:tr>
        <w:trPr>
          <w:trHeight w:val="212"/>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29,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36,237,114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880,564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847,245</w:t>
            </w:r>
          </w:p>
        </w:tc>
        <w:tc>
          <w:tcPr>
            <w:tcW w:w="0" w:type="dxa"/>
            <w:vAlign w:val="bottom"/>
          </w:tcPr>
          <w:p>
            <w:pPr>
              <w:spacing w:after="0"/>
              <w:rPr>
                <w:sz w:val="1"/>
                <w:szCs w:val="1"/>
                <w:color w:val="auto"/>
              </w:rPr>
            </w:pPr>
          </w:p>
        </w:tc>
      </w:tr>
      <w:tr>
        <w:trPr>
          <w:trHeight w:val="142"/>
        </w:trPr>
        <w:tc>
          <w:tcPr>
            <w:tcW w:w="34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declared and paid of $0.25 per</w:t>
            </w: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(9,116)</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10,695</w:t>
            </w:r>
          </w:p>
        </w:tc>
        <w:tc>
          <w:tcPr>
            <w:tcW w:w="0" w:type="dxa"/>
            <w:vAlign w:val="bottom"/>
          </w:tcPr>
          <w:p>
            <w:pPr>
              <w:spacing w:after="0"/>
              <w:rPr>
                <w:sz w:val="1"/>
                <w:szCs w:val="1"/>
                <w:color w:val="auto"/>
              </w:rPr>
            </w:pPr>
          </w:p>
        </w:tc>
      </w:tr>
      <w:tr>
        <w:trPr>
          <w:trHeight w:val="237"/>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28,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36,467,071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871,894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853,902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7"/>
                <w:szCs w:val="17"/>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25"/>
        </w:trPr>
        <w:tc>
          <w:tcPr>
            <w:tcW w:w="336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 shares</w:t>
            </w:r>
          </w:p>
        </w:tc>
        <w:tc>
          <w:tcPr>
            <w:tcW w:w="1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 - $</w:t>
            </w: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4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9"/>
                <w:szCs w:val="19"/>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6"/>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30, 2023</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36,551,221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868,799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845,250</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165"/>
        </w:trPr>
        <w:tc>
          <w:tcPr>
            <w:tcW w:w="33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(7,378)</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restricted stock</w:t>
            </w: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w:t>
            </w:r>
          </w:p>
        </w:tc>
        <w:tc>
          <w:tcPr>
            <w:tcW w:w="0" w:type="dxa"/>
            <w:vAlign w:val="bottom"/>
          </w:tcPr>
          <w:p>
            <w:pPr>
              <w:spacing w:after="0"/>
              <w:rPr>
                <w:sz w:val="1"/>
                <w:szCs w:val="1"/>
                <w:color w:val="auto"/>
              </w:rPr>
            </w:pPr>
          </w:p>
        </w:tc>
      </w:tr>
      <w:tr>
        <w:trPr>
          <w:trHeight w:val="165"/>
        </w:trPr>
        <w:tc>
          <w:tcPr>
            <w:tcW w:w="33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Cash dividends declared and paid of $0.80 per</w:t>
            </w: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(29,338)</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w:t>
            </w: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36,281</w:t>
            </w:r>
          </w:p>
        </w:tc>
        <w:tc>
          <w:tcPr>
            <w:tcW w:w="0" w:type="dxa"/>
            <w:vAlign w:val="bottom"/>
          </w:tcPr>
          <w:p>
            <w:pPr>
              <w:spacing w:after="0"/>
              <w:rPr>
                <w:sz w:val="1"/>
                <w:szCs w:val="1"/>
                <w:color w:val="auto"/>
              </w:rPr>
            </w:pPr>
          </w:p>
        </w:tc>
      </w:tr>
      <w:tr>
        <w:trPr>
          <w:trHeight w:val="212"/>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30, 2024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36,600,032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866,654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841,353</w:t>
            </w: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of restricted stock</w:t>
            </w: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(24,778)</w:t>
            </w:r>
          </w:p>
        </w:tc>
        <w:tc>
          <w:tcPr>
            <w:tcW w:w="0" w:type="dxa"/>
            <w:vAlign w:val="bottom"/>
          </w:tcPr>
          <w:p>
            <w:pPr>
              <w:spacing w:after="0"/>
              <w:rPr>
                <w:sz w:val="1"/>
                <w:szCs w:val="1"/>
                <w:color w:val="auto"/>
              </w:rPr>
            </w:pPr>
          </w:p>
        </w:tc>
      </w:tr>
      <w:tr>
        <w:trPr>
          <w:trHeight w:val="162"/>
        </w:trPr>
        <w:tc>
          <w:tcPr>
            <w:tcW w:w="33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Cash dividends declared and paid of $0.80 per</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(29,172)</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common share</w:t>
            </w: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20,492</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37"/>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29, 2024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36,280,056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844,201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811,750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4"/>
          </w:tcPr>
          <w:p>
            <w:pPr>
              <w:jc w:val="right"/>
              <w:ind w:right="1004"/>
              <w:spacing w:after="0"/>
              <w:rPr>
                <w:sz w:val="20"/>
                <w:szCs w:val="20"/>
                <w:color w:val="auto"/>
              </w:rPr>
            </w:pPr>
            <w:r>
              <w:rPr>
                <w:rFonts w:ascii="Times New Roman" w:cs="Times New Roman" w:eastAsia="Times New Roman" w:hAnsi="Times New Roman"/>
                <w:sz w:val="15"/>
                <w:szCs w:val="15"/>
                <w:b w:val="1"/>
                <w:bCs w:val="1"/>
                <w:color w:val="auto"/>
              </w:rPr>
              <w:t>Two fiscal quarters ended</w:t>
            </w:r>
          </w:p>
        </w:tc>
      </w:tr>
      <w:tr>
        <w:trPr>
          <w:trHeight w:val="200"/>
        </w:trPr>
        <w:tc>
          <w:tcPr>
            <w:tcW w:w="7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June 28, 2025</w:t>
            </w:r>
          </w:p>
        </w:tc>
        <w:tc>
          <w:tcPr>
            <w:tcW w:w="280" w:type="dxa"/>
            <w:vAlign w:val="bottom"/>
          </w:tcPr>
          <w:p>
            <w:pPr>
              <w:spacing w:after="0"/>
              <w:rPr>
                <w:sz w:val="17"/>
                <w:szCs w:val="17"/>
                <w:color w:val="auto"/>
              </w:rPr>
            </w:pPr>
          </w:p>
        </w:tc>
        <w:tc>
          <w:tcPr>
            <w:tcW w:w="1580" w:type="dxa"/>
            <w:vAlign w:val="bottom"/>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June 29, 2024</w:t>
            </w:r>
          </w:p>
        </w:tc>
      </w:tr>
      <w:tr>
        <w:trPr>
          <w:trHeight w:val="18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30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15,985</w:t>
            </w:r>
          </w:p>
        </w:tc>
        <w:tc>
          <w:tcPr>
            <w:tcW w:w="12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65,672</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Adjustments to reconcile net income to net cash (used in) provided by operating activities:</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Depreciation of property, plant, and equipment</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24,967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27,386</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1,858</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Provision for excess and obsolete inventory, net</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4,986</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(Gain) loss on disposal of property, plant and equipment</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809</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14,941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9,290</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Unrealized foreign currency exchange (gain) loss, net</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Provision for doubtful accounts receivable from customers</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Unrealized gain on investments</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(1,081)</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Deferred income taxes expense</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7,153</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Effect of changes in operating assets and liabilities:</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5"/>
        </w:trPr>
        <w:tc>
          <w:tcPr>
            <w:tcW w:w="7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Accounts receivable</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54,068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50,516</w:t>
            </w:r>
          </w:p>
        </w:tc>
      </w:tr>
      <w:tr>
        <w:trPr>
          <w:trHeight w:val="200"/>
        </w:trPr>
        <w:tc>
          <w:tcPr>
            <w:tcW w:w="74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Finished goods inventories</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(114,014)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(70,802)</w:t>
            </w:r>
          </w:p>
        </w:tc>
      </w:tr>
      <w:tr>
        <w:trPr>
          <w:trHeight w:val="205"/>
        </w:trPr>
        <w:tc>
          <w:tcPr>
            <w:tcW w:w="7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(30,218)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(24,320)</w:t>
            </w:r>
          </w:p>
        </w:tc>
      </w:tr>
      <w:tr>
        <w:trPr>
          <w:trHeight w:val="200"/>
        </w:trPr>
        <w:tc>
          <w:tcPr>
            <w:tcW w:w="7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color w:val="auto"/>
              </w:rPr>
              <w:t>Accounts payable and other liabilities</w:t>
            </w: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17,948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19,743</w:t>
            </w:r>
          </w:p>
        </w:tc>
      </w:tr>
      <w:tr>
        <w:trPr>
          <w:trHeight w:val="196"/>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91,691</w:t>
            </w:r>
          </w:p>
        </w:tc>
      </w:tr>
      <w:tr>
        <w:trPr>
          <w:trHeight w:val="144"/>
        </w:trPr>
        <w:tc>
          <w:tcPr>
            <w:tcW w:w="7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0"/>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Capital expenditures</w:t>
            </w: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(26,546)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(24,315)</w:t>
            </w:r>
          </w:p>
        </w:tc>
      </w:tr>
      <w:tr>
        <w:trPr>
          <w:trHeight w:val="196"/>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(26,546)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(24,315)</w:t>
            </w:r>
          </w:p>
        </w:tc>
      </w:tr>
      <w:tr>
        <w:trPr>
          <w:trHeight w:val="144"/>
        </w:trPr>
        <w:tc>
          <w:tcPr>
            <w:tcW w:w="7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Dividends paid</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(38,115)</w:t>
            </w:r>
          </w:p>
        </w:tc>
        <w:tc>
          <w:tcPr>
            <w:tcW w:w="12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(58,510)</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3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(33,778)</w:t>
            </w: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Withholdings from vesting of restricted stock</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(7,436)</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exercises of stock options</w:t>
            </w:r>
          </w:p>
        </w:tc>
        <w:tc>
          <w:tcPr>
            <w:tcW w:w="3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w:t>
            </w:r>
          </w:p>
        </w:tc>
      </w:tr>
      <w:tr>
        <w:trPr>
          <w:trHeight w:val="200"/>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(42,817)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(99,357)</w:t>
            </w:r>
          </w:p>
        </w:tc>
      </w:tr>
      <w:tr>
        <w:trPr>
          <w:trHeight w:val="144"/>
        </w:trPr>
        <w:tc>
          <w:tcPr>
            <w:tcW w:w="7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effect of exchange rate changes on cash and cash equivalents</w:t>
            </w:r>
          </w:p>
        </w:tc>
        <w:tc>
          <w:tcPr>
            <w:tcW w:w="3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(2,586)</w:t>
            </w:r>
          </w:p>
        </w:tc>
      </w:tr>
      <w:tr>
        <w:trPr>
          <w:trHeight w:val="194"/>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decrease in cash and cash equivalents</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(74,743)</w:t>
            </w:r>
          </w:p>
        </w:tc>
        <w:tc>
          <w:tcPr>
            <w:tcW w:w="12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(34,567)</w:t>
            </w: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412,926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351,213</w:t>
            </w:r>
          </w:p>
        </w:tc>
      </w:tr>
      <w:tr>
        <w:trPr>
          <w:trHeight w:val="198"/>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338,183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316,646</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Carter’s, Inc. and its wholly owned subsidiaries (collectively, the “Company”) design, source, and market branded childrenswear under the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OshKosh B’gosh </w:t>
      </w: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Skip Hop, Child of Mine, Just One You, Simple Joys, Little Planet, Otter Avenue, </w:t>
      </w:r>
      <w:r>
        <w:rPr>
          <w:rFonts w:ascii="Times New Roman" w:cs="Times New Roman" w:eastAsia="Times New Roman" w:hAnsi="Times New Roman"/>
          <w:sz w:val="18"/>
          <w:szCs w:val="18"/>
          <w:color w:val="auto"/>
        </w:rPr>
        <w:t>and other brands.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are sourced through contractual arrangements with manufacturers worldwide for wholesale distribution to leading department stores, national chains, and specialty retailers domestically and internationally and for sale in the Company’s retail stores and eCommerce sites that market its brand name merchandise and other licensed products manufactured by other companies.</w:t>
      </w:r>
    </w:p>
    <w:p>
      <w:pPr>
        <w:spacing w:after="0" w:line="156"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 xml:space="preserve">Our trademarks that are referred to in this Quarterly Report on Form 10-Q, including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Skip Hop, Child of 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One You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Simple Joys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Little Planet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Otter Avenue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PurelySoft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Carter’s Rewards</w:t>
      </w:r>
      <w:r>
        <w:rPr>
          <w:rFonts w:ascii="Times New Roman" w:cs="Times New Roman" w:eastAsia="Times New Roman" w:hAnsi="Times New Roman"/>
          <w:sz w:val="18"/>
          <w:szCs w:val="18"/>
          <w:color w:val="auto"/>
        </w:rPr>
        <w:t>, many of which are registered in the United States and in over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countries and territories, are each the property of one or more subsidiaries of Carter’s,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RECENT ACCOUNTING PRONOUNCEMENTS, AND OTHER</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U.S. Securities and Exchange Commission (the “SEC”). All intercompany transactions and balances have been eliminated in consolidation.</w:t>
      </w:r>
    </w:p>
    <w:p>
      <w:pPr>
        <w:spacing w:after="0" w:line="13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fiscal quarter ended June 28, 2025 are not necessarily indicative of the results that may be expected for the current fiscal year ending January 3, 2026.</w:t>
      </w:r>
    </w:p>
    <w:p>
      <w:pPr>
        <w:spacing w:after="0" w:line="14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 Actual results could differ from those estimates.</w:t>
      </w:r>
    </w:p>
    <w:p>
      <w:pPr>
        <w:spacing w:after="0" w:line="1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December 28, 2024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3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Company operates on a 52 or 53 week fiscal calendar. Fiscal 2025 will end on January 3, 2026 and includes 53 weeks. Fiscal 2024 ended on December 28, 2024 and included 52 weeks. The fiscal quarters ended June 28, 2025 and June 29, 2024 each included 13 weeks.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its most recently filed Annual Report on Form 10-K. There have been no material changes to these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Tradename Assets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2025, the Company identified a triggering event related to the new tariffs enacted by the Trump Administration and the resulting unfavorable impact on the Company’s financial forecasts, as well as a sustained decrease in the Company’s stock price since the last impairment test conducted in the fourth quarter of fiscal 2024. As a result, the Company performed a quantitative impairment test on the goodwill ascribed to each of the Company’s reporting units and on the value of its indefinite-lived intangible tradename assets.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5" w:right="4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goodwill impairment assessment for each reporting unit was performed in accordance with ASC 350 and compares the carrying value of each reporting unit to its fair value. Consistent with prior practice, the Company uses a 50% weighting of the income approach and a 50% weighting of the market approach to determine the fair value of a reporting unit. The assumptions used in these approaches include revenue growth and profitability, terminal growth rates, discount rates, market multiples, and a control premium. Discount rates are dependent upon interest rates and the cost of capital at a point in time. These assumptions are consistent with those we believe hypothetical marketplace participants would use. An impairment is recorded for any excess carrying value above the fair value of the reporting unit, not to exceed the carrying value of goodwill.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these assessments, there were no impairments to the value of goodwill.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Tradename Assets</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indefinite-lived tradename asset assessments were performed in accordance with ASC 350 and were determined using the relief-from-royalty valuation method, which examines the hypothetical cost savings that accrue as a result of not having to license the tradename from another owner. The relief-from-royalty valuation method involves two steps: (1) estimation of reasonable royalty rates for the tradename assets and (2) the application of these royalty rates to a forecasted net revenue stream and discounting the resulting cash flows to determine a fair value. If the carrying amount exceeds the fair value of the tradename, an impairment charge is recognized in the amount of the excess.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these assessments, there were no impairments to the value of our indefinite-lived tradename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 (ASU 2023-09)</w:t>
      </w:r>
    </w:p>
    <w:p>
      <w:pPr>
        <w:spacing w:after="0" w:line="10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No. 2023-09, Income Taxes - Improvements to Income Tax Disclosures.</w:t>
      </w:r>
      <w:r>
        <w:rPr>
          <w:rFonts w:ascii="Times New Roman" w:cs="Times New Roman" w:eastAsia="Times New Roman" w:hAnsi="Times New Roman"/>
          <w:sz w:val="18"/>
          <w:szCs w:val="18"/>
          <w:color w:val="auto"/>
        </w:rPr>
        <w:t xml:space="preserve"> This new guidance requires consistent categories and greater disaggregation of information in the rate reconciliation and greater disaggregation of income taxes paid by jurisdiction. ASU 2023-09 is effective for fiscal years beginning after December 15, 2024. Early adoption is permitted. The Company is currently evaluating the impact of this amendment on its consolidated financial statements but does not expect the effect of the adoption of ASU 2023-09 to be material.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 (ASU 2024-03)</w:t>
      </w:r>
    </w:p>
    <w:p>
      <w:pPr>
        <w:spacing w:after="0" w:line="10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No. 2024-03, Disaggregation of Income Statement Expenses</w:t>
      </w:r>
      <w:r>
        <w:rPr>
          <w:rFonts w:ascii="Times New Roman" w:cs="Times New Roman" w:eastAsia="Times New Roman" w:hAnsi="Times New Roman"/>
          <w:sz w:val="18"/>
          <w:szCs w:val="18"/>
          <w:color w:val="auto"/>
        </w:rPr>
        <w:t>. This new guidance is intended to increase transparency and comparability of financial statements by requiring disclosure of significant expense components for certain expenses on the face of the consolidated statement of operations. The ASU is effective for fiscal years beginning after December 15, 2026 and for interim periods within fiscal years beginning after December 15, 2027, with early adoption permitted. The Company is currently evaluating the impact that this standard will on its consolidated financial statements but does not expect the effect of the adoption of ASU 2024-03 to be material.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10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0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sells its products directly to consumers (“direct-to-consumer”) and to other retail companies and partners that subsequently sell the products directly to their own retail customers (“wholesale channel”). The Company also earns royalties from certain of its licensees. Disaggregated revenues from these sources for the fiscal periods indicated were as follows: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Fiscal quarter ended June 28, 2025</w:t>
            </w: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200" w:type="dxa"/>
            <w:vAlign w:val="bottom"/>
          </w:tcPr>
          <w:p>
            <w:pPr>
              <w:spacing w:after="0"/>
              <w:rPr>
                <w:sz w:val="15"/>
                <w:szCs w:val="15"/>
                <w:color w:val="auto"/>
              </w:rPr>
            </w:pPr>
          </w:p>
        </w:tc>
        <w:tc>
          <w:tcPr>
            <w:tcW w:w="1540" w:type="dxa"/>
            <w:vAlign w:val="bottom"/>
            <w:gridSpan w:val="4"/>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220" w:type="dxa"/>
            <w:vAlign w:val="bottom"/>
          </w:tcPr>
          <w:p>
            <w:pPr>
              <w:spacing w:after="0"/>
              <w:rPr>
                <w:sz w:val="15"/>
                <w:szCs w:val="15"/>
                <w:color w:val="auto"/>
              </w:rPr>
            </w:pPr>
          </w:p>
        </w:tc>
        <w:tc>
          <w:tcPr>
            <w:tcW w:w="154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640" w:type="dxa"/>
            <w:vAlign w:val="bottom"/>
          </w:tcPr>
          <w:p>
            <w:pPr>
              <w:spacing w:after="0"/>
              <w:rPr>
                <w:sz w:val="15"/>
                <w:szCs w:val="15"/>
                <w:color w:val="auto"/>
              </w:rPr>
            </w:pPr>
          </w:p>
        </w:tc>
        <w:tc>
          <w:tcPr>
            <w:tcW w:w="980" w:type="dxa"/>
            <w:vAlign w:val="bottom"/>
            <w:gridSpan w:val="2"/>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w w:val="87"/>
              </w:rPr>
              <w:t>Total</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299,549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60,619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360,168</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192,998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32,147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225,145</w:t>
            </w:r>
          </w:p>
        </w:tc>
      </w:tr>
      <w:tr>
        <w:trPr>
          <w:trHeight w:val="235"/>
        </w:trPr>
        <w:tc>
          <w:tcPr>
            <w:tcW w:w="4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299,549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92,766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585,313</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3,249</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69"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Two fiscal quarters ended June 28, 2025</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2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200" w:type="dxa"/>
            <w:vAlign w:val="bottom"/>
          </w:tcPr>
          <w:p>
            <w:pPr>
              <w:spacing w:after="0"/>
              <w:rPr>
                <w:sz w:val="15"/>
                <w:szCs w:val="15"/>
                <w:color w:val="auto"/>
              </w:rPr>
            </w:pPr>
          </w:p>
        </w:tc>
        <w:tc>
          <w:tcPr>
            <w:tcW w:w="1540" w:type="dxa"/>
            <w:vAlign w:val="bottom"/>
            <w:gridSpan w:val="4"/>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34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1"/>
        </w:trPr>
        <w:tc>
          <w:tcPr>
            <w:tcW w:w="4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114,442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708,422</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443,094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63,623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506,717</w:t>
            </w:r>
          </w:p>
        </w:tc>
      </w:tr>
      <w:tr>
        <w:trPr>
          <w:trHeight w:val="235"/>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178,065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1,215,139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8,580</w:t>
            </w:r>
          </w:p>
        </w:tc>
      </w:tr>
    </w:tbl>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6"/>
                <w:szCs w:val="16"/>
                <w:b w:val="1"/>
                <w:bCs w:val="1"/>
                <w:color w:val="auto"/>
              </w:rPr>
              <w:t>Fiscal quarter ended June 29, 2024</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440" w:type="dxa"/>
            <w:vAlign w:val="bottom"/>
          </w:tcPr>
          <w:p>
            <w:pPr>
              <w:spacing w:after="0"/>
              <w:rPr>
                <w:sz w:val="15"/>
                <w:szCs w:val="15"/>
                <w:color w:val="auto"/>
              </w:rPr>
            </w:pPr>
          </w:p>
        </w:tc>
        <w:tc>
          <w:tcPr>
            <w:tcW w:w="13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300" w:type="dxa"/>
            <w:vAlign w:val="bottom"/>
          </w:tcPr>
          <w:p>
            <w:pPr>
              <w:spacing w:after="0"/>
              <w:rPr>
                <w:sz w:val="15"/>
                <w:szCs w:val="15"/>
                <w:color w:val="auto"/>
              </w:rPr>
            </w:pPr>
          </w:p>
        </w:tc>
        <w:tc>
          <w:tcPr>
            <w:tcW w:w="14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36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1"/>
        </w:trPr>
        <w:tc>
          <w:tcPr>
            <w:tcW w:w="4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54,349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344,598</w:t>
            </w:r>
          </w:p>
        </w:tc>
      </w:tr>
      <w:tr>
        <w:trPr>
          <w:trHeight w:val="21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192,911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26,925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219,836</w:t>
            </w:r>
          </w:p>
        </w:tc>
      </w:tr>
      <w:tr>
        <w:trPr>
          <w:trHeight w:val="234"/>
        </w:trPr>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564,434</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4,004</w:t>
            </w:r>
          </w:p>
        </w:tc>
      </w:tr>
    </w:tbl>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Two fiscal quarters ended June 29, 2024</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2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5"/>
                <w:szCs w:val="15"/>
                <w:color w:val="auto"/>
              </w:rPr>
            </w:pPr>
          </w:p>
        </w:tc>
        <w:tc>
          <w:tcPr>
            <w:tcW w:w="1460" w:type="dxa"/>
            <w:vAlign w:val="bottom"/>
            <w:gridSpan w:val="4"/>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300" w:type="dxa"/>
            <w:vAlign w:val="bottom"/>
          </w:tcPr>
          <w:p>
            <w:pPr>
              <w:spacing w:after="0"/>
              <w:rPr>
                <w:sz w:val="15"/>
                <w:szCs w:val="15"/>
                <w:color w:val="auto"/>
              </w:rPr>
            </w:pPr>
          </w:p>
        </w:tc>
        <w:tc>
          <w:tcPr>
            <w:tcW w:w="14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34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1"/>
        </w:trPr>
        <w:tc>
          <w:tcPr>
            <w:tcW w:w="4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109,411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707,301</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457,042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61,583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518,625</w:t>
            </w:r>
          </w:p>
        </w:tc>
      </w:tr>
      <w:tr>
        <w:trPr>
          <w:trHeight w:val="234"/>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170,994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1,225,926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9,220</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from Customers and Licensees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Accounts receivable, net were as follows: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20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320" w:type="dxa"/>
            <w:vAlign w:val="bottom"/>
          </w:tcPr>
          <w:p>
            <w:pPr>
              <w:spacing w:after="0"/>
              <w:rPr>
                <w:sz w:val="18"/>
                <w:szCs w:val="18"/>
                <w:color w:val="auto"/>
              </w:rPr>
            </w:pPr>
          </w:p>
        </w:tc>
        <w:tc>
          <w:tcPr>
            <w:tcW w:w="16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June 29, 2024</w:t>
            </w:r>
          </w:p>
        </w:tc>
      </w:tr>
      <w:tr>
        <w:trPr>
          <w:trHeight w:val="21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from wholesale customers, net</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187,715</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127,583</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Royalties receivable</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3,799</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10,857</w:t>
            </w:r>
          </w:p>
        </w:tc>
      </w:tr>
      <w:tr>
        <w:trPr>
          <w:trHeight w:val="20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receivables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149,445</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204,887</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142,239</w:t>
            </w:r>
          </w:p>
        </w:tc>
      </w:tr>
      <w:tr>
        <w:trPr>
          <w:trHeight w:val="219"/>
        </w:trPr>
        <w:tc>
          <w:tcPr>
            <w:tcW w:w="51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Less: Wholesale accounts receivable reserves</w:t>
            </w:r>
            <w:r>
              <w:rPr>
                <w:rFonts w:ascii="Times New Roman" w:cs="Times New Roman" w:eastAsia="Times New Roman" w:hAnsi="Times New Roman"/>
                <w:sz w:val="21"/>
                <w:szCs w:val="21"/>
                <w:color w:val="auto"/>
                <w:vertAlign w:val="superscript"/>
              </w:rPr>
              <w:t>(1)(2)</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(9,879)</w:t>
            </w: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140,352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194,834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132,360</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allowance for chargebacks of $2.8 million, $4.4 million, and $5.0 million for the periods ended June 28, 2025, December 28, 2024, and June 29, 2024, respectively.</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allowance for credit losses of $6.3 million, $5.7 million, and $4.9 million for the periods ended June 28, 2025, December 28, 2024, and June 29, 2024,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assets are not material.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20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300" w:type="dxa"/>
            <w:vAlign w:val="bottom"/>
          </w:tcPr>
          <w:p>
            <w:pPr>
              <w:spacing w:after="0"/>
              <w:rPr>
                <w:sz w:val="18"/>
                <w:szCs w:val="18"/>
                <w:color w:val="auto"/>
              </w:rPr>
            </w:pPr>
          </w:p>
        </w:tc>
        <w:tc>
          <w:tcPr>
            <w:tcW w:w="16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June 29, 2024</w:t>
            </w:r>
          </w:p>
        </w:tc>
      </w:tr>
      <w:tr>
        <w:trPr>
          <w:trHeight w:val="19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3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6"/>
        </w:trPr>
        <w:tc>
          <w:tcPr>
            <w:tcW w:w="51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Unredeemed gift cards</w:t>
            </w:r>
            <w:r>
              <w:rPr>
                <w:rFonts w:ascii="Times New Roman" w:cs="Times New Roman" w:eastAsia="Times New Roman" w:hAnsi="Times New Roman"/>
                <w:sz w:val="21"/>
                <w:szCs w:val="21"/>
                <w:color w:val="auto"/>
                <w:vertAlign w:val="superscript"/>
              </w:rPr>
              <w:t>(1)</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24,484</w:t>
            </w:r>
          </w:p>
        </w:tc>
      </w:tr>
      <w:tr>
        <w:trPr>
          <w:trHeight w:val="216"/>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Unredeemed customer loyalty rewards</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w:t>
            </w:r>
          </w:p>
        </w:tc>
      </w:tr>
      <w:tr>
        <w:trPr>
          <w:trHeight w:val="216"/>
        </w:trPr>
        <w:tc>
          <w:tcPr>
            <w:tcW w:w="514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Carter’s credit card - upfront bonus</w:t>
            </w:r>
            <w:r>
              <w:rPr>
                <w:rFonts w:ascii="Times New Roman" w:cs="Times New Roman" w:eastAsia="Times New Roman" w:hAnsi="Times New Roman"/>
                <w:sz w:val="21"/>
                <w:szCs w:val="21"/>
                <w:color w:val="auto"/>
                <w:vertAlign w:val="superscript"/>
              </w:rPr>
              <w:t>(2)</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234"/>
        </w:trPr>
        <w:tc>
          <w:tcPr>
            <w:tcW w:w="5140" w:type="dxa"/>
            <w:vAlign w:val="bottom"/>
            <w:tcBorders>
              <w:bottom w:val="single" w:sz="8" w:color="CCEEFF"/>
            </w:tcBorders>
            <w:shd w:val="clear" w:color="auto" w:fill="CCEEFF"/>
          </w:tcPr>
          <w:p>
            <w:pPr>
              <w:ind w:left="360"/>
              <w:spacing w:after="0" w:line="210" w:lineRule="exact"/>
              <w:rPr>
                <w:sz w:val="20"/>
                <w:szCs w:val="20"/>
                <w:color w:val="auto"/>
              </w:rPr>
            </w:pPr>
            <w:r>
              <w:rPr>
                <w:rFonts w:ascii="Times New Roman" w:cs="Times New Roman" w:eastAsia="Times New Roman" w:hAnsi="Times New Roman"/>
                <w:sz w:val="16"/>
                <w:szCs w:val="16"/>
                <w:color w:val="auto"/>
              </w:rPr>
              <w:t>Total contract liabilities - current</w:t>
            </w:r>
            <w:r>
              <w:rPr>
                <w:rFonts w:ascii="Times New Roman" w:cs="Times New Roman" w:eastAsia="Times New Roman" w:hAnsi="Times New Roman"/>
                <w:sz w:val="21"/>
                <w:szCs w:val="21"/>
                <w:color w:val="auto"/>
                <w:vertAlign w:val="superscript"/>
              </w:rPr>
              <w:t>(3)</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27,030</w:t>
            </w:r>
          </w:p>
        </w:tc>
      </w:tr>
      <w:tr>
        <w:trPr>
          <w:trHeight w:val="21"/>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40" w:type="dxa"/>
            <w:vAlign w:val="bottom"/>
            <w:shd w:val="clear" w:color="auto" w:fill="CCEEFF"/>
          </w:tcPr>
          <w:p>
            <w:pPr>
              <w:ind w:left="140"/>
              <w:spacing w:after="0" w:line="217" w:lineRule="exact"/>
              <w:rPr>
                <w:sz w:val="20"/>
                <w:szCs w:val="20"/>
                <w:color w:val="auto"/>
              </w:rPr>
            </w:pPr>
            <w:r>
              <w:rPr>
                <w:rFonts w:ascii="Times New Roman" w:cs="Times New Roman" w:eastAsia="Times New Roman" w:hAnsi="Times New Roman"/>
                <w:sz w:val="16"/>
                <w:szCs w:val="16"/>
                <w:color w:val="auto"/>
              </w:rPr>
              <w:t>Contract liabilities - non-current</w:t>
            </w:r>
            <w:r>
              <w:rPr>
                <w:rFonts w:ascii="Times New Roman" w:cs="Times New Roman" w:eastAsia="Times New Roman" w:hAnsi="Times New Roman"/>
                <w:sz w:val="21"/>
                <w:szCs w:val="21"/>
                <w:color w:val="auto"/>
                <w:vertAlign w:val="superscript"/>
              </w:rPr>
              <w:t>(4)</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09"/>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26,942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28,309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27,387</w:t>
            </w:r>
          </w:p>
        </w:tc>
      </w:tr>
      <w:tr>
        <w:trPr>
          <w:trHeight w:val="21"/>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left="340" w:hanging="332"/>
        <w:spacing w:after="0" w:line="281"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quarters of fiscal 2025 and fiscal 2024, the Company recognized revenue of $1.9 million and $2.0 million related to the gift card liability balance that existed at March 29, 2025 and March 30, 2024, respectively. Additionally, during the first two quarters of fiscal 2025 and fiscal 2024, the Company recognized revenue of $5.5 million and $5.7 million related to the gift card liability balance that existed at December 28, 2024 and December 30, 2023, respectively.</w:t>
      </w:r>
    </w:p>
    <w:p>
      <w:pPr>
        <w:spacing w:after="0" w:line="1" w:lineRule="exact"/>
        <w:rPr>
          <w:rFonts w:ascii="Times New Roman" w:cs="Times New Roman" w:eastAsia="Times New Roman" w:hAnsi="Times New Roman"/>
          <w:sz w:val="14"/>
          <w:szCs w:val="14"/>
          <w:color w:val="auto"/>
        </w:rPr>
      </w:pPr>
    </w:p>
    <w:p>
      <w:pPr>
        <w:ind w:left="340" w:right="160" w:hanging="332"/>
        <w:spacing w:after="0" w:line="281"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received an upfront signing bonus from a third-party financial institution, which will be recognized as revenue on a straight-line basis over the term of the agreement. The amount as of June 28, 2025 reflects the current portion of this bonus and will be recognized as revenue through the end of fiscal 2025. The amounts as of December 28, 2024 and June 29, 2024 reflected the current portion of this bonus and were recognized as revenue over the subsequent twelve months.</w:t>
      </w:r>
    </w:p>
    <w:p>
      <w:pPr>
        <w:spacing w:after="0" w:line="1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 Other current liabilities on the Company’s condensed consolidated balance sheets.</w:t>
      </w:r>
    </w:p>
    <w:p>
      <w:pPr>
        <w:spacing w:after="0" w:line="68" w:lineRule="exact"/>
        <w:rPr>
          <w:rFonts w:ascii="Times New Roman" w:cs="Times New Roman" w:eastAsia="Times New Roman" w:hAnsi="Times New Roman"/>
          <w:sz w:val="14"/>
          <w:szCs w:val="14"/>
          <w:color w:val="auto"/>
        </w:rPr>
      </w:pPr>
    </w:p>
    <w:p>
      <w:pPr>
        <w:ind w:left="340" w:right="200" w:hanging="332"/>
        <w:spacing w:after="0" w:line="28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the non-current portion of the Carter’s credit card signing bonus and is included within Other long-term liabilities on the Company’s condensed consolidated balance sheets.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OTHER CURRENT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at the end of any comparable period,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8"/>
                <w:szCs w:val="18"/>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60" w:type="dxa"/>
            <w:vAlign w:val="bottom"/>
          </w:tcPr>
          <w:p>
            <w:pPr>
              <w:spacing w:after="0"/>
              <w:rPr>
                <w:sz w:val="18"/>
                <w:szCs w:val="18"/>
                <w:color w:val="auto"/>
              </w:rPr>
            </w:pPr>
          </w:p>
        </w:tc>
        <w:tc>
          <w:tcPr>
            <w:tcW w:w="15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29, 2024</w:t>
            </w:r>
          </w:p>
        </w:tc>
      </w:tr>
      <w:tr>
        <w:trPr>
          <w:trHeight w:val="212"/>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Unredeemed gift cards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24,484</w:t>
            </w: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11,546</w:t>
            </w: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11,940</w:t>
            </w: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taxes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7,671</w:t>
            </w:r>
          </w:p>
        </w:tc>
      </w:tr>
      <w:tr>
        <w:trPr>
          <w:trHeight w:val="219"/>
        </w:trPr>
        <w:tc>
          <w:tcPr>
            <w:tcW w:w="5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Accrued bonuses and incentive compensation</w:t>
            </w:r>
            <w:r>
              <w:rPr>
                <w:rFonts w:ascii="Times New Roman" w:cs="Times New Roman" w:eastAsia="Times New Roman" w:hAnsi="Times New Roman"/>
                <w:sz w:val="21"/>
                <w:szCs w:val="21"/>
                <w:color w:val="auto"/>
                <w:vertAlign w:val="superscript"/>
              </w:rPr>
              <w: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w:t>
            </w: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26,836</w:t>
            </w:r>
          </w:p>
        </w:tc>
      </w:tr>
      <w:tr>
        <w:trPr>
          <w:trHeight w:val="212"/>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95,270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130,052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84,895</w:t>
            </w:r>
          </w:p>
        </w:tc>
      </w:tr>
      <w:tr>
        <w:trPr>
          <w:trHeight w:val="21"/>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as of June 28, 2025 relates to higher planned attainment of financial targets relative to the prior periods.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SUPPLY CHAIN FINANCE PROGRAM</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established a voluntary supply chain finance (“SCF”) program through participating financial institutions. This SCF program enables participating suppliers to accelerate payments for receivables due from the Company by selling them directly to the participating financial institutions at their discretion. As of June 28, 2025, the SCF program has a $70.0 million revolving capacity. We are not a party to the agreements between the participating financial institutions and the suppliers in connection with the SCF program. Payment terms for most of our suppliers are 60 days, regardless of participation in the SCF program. The Company does not provide any guarantees under the SCF program.</w:t>
      </w:r>
    </w:p>
    <w:p>
      <w:pPr>
        <w:spacing w:after="0" w:line="1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Company’s liability related to amounts payable to the participating financial institution for suppliers who voluntarily participate in the SCF program are included in Accounts payable on our consolidated condensed balance sheets. As of June 28, 2025, December 28, 2024, and June 29, 2024, amounts under the SCF program included in Accounts payable were $27.6 million, $19.0 million, and $31.9 million, respectively. Payments made in connection with the SCF program, like payments of other accounts payable, are reflected as a reduction to our operating cash flow.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280" w:type="dxa"/>
            <w:vAlign w:val="bottom"/>
          </w:tcPr>
          <w:p>
            <w:pPr>
              <w:spacing w:after="0"/>
              <w:rPr>
                <w:sz w:val="18"/>
                <w:szCs w:val="18"/>
                <w:color w:val="auto"/>
              </w:rPr>
            </w:pPr>
          </w:p>
        </w:tc>
        <w:tc>
          <w:tcPr>
            <w:tcW w:w="15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June 29, 2024</w:t>
            </w:r>
          </w:p>
        </w:tc>
      </w:tr>
      <w:tr>
        <w:trPr>
          <w:trHeight w:val="213"/>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$500 million 5.625% senior notes due March 15, 2027</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issuance-related costs for senior notes</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w:t>
            </w:r>
          </w:p>
        </w:tc>
      </w:tr>
      <w:tr>
        <w:trPr>
          <w:trHeight w:val="212"/>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Senior notes, net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498,531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498,127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497,735</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revolving credit facility</w:t>
            </w:r>
          </w:p>
        </w:tc>
        <w:tc>
          <w:tcPr>
            <w:tcW w:w="2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558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Long-term debt, net</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498,531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498,127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497,735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Revolving Credit Facility</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June 28, 2025, December 28, 2024, and June 29, 2024, the Company had no outstanding borrowings under its secured revolving credit facility, exclusive of $6.9 million, $4.7 million, and $5.7 million of outstanding letters of credit, respectively.</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June 28, 2025, December 28, 2024, and June 29, 2024, there was $843.1 million, $845.3 million, and $844.3 million available for future borrowing. Any outstanding borrowings under the Company’s secured revolving credit facility are classified as non-current liabilities on the Company’s condensed consolidated balance sheets due to the contractual repayment terms under the credit facility. However, these repayment terms also allow us to repay some or all of the outstanding borrowings at any time.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the Secured Revolving Credit Facility</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secured revolving credit facility provides for an aggregate credit line of $850 million which includes a $750 million U.S. dollar facility and a $100 million multicurrency facility. The credit facility matures in April 2027.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secured revolving credit facility provides for a leverage-based pricing grid which determines an interest rate for borrowings, calculated as the applicable floating benchmark rate plus a credit spread adjustment, if any, plus an amount ranging from 1.125% to 1.625%, based on leverage. As of June 28, 2025, the borrowing rate for an adjusted term Secured Overnight Financing Rate (“SOFR”) loan would have been 5.54%, which includes a leverage-based adjustment of 1.125%.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28, 2025, the Company was in compliance with its financial and other covenants under the secured revolving credit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 Market Share Repurchases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and retired shares in open market transactions in the following amounts for the fiscal periods indicated:</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3220" w:type="dxa"/>
            <w:vAlign w:val="bottom"/>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00" w:type="dxa"/>
            <w:vAlign w:val="bottom"/>
          </w:tcPr>
          <w:p>
            <w:pPr>
              <w:spacing w:after="0"/>
              <w:rPr>
                <w:sz w:val="18"/>
                <w:szCs w:val="18"/>
                <w:color w:val="auto"/>
              </w:rPr>
            </w:pPr>
          </w:p>
        </w:tc>
        <w:tc>
          <w:tcPr>
            <w:tcW w:w="292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211"/>
        </w:trPr>
        <w:tc>
          <w:tcPr>
            <w:tcW w:w="48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29,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29, 2024</w:t>
            </w:r>
          </w:p>
        </w:tc>
      </w:tr>
      <w:tr>
        <w:trPr>
          <w:trHeight w:val="211"/>
        </w:trPr>
        <w:tc>
          <w:tcPr>
            <w:tcW w:w="486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Number of shares repurchased</w:t>
            </w:r>
            <w:r>
              <w:rPr>
                <w:rFonts w:ascii="Times New Roman" w:cs="Times New Roman" w:eastAsia="Times New Roman" w:hAnsi="Times New Roman"/>
                <w:sz w:val="21"/>
                <w:szCs w:val="21"/>
                <w:color w:val="auto"/>
                <w:vertAlign w:val="superscript"/>
              </w:rPr>
              <w:t>(1)</w:t>
            </w: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354,093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461,888</w:t>
            </w:r>
          </w:p>
        </w:tc>
      </w:tr>
      <w:tr>
        <w:trPr>
          <w:trHeight w:val="216"/>
        </w:trPr>
        <w:tc>
          <w:tcPr>
            <w:tcW w:w="4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Aggregate cost of shares repurchased </w:t>
            </w:r>
            <w:r>
              <w:rPr>
                <w:rFonts w:ascii="Times New Roman" w:cs="Times New Roman" w:eastAsia="Times New Roman" w:hAnsi="Times New Roman"/>
                <w:sz w:val="16"/>
                <w:szCs w:val="16"/>
                <w:i w:val="1"/>
                <w:iCs w:val="1"/>
                <w:color w:val="auto"/>
              </w:rPr>
              <w:t>(dollars in thousands)</w:t>
            </w:r>
            <w:r>
              <w:rPr>
                <w:rFonts w:ascii="Times New Roman" w:cs="Times New Roman" w:eastAsia="Times New Roman" w:hAnsi="Times New Roman"/>
                <w:sz w:val="21"/>
                <w:szCs w:val="21"/>
                <w:color w:val="auto"/>
                <w:vertAlign w:val="superscript"/>
              </w:rPr>
              <w:t>(2)</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33,778</w:t>
            </w:r>
          </w:p>
        </w:tc>
      </w:tr>
      <w:tr>
        <w:trPr>
          <w:trHeight w:val="216"/>
        </w:trPr>
        <w:tc>
          <w:tcPr>
            <w:tcW w:w="48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Average price per share</w:t>
            </w:r>
            <w:r>
              <w:rPr>
                <w:rFonts w:ascii="Times New Roman" w:cs="Times New Roman" w:eastAsia="Times New Roman" w:hAnsi="Times New Roman"/>
                <w:sz w:val="21"/>
                <w:szCs w:val="21"/>
                <w:color w:val="auto"/>
                <w:vertAlign w:val="superscript"/>
              </w:rPr>
              <w:t>(2)</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73.13</w:t>
            </w:r>
          </w:p>
        </w:tc>
      </w:tr>
    </w:tbl>
    <w:p>
      <w:pPr>
        <w:spacing w:after="0" w:line="126"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repurchases were made in compliance with all applicable rules and regulations and in accordance with the share repurchase authorizations.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cost of share repurchases and average price paid per share excludes excise tax on share repurchases.</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did not repurchase and retire shares in open market transactions in the second quarter and first two quarters of fiscal 2025. The total aggregate remaining capacity under outstanding repurchase authorizations as of June 28, 2025 was $599.0 million, based on settled repurchase transactions. The share repurchase authorizations have no expiration date.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at the discretion of the Company subject to restrictions under the Company’s secured revolving credit facility, market conditions, stock price, other investment priorities, and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first and second quarters of fiscal 2025, the Board of Directors declared, and the Company paid, a cash dividend per common share of $0.80 and $0.25, respectively (for an aggregate cash dividend per common share of $1.05 for the first two quarters of fiscal 2025). Additionally, in each of the first two quarters of fiscal 2024, the Board of Directors declared, and the Company paid, a cash dividend per common share of $0.80 (for an aggregate cash dividend per common share of $1.60 for the first two quarters of fiscal 2024). The Board of Directors will evaluate future dividend declarations based on a number of factors, including restrictions under the Company’s secured revolving credit facility, business conditions, the Company’s financial performance, and other considerations.</w:t>
      </w:r>
    </w:p>
    <w:p>
      <w:pPr>
        <w:spacing w:after="0" w:line="14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Provisions in the Company’s secured revolving credit facility could have the effect of restricting the Company’s ability to pay cash dividends on, or make future repurchases of, its common stock, as further described in Note 6,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the condensed consolidated financial statements</w:t>
      </w:r>
      <w:r>
        <w:rPr>
          <w:rFonts w:ascii="Times New Roman" w:cs="Times New Roman" w:eastAsia="Times New Roman" w:hAnsi="Times New Roman"/>
          <w:sz w:val="18"/>
          <w:szCs w:val="18"/>
          <w:i w:val="1"/>
          <w:i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as follows: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80" w:type="dxa"/>
            <w:vAlign w:val="bottom"/>
          </w:tcPr>
          <w:p>
            <w:pPr>
              <w:spacing w:after="0"/>
              <w:rPr>
                <w:sz w:val="18"/>
                <w:szCs w:val="18"/>
                <w:color w:val="auto"/>
              </w:rPr>
            </w:pPr>
          </w:p>
        </w:tc>
        <w:tc>
          <w:tcPr>
            <w:tcW w:w="298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29, 2024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29, 2024</w:t>
            </w:r>
          </w:p>
        </w:tc>
      </w:tr>
      <w:tr>
        <w:trPr>
          <w:trHeight w:val="198"/>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w:t>
            </w: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6"/>
        </w:trPr>
        <w:tc>
          <w:tcPr>
            <w:tcW w:w="46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Time-based awards</w:t>
            </w:r>
            <w:r>
              <w:rPr>
                <w:rFonts w:ascii="Times New Roman" w:cs="Times New Roman" w:eastAsia="Times New Roman" w:hAnsi="Times New Roman"/>
                <w:sz w:val="21"/>
                <w:szCs w:val="21"/>
                <w:color w:val="auto"/>
                <w:vertAlign w:val="superscript"/>
              </w:rPr>
              <w:t>(1)</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8,431</w:t>
            </w:r>
          </w:p>
        </w:tc>
      </w:tr>
      <w:tr>
        <w:trPr>
          <w:trHeight w:val="216"/>
        </w:trPr>
        <w:tc>
          <w:tcPr>
            <w:tcW w:w="46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Performance-based awards</w:t>
            </w:r>
            <w:r>
              <w:rPr>
                <w:rFonts w:ascii="Times New Roman" w:cs="Times New Roman" w:eastAsia="Times New Roman" w:hAnsi="Times New Roman"/>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Market-based awards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6"/>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awards</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9,290</w:t>
            </w: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20" w:hanging="332"/>
        <w:spacing w:after="0" w:line="28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in the first two quarters of fiscal 2025 was primarily due to the accelerated vesting of outstanding time-based restricted stock awards related to the retirement of our former CEO in the first quarter of fiscal 2025.</w:t>
      </w:r>
    </w:p>
    <w:p>
      <w:pPr>
        <w:spacing w:after="0" w:line="13" w:lineRule="exact"/>
        <w:rPr>
          <w:rFonts w:ascii="Times New Roman" w:cs="Times New Roman" w:eastAsia="Times New Roman" w:hAnsi="Times New Roman"/>
          <w:sz w:val="14"/>
          <w:szCs w:val="14"/>
          <w:color w:val="auto"/>
        </w:rPr>
      </w:pPr>
    </w:p>
    <w:p>
      <w:pPr>
        <w:ind w:left="340" w:right="320" w:hanging="332"/>
        <w:spacing w:after="0" w:line="30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and first two quarters of fiscal 2024, the achievement of performance target estimates related to certain performance-based grants were revised resulting in a reversal of previously recognized stock-based compensation expense.</w:t>
      </w:r>
    </w:p>
    <w:p>
      <w:pPr>
        <w:spacing w:after="0" w:line="12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cost ratably over the applicable performance periods based on the estimated probability of achievement of its performance targets at the end of each period.</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April 3, 2025, the Company granted the following awards to Douglas C. Palladini in connection with his appointment as CEO and President of the Company and a member of the Board of Directors: 98,400 shares of time-based restricted stock awards and 98,400 shares of market-based restricted stock awards. The number of shares granted was based on the closing price of the Company’s stock on the grant date, which was $35.57, with the time-based restricted stock awards having a grant-date fair value of $35.57 per share and the market-based restricted stock awards having a grant-date fair value of $10.67 per share. A Monte-Carlo simulation was utilized to determine the grant-date fair value of the market-based restricted stock awards.</w:t>
      </w:r>
    </w:p>
    <w:p>
      <w:pPr>
        <w:spacing w:after="0" w:line="1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market-based restricted stock awards issued to Mr. Palladini are eligible to be earned upon achieving share price hurdles for 20 consecutive trading days over a three-year period, starting on the award grant date. The share price hurdles were set based on growth rates of 30%, 60%, and 90% above the closing stock price on grant date, which was $35.57. One-third of the award will be earned upon achievement of each of the applicable share price hurdles, but no earned shares will vest until the end of the three-year period, subject to Mr. Palladini’s continued employment through the end of the three-year period.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ACCUMULATED OTHER COMPREHENSIVE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consisted of the following:</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300" w:type="dxa"/>
            <w:vAlign w:val="bottom"/>
          </w:tcPr>
          <w:p>
            <w:pPr>
              <w:spacing w:after="0"/>
              <w:rPr>
                <w:sz w:val="18"/>
                <w:szCs w:val="18"/>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June 29, 2024</w:t>
            </w:r>
          </w:p>
        </w:tc>
      </w:tr>
      <w:tr>
        <w:trPr>
          <w:trHeight w:val="213"/>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Cumulative foreign currency translation adjustments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(27,132)</w:t>
            </w:r>
          </w:p>
        </w:tc>
      </w:tr>
      <w:tr>
        <w:trPr>
          <w:trHeight w:val="216"/>
        </w:trPr>
        <w:tc>
          <w:tcPr>
            <w:tcW w:w="522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Pension and post-retirement obligations</w:t>
            </w:r>
            <w:r>
              <w:rPr>
                <w:rFonts w:ascii="Times New Roman" w:cs="Times New Roman" w:eastAsia="Times New Roman" w:hAnsi="Times New Roman"/>
                <w:sz w:val="21"/>
                <w:szCs w:val="21"/>
                <w:color w:val="auto"/>
                <w:vertAlign w:val="superscript"/>
              </w:rPr>
              <w:t>(*)</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(5,682)</w:t>
            </w:r>
          </w:p>
        </w:tc>
      </w:tr>
      <w:tr>
        <w:trPr>
          <w:trHeight w:val="234"/>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taxes of $1.2 million, $1.2 million, and $1.8 million for the periods ended June 28, 2025, December 28, 2024, and June 29, 2024, respectively.</w:t>
      </w:r>
    </w:p>
    <w:p>
      <w:pPr>
        <w:spacing w:after="0" w:line="19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During the first two quarters of both fiscal 2025 and fiscal 2024, no amounts were reclassified from Accumulated other comprehensive loss to the condensed consolidated statement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support of the Company’s employee deferred compensation plan, the Company invests comparable amounts in marketable securities, principally equity-based mutual funds, to approximate the participant’s investment return on employee deferrals of compensation. All of the marketable securities are included in Other assets on the Company’s condensed consolidated balance sheets, and their aggregate fair values were $20.0 million, $19.5 million, and $18.4 million at June 28, 2025, December 28, 2024, and June 29, 2024, respectively. These investments are classified as Level 1 within the fair value hierarchy. The change in the aggregate fair values of marketable securities is due to the net activity of gains and losses and any contributions and distributions during the period. Gains on the investments in marketable securities were $0.1 million and $0.5 million for the second quarter and the first two quarters of fiscal 2025, respectively. Gains on the investments in marketable securities were $0.5 million and $1.1 million for the second quarter and the first two quarters of fiscal 2024, respectively. These amounts are included in Other (income) expense, net on the Company’s condensed consolidated statement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28, 2025, the Company had no outstanding borrowings under its secured revolving credit facility.</w:t>
      </w:r>
    </w:p>
    <w:p>
      <w:pPr>
        <w:spacing w:after="0" w:line="18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fair value of the Company’s senior notes was $497.4 million, $494.4 million, and $491.3 million at June 28, 2025, December 28, 2024, and June 29, 2024, respectively. The fair value of these senior notes with a notional value and carrying value (gross of debt issuance costs) of $500.0 million was estimated using a quoted price as provided in the secondary market, which considers the Company’s credit risk and market related conditions, and is therefore within Level 2 of the fair value hierarchy.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 Assets, and Long-Lived Tangible Assets</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Some assets are not measured at fair value on a recurring basis but are subject to fair value adjustments only in certain circumstances. These assets can include goodwill, indefinite-lived intangible assets, and long-lived tangible assets that have been reduced to fair value when impaired. Assets that are written down to fair value when impaired are not subsequently adjusted to fair value unless further impairment occurs.</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In the fourth quarter of fiscal 2024, the Company recorded a non-cash pre-tax impairment charge of $30.0 million to reduce the carrying value of the indefinite-lived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tradename asset to $40.0 million. The impairment charge was driven by decreased actual and projected sales and profitability for our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brand.</w:t>
      </w:r>
    </w:p>
    <w:p>
      <w:pPr>
        <w:spacing w:after="0" w:line="1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2025, the Company identified a triggering event related to the new tariffs enacted by the Trump Administration and the resulting unfavorable impact on the Company’s financial forecasts, as well as a sustained decrease in the Company’s stock price since the last impairment test conducted in the fourth quarter of fiscal 2024. As a result, the Company performed a quantitative impairment test on the goodwill ascribed to each of the Company’s reporting units and on the value of its indefinite-lived intangible tradename assets.</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goodwill impairment assessment for each reporting unit was performed in accordance with ASC 350 and compares the carrying value of each reporting unit to its fair value. Consistent with prior practice, the Company uses a 50% weighting of the income approach and a 50% weighting of the market approach to determine the fair value of a reporting unit. The assumptions used in these approaches include revenue growth and profitability, terminal growth rates, discount rates, market multiples, and a control premium. Discount rates are dependent upon interest rates and the cost of capital at a point in time. These assumptions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are consistent with those we believe hypothetical marketplace participants would use. An impairment is recorded for any excess carrying value above the fair value of the reporting unit, not to exceed the carrying value of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these assessments, there were no impairments to the value of goodwill.</w:t>
      </w:r>
    </w:p>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indefinite-lived tradename asset assessments were performed in accordance with ASC 350 and were determined using the relief-from-royalty valuation method, which examines the hypothetical cost savings that accrue as a result of not having to license the tradename from another owner. The relief-from-royalty valuation method involves two steps: (1) estimation of reasonable royalty rates for the tradename assets and (2) the application of these royalty rates to a forecasted net revenue stream and discounting the resulting cash flows to determine a fair value. If the carrying amount exceeds the fair value of the tradename, an impairment charge is recognized in the amount of the excess.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these assessments, there were no impairments to the value of our indefinite-lived tradename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 was 73.8% for the second fiscal quarter ended June 28, 2025, compared to 19.6% for the second fiscal quarter ended June 29, 2024. The increase in the effective tax rate was driven by the lower income before income taxes in the second quarter of fiscal 2025, incremental tax expense of $0.9 million related to expiring stock-based compensation, and incremental tax expense of $0.5 million related to Hong Kong’s implementation of the Pillar Two global minimum tax legislation. This was partially offset by a lower proportion of income generated in the United States, where the tax rate is higher relative to some of our international jurisdictions, compared to the second quarter of fiscal 2024.</w:t>
      </w:r>
    </w:p>
    <w:p>
      <w:pPr>
        <w:spacing w:after="0" w:line="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 was 30.7% for the first two fiscal quarters ended June 28, 2025, compared to 22.1% for the first two fiscal quarters ended June 29, 2024. The increase in the effective tax rate was driven by the lower income before income taxes in the first two quarters of fiscal 2025, incremental tax expense of $1.8 million related to expiring stock-based compensation, and incremental tax expense of $0.5 million related to Hong Kong’s implementation of the Pillar Two global minimum tax legislation. This was partially offset by a lower proportion of income generated in the United States, where the tax rate is higher relative to some of our international jurisdictions, compared to the first two quarters of fiscal 2024.</w:t>
      </w:r>
    </w:p>
    <w:p>
      <w:pPr>
        <w:spacing w:after="0" w:line="4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of June 28, 2025, the Company had gross unrecognized income tax benefits of $8.6 million, of which $5.9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basic common shares outstanding to diluted common and common equivalent shares outstanding: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40" w:type="dxa"/>
            <w:vAlign w:val="bottom"/>
          </w:tcPr>
          <w:p>
            <w:pPr>
              <w:spacing w:after="0"/>
              <w:rPr>
                <w:sz w:val="18"/>
                <w:szCs w:val="18"/>
                <w:color w:val="auto"/>
              </w:rPr>
            </w:pPr>
          </w:p>
        </w:tc>
        <w:tc>
          <w:tcPr>
            <w:tcW w:w="256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211"/>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29, 2024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29, 2024</w:t>
            </w:r>
          </w:p>
        </w:tc>
      </w:tr>
      <w:tr>
        <w:trPr>
          <w:trHeight w:val="178"/>
        </w:trPr>
        <w:tc>
          <w:tcPr>
            <w:tcW w:w="20" w:type="dxa"/>
            <w:vAlign w:val="bottom"/>
            <w:tcBorders>
              <w:top w:val="single" w:sz="8" w:color="CCEEFF"/>
            </w:tcBorders>
            <w:shd w:val="clear" w:color="auto" w:fill="CCEEFF"/>
          </w:tcPr>
          <w:p>
            <w:pPr>
              <w:spacing w:after="0"/>
              <w:rPr>
                <w:sz w:val="15"/>
                <w:szCs w:val="15"/>
                <w:color w:val="auto"/>
              </w:rPr>
            </w:pPr>
          </w:p>
        </w:tc>
        <w:tc>
          <w:tcPr>
            <w:tcW w:w="5720" w:type="dxa"/>
            <w:vAlign w:val="bottom"/>
            <w:tcBorders>
              <w:top w:val="single" w:sz="8" w:color="CCEEFF"/>
            </w:tcBorders>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Weighted-average number of common and common equivalent shares outstanding:</w:t>
            </w: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53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color w:val="auto"/>
              </w:rPr>
              <w:t>Basic number of common shares outstanding</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35,409,988</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35,688,755</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35,361,039</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35,774,748</w:t>
            </w: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Dilutive effect of equity awards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r>
      <w:tr>
        <w:trPr>
          <w:trHeight w:val="212"/>
        </w:trPr>
        <w:tc>
          <w:tcPr>
            <w:tcW w:w="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Diluted number of common and common equivalent shares outstanding</w:t>
            </w: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35,409,988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35,688,890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35,361,644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35,776,440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76"/>
        </w:trPr>
        <w:tc>
          <w:tcPr>
            <w:tcW w:w="20" w:type="dxa"/>
            <w:vAlign w:val="bottom"/>
          </w:tcPr>
          <w:p>
            <w:pPr>
              <w:spacing w:after="0"/>
              <w:rPr>
                <w:sz w:val="15"/>
                <w:szCs w:val="15"/>
                <w:color w:val="auto"/>
              </w:rPr>
            </w:pPr>
          </w:p>
        </w:tc>
        <w:tc>
          <w:tcPr>
            <w:tcW w:w="57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Earnings per share:</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65,672</w:t>
            </w:r>
          </w:p>
        </w:tc>
      </w:tr>
      <w:tr>
        <w:trPr>
          <w:trHeight w:val="213"/>
        </w:trPr>
        <w:tc>
          <w:tcPr>
            <w:tcW w:w="20" w:type="dxa"/>
            <w:vAlign w:val="bottom"/>
            <w:tcBorders>
              <w:bottom w:val="single" w:sz="8" w:color="CCEEFF"/>
            </w:tcBorders>
          </w:tcPr>
          <w:p>
            <w:pPr>
              <w:spacing w:after="0"/>
              <w:rPr>
                <w:sz w:val="18"/>
                <w:szCs w:val="18"/>
                <w:color w:val="auto"/>
              </w:rPr>
            </w:pPr>
          </w:p>
        </w:tc>
        <w:tc>
          <w:tcPr>
            <w:tcW w:w="57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7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65,672</w:t>
            </w: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r>
      <w:tr>
        <w:trPr>
          <w:trHeight w:val="212"/>
        </w:trPr>
        <w:tc>
          <w:tcPr>
            <w:tcW w:w="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27,116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64,454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213"/>
        </w:trPr>
        <w:tc>
          <w:tcPr>
            <w:tcW w:w="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165"/>
        </w:trPr>
        <w:tc>
          <w:tcPr>
            <w:tcW w:w="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81"/>
        </w:trPr>
        <w:tc>
          <w:tcPr>
            <w:tcW w:w="20" w:type="dxa"/>
            <w:vAlign w:val="bottom"/>
          </w:tcPr>
          <w:p>
            <w:pPr>
              <w:spacing w:after="0"/>
              <w:rPr>
                <w:sz w:val="24"/>
                <w:szCs w:val="24"/>
                <w:color w:val="auto"/>
              </w:rPr>
            </w:pPr>
          </w:p>
        </w:tc>
        <w:tc>
          <w:tcPr>
            <w:tcW w:w="5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Anti-dilutive awards excluded from diluted earnings per share computation</w:t>
            </w:r>
            <w:r>
              <w:rPr>
                <w:rFonts w:ascii="Times New Roman" w:cs="Times New Roman" w:eastAsia="Times New Roman" w:hAnsi="Times New Roman"/>
                <w:sz w:val="21"/>
                <w:szCs w:val="21"/>
                <w:color w:val="auto"/>
                <w:vertAlign w:val="superscript"/>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316,202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438,632</w:t>
            </w:r>
          </w:p>
        </w:tc>
      </w:tr>
    </w:tbl>
    <w:p>
      <w:pPr>
        <w:spacing w:after="0" w:line="61"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anti-dilutive awards is, in part, due to the related unamortized compensation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identified three operating and reportable segments: U.S. Retail, U.S. Wholesale, and International. The U.S. Retail segment consists of revenue primarily from sales of products in the United States through our retail stores and eCommerce websites. Similarly, the U.S. Wholesale segment consists of revenue primarily from sales in the United States of products to our wholesale partners. The International segment consists of revenue primarily from sales of products outside the United States, largely through our retail stores and eCommerce websites in Canada and Mexico, and sales to our international wholesale customers and licensees. The Company sells similar products in each of its three segments.</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is the Chief Executive Officer. The chief operating decision maker evaluates the operating performance of the segments based upon each segment’s net sales and segment operating income. Segment operating income includes net sales, royalty income, and related cost of goods sold and selling, general, and administrative expenses attributable to each segment. Segment operating income excludes unallocated corporate expenses as well as specific charges that are not directly attributable to segment operations, including restructuring costs, operating model improvement costs, leadership transition costs, and impairment charges related to goodwill and indefinite-lived intangible assets.</w:t>
      </w:r>
    </w:p>
    <w:p>
      <w:pPr>
        <w:spacing w:after="0" w:line="1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fiscal 2024, the Company changed its measure of segment profitability to segment operating income, which excludes the charges mentioned above, and which were included in our previous measure of segment profitability, to better align with management’s assessment of segment performance and to provide better insights into segment performance. Prior period segment operating income for the second quarter and two fiscal quarters ended June 29, 2024 have been recast to conform to the current presentation. The Company does not evaluate performance or allocate resources based on segment asset data, and therefore total segments assets are not presented.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Certain costs, including incentive compensation for certain employees, and various other general corporate costs that are not specifically allocable to segments, are included in unallocated corporate expenses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certain segment information for our reportable segments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Fiscal quarter ended June 28, 2025</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8"/>
                <w:szCs w:val="18"/>
                <w:color w:val="auto"/>
              </w:rPr>
            </w:pPr>
          </w:p>
        </w:tc>
        <w:tc>
          <w:tcPr>
            <w:tcW w:w="13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299,549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192,998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92,766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585,313</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303,553</w:t>
            </w:r>
          </w:p>
        </w:tc>
      </w:tr>
      <w:tr>
        <w:trPr>
          <w:trHeight w:val="219"/>
        </w:trPr>
        <w:tc>
          <w:tcPr>
            <w:tcW w:w="41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Selling expenses</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155,893</w:t>
            </w:r>
          </w:p>
        </w:tc>
      </w:tr>
      <w:tr>
        <w:trPr>
          <w:trHeight w:val="216"/>
        </w:trPr>
        <w:tc>
          <w:tcPr>
            <w:tcW w:w="41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Distribution expenses</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38,416</w:t>
            </w:r>
          </w:p>
        </w:tc>
      </w:tr>
      <w:tr>
        <w:trPr>
          <w:trHeight w:val="216"/>
        </w:trPr>
        <w:tc>
          <w:tcPr>
            <w:tcW w:w="41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(3)</w:t>
            </w: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53,014</w:t>
            </w:r>
          </w:p>
        </w:tc>
      </w:tr>
      <w:tr>
        <w:trPr>
          <w:trHeight w:val="209"/>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Segment operating income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27,062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34,437</w:t>
            </w:r>
          </w:p>
        </w:tc>
      </w:tr>
      <w:tr>
        <w:trPr>
          <w:trHeight w:val="21"/>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expenses include the costs of operating our retail stores and eCommerce channels, as well as wholesale sales management costs.</w:t>
      </w:r>
    </w:p>
    <w:p>
      <w:pPr>
        <w:spacing w:after="0" w:line="68" w:lineRule="exact"/>
        <w:rPr>
          <w:rFonts w:ascii="Times New Roman" w:cs="Times New Roman" w:eastAsia="Times New Roman" w:hAnsi="Times New Roman"/>
          <w:sz w:val="14"/>
          <w:szCs w:val="14"/>
          <w:color w:val="auto"/>
        </w:rPr>
      </w:pPr>
    </w:p>
    <w:p>
      <w:pPr>
        <w:ind w:left="340" w:right="60" w:hanging="332"/>
        <w:spacing w:after="0" w:line="291"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expenses include payments to third-party shippers and handling costs to process product through our distribution facilities, including eCommerce fulfillment costs, and delivery to our wholesale customers and to our retail stores.</w:t>
      </w:r>
    </w:p>
    <w:p>
      <w:pPr>
        <w:spacing w:after="0" w:line="1" w:lineRule="exact"/>
        <w:rPr>
          <w:rFonts w:ascii="Times New Roman" w:cs="Times New Roman" w:eastAsia="Times New Roman" w:hAnsi="Times New Roman"/>
          <w:sz w:val="14"/>
          <w:szCs w:val="14"/>
          <w:color w:val="auto"/>
        </w:rPr>
      </w:pPr>
    </w:p>
    <w:p>
      <w:pPr>
        <w:ind w:left="340" w:right="60" w:hanging="332"/>
        <w:spacing w:after="0" w:line="302"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 royalty income and overhead costs that are attributable to our reportable segments and include allocated accounting, finance, human resources, and information technology expenses, occupancy costs, and other benefit and compensation programs, including performance-based compensation.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Two fiscal quarters ended June 28, 2025</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9"/>
                <w:szCs w:val="19"/>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220" w:type="dxa"/>
            <w:vAlign w:val="bottom"/>
          </w:tcPr>
          <w:p>
            <w:pPr>
              <w:spacing w:after="0"/>
              <w:rPr>
                <w:sz w:val="19"/>
                <w:szCs w:val="19"/>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24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9"/>
                <w:szCs w:val="19"/>
                <w:color w:val="auto"/>
              </w:rPr>
            </w:pPr>
          </w:p>
        </w:tc>
        <w:tc>
          <w:tcPr>
            <w:tcW w:w="13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443,094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178,065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1,215,139</w:t>
            </w: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642,289</w:t>
            </w:r>
          </w:p>
        </w:tc>
      </w:tr>
      <w:tr>
        <w:trPr>
          <w:trHeight w:val="23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expenses</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304,059</w:t>
            </w: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expenses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79,009</w:t>
            </w:r>
          </w:p>
        </w:tc>
      </w:tr>
      <w:tr>
        <w:trPr>
          <w:trHeight w:val="23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64,532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16,825</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16,586</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97,943</w:t>
            </w:r>
          </w:p>
        </w:tc>
      </w:tr>
      <w:tr>
        <w:trPr>
          <w:trHeight w:val="220"/>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Segment operating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82,372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91,839</w:t>
            </w:r>
          </w:p>
        </w:tc>
      </w:tr>
      <w:tr>
        <w:trPr>
          <w:trHeight w:val="24"/>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Fiscal quarter ended June 29, 2024</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9"/>
                <w:szCs w:val="19"/>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220" w:type="dxa"/>
            <w:vAlign w:val="bottom"/>
          </w:tcPr>
          <w:p>
            <w:pPr>
              <w:spacing w:after="0"/>
              <w:rPr>
                <w:sz w:val="19"/>
                <w:szCs w:val="19"/>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24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9"/>
                <w:szCs w:val="19"/>
                <w:color w:val="auto"/>
              </w:rPr>
            </w:pPr>
          </w:p>
        </w:tc>
        <w:tc>
          <w:tcPr>
            <w:tcW w:w="13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192,911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81,274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564,434</w:t>
            </w: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281,497</w:t>
            </w:r>
          </w:p>
        </w:tc>
      </w:tr>
      <w:tr>
        <w:trPr>
          <w:trHeight w:val="23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expenses</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114,246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140,792</w:t>
            </w: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expenses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36,911</w:t>
            </w:r>
          </w:p>
        </w:tc>
      </w:tr>
      <w:tr>
        <w:trPr>
          <w:trHeight w:val="23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6,155</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6,518</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45,392</w:t>
            </w:r>
          </w:p>
        </w:tc>
      </w:tr>
      <w:tr>
        <w:trPr>
          <w:trHeight w:val="21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Segment operating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36,207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59,842</w:t>
            </w: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Two fiscal quarters ended June 29, 2024</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9"/>
                <w:szCs w:val="19"/>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220" w:type="dxa"/>
            <w:vAlign w:val="bottom"/>
          </w:tcPr>
          <w:p>
            <w:pPr>
              <w:spacing w:after="0"/>
              <w:rPr>
                <w:sz w:val="19"/>
                <w:szCs w:val="19"/>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24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9"/>
                <w:szCs w:val="19"/>
                <w:color w:val="auto"/>
              </w:rPr>
            </w:pPr>
          </w:p>
        </w:tc>
        <w:tc>
          <w:tcPr>
            <w:tcW w:w="13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457,042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170,994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1,225,926</w:t>
            </w: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627,799</w:t>
            </w:r>
          </w:p>
        </w:tc>
      </w:tr>
      <w:tr>
        <w:trPr>
          <w:trHeight w:val="23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expenses</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50,828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285,432</w:t>
            </w: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expenses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77,377</w:t>
            </w:r>
          </w:p>
        </w:tc>
      </w:tr>
      <w:tr>
        <w:trPr>
          <w:trHeight w:val="23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12,130</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16,059</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95,667</w:t>
            </w:r>
          </w:p>
        </w:tc>
      </w:tr>
      <w:tr>
        <w:trPr>
          <w:trHeight w:val="217"/>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Segment operating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32,372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99,535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139,651</w:t>
            </w:r>
          </w:p>
        </w:tc>
      </w:tr>
      <w:tr>
        <w:trPr>
          <w:trHeight w:val="27"/>
        </w:trPr>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40" w:type="dxa"/>
            <w:vAlign w:val="bottom"/>
          </w:tcPr>
          <w:p>
            <w:pPr>
              <w:spacing w:after="0"/>
              <w:rPr>
                <w:sz w:val="19"/>
                <w:szCs w:val="19"/>
                <w:color w:val="auto"/>
              </w:rPr>
            </w:pPr>
          </w:p>
        </w:tc>
        <w:tc>
          <w:tcPr>
            <w:tcW w:w="252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223"/>
        </w:trPr>
        <w:tc>
          <w:tcPr>
            <w:tcW w:w="56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29, 2024</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29, 2024</w:t>
            </w:r>
          </w:p>
        </w:tc>
      </w:tr>
      <w:tr>
        <w:trPr>
          <w:trHeight w:val="230"/>
        </w:trPr>
        <w:tc>
          <w:tcPr>
            <w:tcW w:w="56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segment operating income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59,842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91,839</w:t>
            </w: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139,651</w:t>
            </w:r>
          </w:p>
        </w:tc>
      </w:tr>
      <w:tr>
        <w:trPr>
          <w:trHeight w:val="220"/>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Items not included in segment operating income: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5660" w:type="dxa"/>
            <w:vAlign w:val="bottom"/>
            <w:shd w:val="clear" w:color="auto" w:fill="CCEEFF"/>
          </w:tcPr>
          <w:p>
            <w:pPr>
              <w:ind w:left="140"/>
              <w:spacing w:after="0" w:line="239" w:lineRule="exact"/>
              <w:rPr>
                <w:sz w:val="20"/>
                <w:szCs w:val="20"/>
                <w:color w:val="auto"/>
              </w:rPr>
            </w:pPr>
            <w:r>
              <w:rPr>
                <w:rFonts w:ascii="Times New Roman" w:cs="Times New Roman" w:eastAsia="Times New Roman" w:hAnsi="Times New Roman"/>
                <w:sz w:val="16"/>
                <w:szCs w:val="16"/>
                <w:color w:val="auto"/>
              </w:rPr>
              <w:t>Unallocated corporate expenses</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(44,699)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(45,163)</w:t>
            </w:r>
          </w:p>
        </w:tc>
      </w:tr>
      <w:tr>
        <w:trPr>
          <w:trHeight w:val="229"/>
        </w:trPr>
        <w:tc>
          <w:tcPr>
            <w:tcW w:w="566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Operating model improvement costs</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6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Leadership transition costs</w:t>
            </w:r>
            <w:r>
              <w:rPr>
                <w:rFonts w:ascii="Times New Roman" w:cs="Times New Roman" w:eastAsia="Times New Roman" w:hAnsi="Times New Roman"/>
                <w:sz w:val="21"/>
                <w:szCs w:val="21"/>
                <w:color w:val="auto"/>
                <w:vertAlign w:val="superscript"/>
              </w:rPr>
              <w:t>(3)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39,452</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30,146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94,488</w:t>
            </w:r>
          </w:p>
        </w:tc>
      </w:tr>
      <w:tr>
        <w:trPr>
          <w:trHeight w:val="23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15,775</w:t>
            </w:r>
          </w:p>
        </w:tc>
      </w:tr>
      <w:tr>
        <w:trPr>
          <w:trHeight w:val="220"/>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(6,274)</w:t>
            </w:r>
          </w:p>
        </w:tc>
      </w:tr>
      <w:tr>
        <w:trPr>
          <w:trHeight w:val="23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217"/>
        </w:trPr>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34,364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23,052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84,309</w:t>
            </w:r>
          </w:p>
        </w:tc>
      </w:tr>
      <w:tr>
        <w:trPr>
          <w:trHeight w:val="27"/>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26" w:lineRule="exact"/>
        <w:rPr>
          <w:sz w:val="20"/>
          <w:szCs w:val="20"/>
          <w:color w:val="auto"/>
        </w:rPr>
      </w:pPr>
    </w:p>
    <w:p>
      <w:pPr>
        <w:ind w:left="340" w:right="160" w:hanging="332"/>
        <w:spacing w:after="0" w:line="271"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expenses include corporate overhead expenses that are not directly attributable to one of our reportable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2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third-party consulting costs to support operating model improvement costs.</w:t>
      </w:r>
    </w:p>
    <w:p>
      <w:pPr>
        <w:spacing w:after="0" w:line="68" w:lineRule="exact"/>
        <w:rPr>
          <w:rFonts w:ascii="Times New Roman" w:cs="Times New Roman" w:eastAsia="Times New Roman" w:hAnsi="Times New Roman"/>
          <w:sz w:val="14"/>
          <w:szCs w:val="14"/>
          <w:color w:val="auto"/>
        </w:rPr>
      </w:pPr>
    </w:p>
    <w:p>
      <w:pPr>
        <w:ind w:left="340" w:right="480" w:hanging="332"/>
        <w:spacing w:after="0" w:line="302"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costs associated with the transition of our former CEO, including accelerated vesting of outstanding time-based restricted stock awards pursuant to a retirement agreement approved by the Board of Directors, executive recruiting costs, and other related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Data by Segment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additional information for our reportable segments for the periods presented: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40" w:type="dxa"/>
            <w:vAlign w:val="bottom"/>
          </w:tcPr>
          <w:p>
            <w:pPr>
              <w:spacing w:after="0"/>
              <w:rPr>
                <w:sz w:val="19"/>
                <w:szCs w:val="19"/>
                <w:color w:val="auto"/>
              </w:rPr>
            </w:pPr>
          </w:p>
        </w:tc>
        <w:tc>
          <w:tcPr>
            <w:tcW w:w="252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223"/>
        </w:trPr>
        <w:tc>
          <w:tcPr>
            <w:tcW w:w="56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29, 2024</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29, 2024</w:t>
            </w:r>
          </w:p>
        </w:tc>
      </w:tr>
      <w:tr>
        <w:trPr>
          <w:trHeight w:val="229"/>
        </w:trPr>
        <w:tc>
          <w:tcPr>
            <w:tcW w:w="56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Wholesale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w:t>
            </w:r>
          </w:p>
        </w:tc>
      </w:tr>
      <w:tr>
        <w:trPr>
          <w:trHeight w:val="220"/>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Retail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17,865</w:t>
            </w:r>
          </w:p>
        </w:tc>
      </w:tr>
      <w:tr>
        <w:trPr>
          <w:trHeight w:val="23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5,827</w:t>
            </w:r>
          </w:p>
        </w:tc>
      </w:tr>
      <w:tr>
        <w:trPr>
          <w:trHeight w:val="223"/>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Unallocated corporate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w:t>
            </w:r>
          </w:p>
        </w:tc>
      </w:tr>
      <w:tr>
        <w:trPr>
          <w:trHeight w:val="223"/>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29,244</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contractual obligations and commitments include obligations associated with leases, the secured revolving credit agreement, senior notes, and employee benefit plans.</w:t>
      </w:r>
    </w:p>
    <w:p>
      <w:pPr>
        <w:spacing w:after="0" w:line="360"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w:t>
      </w:r>
    </w:p>
    <w:p>
      <w:pPr>
        <w:spacing w:after="0" w:line="31"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Statements in this Quarterly Report on Form 10-Q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Form 10-Q. These risks and uncertainties include, but are not limited to, those disclosed in Part II, Item 1A. “Risk Factors” of the Company’s Quarterly Report on Form 10-Q for the fiscal quarter ended June 28, 2025 and Part I, Item 1A. “Risk Factors” of the Company’s Annual Report on Form 10-K for the fiscal year ended December 28, 2024, and otherwise in our reports and filings with the Securities and Exchange Commission, as well as the following factors: changes in global economic and financial conditions, and the resulting impact on consumer confidence and consumer spending, as well as other changes in consumer discretionary spending habits; risks related</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to public health crises; risks related to consumer tastes and preferences, as well as fashion trends; the failure to protect our intellectual property; the diminished value of our brands, potentially as a result of negative publicity or unsuccessful branding and marketing efforts; delays, product recalls, or loss of revenue due to a failure to meet our quality standards; risks related to uncertainty regarding the future of international trade agreements and the United States’ position on international trade, as well as significant political, trade, and regulatory developments and other circumstances beyond our control; increased competition in the marketplace; financial difficulties for one or more of our major customers; identification of locations and negotiation of appropriate lease terms for our retail stores; distinct risks facing our eCommerce business; failure to forecast demand for our products and our failure to manage our inventory; increased margin pressures, including increased cost of materials and labor and our inability to successfully increase prices to offset these increased costs; continued inflationary pressures with respect to labor and raw materials and global supply chain constraints that have, and could continue, to affect freight, transit, and other costs; fluctuations in foreign currency exchange rates; unseasonable or extreme weather conditions; risks associated with corporate responsibility issues; our foreign sourcing arrangements; a relatively small number of vendors supply a significant amount of our products; disruptions in our supply chain, including increased transportation and freight costs; our ability to effectively source and manage inventory; problems with our Braselton, Georgia distribution facility; pending and threatened lawsuits; a breach of our information technology systems and the loss of personal data or a failure to implement new information technology systems successfully; unsuccessful expansion into international markets; failure to comply with various laws and regulations; failure to properly manage strategic initiatives; retention of key individuals; acquisition and integration of other brands and businesses; failure to achieve sales growth plans and profitability objectives to support the carrying value of our intangible assets; our continued ability to meet obligations related to our debt; changes in our tax obligations, including additional customs, duties or tariffs; our continued ability to declare and pay a dividend; volatility in the market price of our common stock; and the cost or effort required for our shareholders to bring certain claims or actions against us, as a result of our designation of the Court of Chancery of the State of Delaware as the sole and exclusive forum for certain types of actions and proceedings.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Quarterly Report on Form 10-Q does not constitute an admission by the Company or any other person that the events or circumstances described in such statement are material.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are the largest branded marketer of young children’s apparel in North America. We own two of the most highly recognized and trusted brand names in the children’s apparel market,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We also own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a leading young children’s lifestyle brand, </w:t>
      </w:r>
      <w:r>
        <w:rPr>
          <w:rFonts w:ascii="Times New Roman" w:cs="Times New Roman" w:eastAsia="Times New Roman" w:hAnsi="Times New Roman"/>
          <w:sz w:val="18"/>
          <w:szCs w:val="18"/>
          <w:i w:val="1"/>
          <w:iCs w:val="1"/>
          <w:color w:val="auto"/>
        </w:rPr>
        <w:t>Little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Planet</w:t>
      </w:r>
      <w:r>
        <w:rPr>
          <w:rFonts w:ascii="Times New Roman" w:cs="Times New Roman" w:eastAsia="Times New Roman" w:hAnsi="Times New Roman"/>
          <w:sz w:val="18"/>
          <w:szCs w:val="18"/>
          <w:color w:val="auto"/>
        </w:rPr>
        <w:t>, a brand focused on organic fabrics and sustainable materials,</w:t>
      </w:r>
      <w:r>
        <w:rPr>
          <w:rFonts w:ascii="Times New Roman" w:cs="Times New Roman" w:eastAsia="Times New Roman" w:hAnsi="Times New Roman"/>
          <w:sz w:val="18"/>
          <w:szCs w:val="18"/>
          <w:i w:val="1"/>
          <w:iCs w:val="1"/>
          <w:color w:val="auto"/>
        </w:rPr>
        <w:t xml:space="preserve"> Otter Avenue</w:t>
      </w:r>
      <w:r>
        <w:rPr>
          <w:rFonts w:ascii="Times New Roman" w:cs="Times New Roman" w:eastAsia="Times New Roman" w:hAnsi="Times New Roman"/>
          <w:sz w:val="18"/>
          <w:szCs w:val="18"/>
          <w:color w:val="auto"/>
        </w:rPr>
        <w:t>, a toddler-focused apparel brand, and exclusive</w:t>
      </w:r>
      <w:r>
        <w:rPr>
          <w:rFonts w:ascii="Times New Roman" w:cs="Times New Roman" w:eastAsia="Times New Roman" w:hAnsi="Times New Roman"/>
          <w:sz w:val="18"/>
          <w:szCs w:val="18"/>
          <w:i w:val="1"/>
          <w:iCs w:val="1"/>
          <w:color w:val="auto"/>
        </w:rPr>
        <w:t xml:space="preserve"> Carter’s </w:t>
      </w:r>
      <w:r>
        <w:rPr>
          <w:rFonts w:ascii="Times New Roman" w:cs="Times New Roman" w:eastAsia="Times New Roman" w:hAnsi="Times New Roman"/>
          <w:sz w:val="18"/>
          <w:szCs w:val="18"/>
          <w:color w:val="auto"/>
        </w:rPr>
        <w:t>brands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for Amazon, Target, and Walmart.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Established in 1865, our </w:t>
      </w:r>
      <w:r>
        <w:rPr>
          <w:rFonts w:ascii="Times New Roman" w:cs="Times New Roman" w:eastAsia="Times New Roman" w:hAnsi="Times New Roman"/>
          <w:sz w:val="17"/>
          <w:szCs w:val="17"/>
          <w:i w:val="1"/>
          <w:iCs w:val="1"/>
          <w:color w:val="auto"/>
        </w:rPr>
        <w:t>Carter’s</w:t>
      </w:r>
      <w:r>
        <w:rPr>
          <w:rFonts w:ascii="Times New Roman" w:cs="Times New Roman" w:eastAsia="Times New Roman" w:hAnsi="Times New Roman"/>
          <w:sz w:val="17"/>
          <w:szCs w:val="17"/>
          <w:color w:val="auto"/>
        </w:rPr>
        <w:t xml:space="preserve"> brand is recognized and trusted by consumers for high-quality apparel and accessories for children in sizes newborn to 14.</w:t>
      </w:r>
    </w:p>
    <w:p>
      <w:pPr>
        <w:spacing w:after="0" w:line="196"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1895,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is a well-known brand, trusted by consumers for high-quality apparel and accessories for children in sizes newborn to 14, with a focus on playclothes for toddlers and young children. We acquired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in 2005.</w:t>
      </w:r>
    </w:p>
    <w:p>
      <w:pPr>
        <w:spacing w:after="0" w:line="118"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2003, the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brand rethinks, reenergizes, and reimagines durable necessities to create higher value, superior quality, and award-winning products for parents, babies, and toddlers. We acquired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in 2017.</w:t>
      </w:r>
    </w:p>
    <w:p>
      <w:pPr>
        <w:spacing w:after="0" w:line="131"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color w:val="auto"/>
        </w:rPr>
        <w:t xml:space="preserve">Launched in 2021, the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xml:space="preserve"> brand focuses on sustainable clothing through the sourcing of mostly organic cotton as certified under the Global Organic Textile Standard (“GOTS”), a global textile processing standard for organic fibers. This brand includes a wide assortment of baby and toddler apparel, accessories, and sleepwear.</w:t>
      </w:r>
    </w:p>
    <w:p>
      <w:pPr>
        <w:spacing w:after="0" w:line="133" w:lineRule="exact"/>
        <w:rPr>
          <w:sz w:val="20"/>
          <w:szCs w:val="20"/>
          <w:color w:val="auto"/>
        </w:rPr>
      </w:pPr>
    </w:p>
    <w:p>
      <w:pPr>
        <w:ind w:right="840"/>
        <w:spacing w:after="0" w:line="284" w:lineRule="auto"/>
        <w:rPr>
          <w:sz w:val="20"/>
          <w:szCs w:val="20"/>
          <w:color w:val="auto"/>
        </w:rPr>
      </w:pPr>
      <w:r>
        <w:rPr>
          <w:rFonts w:ascii="Times New Roman" w:cs="Times New Roman" w:eastAsia="Times New Roman" w:hAnsi="Times New Roman"/>
          <w:sz w:val="18"/>
          <w:szCs w:val="18"/>
          <w:color w:val="auto"/>
        </w:rPr>
        <w:t xml:space="preserve">Launched in July 2025, </w:t>
      </w:r>
      <w:r>
        <w:rPr>
          <w:rFonts w:ascii="Times New Roman" w:cs="Times New Roman" w:eastAsia="Times New Roman" w:hAnsi="Times New Roman"/>
          <w:sz w:val="18"/>
          <w:szCs w:val="18"/>
          <w:i w:val="1"/>
          <w:iCs w:val="1"/>
          <w:color w:val="auto"/>
        </w:rPr>
        <w:t>Otter Avenue</w:t>
      </w:r>
      <w:r>
        <w:rPr>
          <w:rFonts w:ascii="Times New Roman" w:cs="Times New Roman" w:eastAsia="Times New Roman" w:hAnsi="Times New Roman"/>
          <w:sz w:val="18"/>
          <w:szCs w:val="18"/>
          <w:color w:val="auto"/>
        </w:rPr>
        <w:t xml:space="preserve"> is a toddler brand that focuses on functionality designed to encourage independence, while combining fun, sophistication, and fashion-forward styles. This brand includes a curated assortment of toddler apparel and accessories.</w:t>
      </w:r>
    </w:p>
    <w:p>
      <w:pPr>
        <w:spacing w:after="0" w:line="11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Additionally,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sold at Walmart, </w:t>
      </w:r>
      <w:r>
        <w:rPr>
          <w:rFonts w:ascii="Times New Roman" w:cs="Times New Roman" w:eastAsia="Times New Roman" w:hAnsi="Times New Roman"/>
          <w:sz w:val="18"/>
          <w:szCs w:val="18"/>
          <w:i w:val="1"/>
          <w:iCs w:val="1"/>
          <w:color w:val="auto"/>
        </w:rPr>
        <w:t>Just One You</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sold at Target, and </w:t>
      </w:r>
      <w:r>
        <w:rPr>
          <w:rFonts w:ascii="Times New Roman" w:cs="Times New Roman" w:eastAsia="Times New Roman" w:hAnsi="Times New Roman"/>
          <w:sz w:val="18"/>
          <w:szCs w:val="18"/>
          <w:i w:val="1"/>
          <w:iCs w:val="1"/>
          <w:color w:val="auto"/>
        </w:rPr>
        <w:t>Simple Joys</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available on Amazon.</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purpose is to embrace the wonder of childhood and uplift those shaping the future. We believe our brands are complementary to one another in product offering and aesthetic. Each brand is uniquely positioned in the marketplace and offers great value to families with young children. Our multichannel global business model, which includes retail stores, eCommerce, and wholesale distribution channels, as well as omni-channel capabilities in the United States and Canada, enables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us to reach a broad range of consumers around the world. As of June 28, 2025, our channels included 1,065 company-owned retail stores in North America, eCommerce websites, approximately 19,500 wholesale locations in North America, as well as our international wholesale accounts and licensees who operate in over 1,100 locations outside of North America in over 90 countries.</w:t>
      </w:r>
    </w:p>
    <w:p>
      <w:pPr>
        <w:spacing w:after="0" w:line="14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2024 fiscal year ended December 28,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10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 operates on a 52 or 53 week fiscal calendar. Fiscal 2025 will end on January 3, 2026 and includes 53 weeks. Fiscal 2024 ended on December 28, 2024 and included 52 weeks. The fiscal quarters ended June 28, 2025 and June 29, 2024 each included 13 weeks.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identified three operating and reportable segments: U.S. Retail, U.S. Wholesale, and International. Our U.S. Retail segment consists of revenue primarily from sales of products in the United States through our retail stores and eCommerce websites. Similarly, our U.S. Wholesale segment consists of revenue primarily from sales in the United States of products to our wholesale customers. Our International segment consists of revenue primarily from sales of products outside the United States, largely through our retail stores and eCommerce websites in Canada and Mexico, and sales to our international wholesale customers and licensees. The Company sells similar products in each of its three segments.</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fiscal 2024, the Company changed its measure of segment profitability to segment operating income. Segment operating income includes net sales, royalty income, and related cost of goods sold and selling, general, and administrative (“SG&amp;A”) expenses attributable to each segment. Segment operating income excludes unallocated corporate expenses as well as specific charges that are not directly attributable to segment operations, including restructuring costs, operating model improvement costs, leadership transition costs, and impairment charges related to goodwill and indefinite-lived intangible assets, which were included in our previous measure of segment profitability. This change has no impact on our consolidated operating income. Management believes this updated presentation more accurately reflects how the business is managed and provides better insight into segment performance. Prior period segment operating income for the fiscal quarter and two fiscal quarters ended June 29, 2024 have been recast to conform to the current presentation.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Gross profit is calculated as consolidated net sales less cost of goods sold. Gross margin is calculated as gross profit divided by consolidated net sales. Cost of goods sold includes expenses related to the merchandising, design, and procurement of product, including inbound freight, purchasing, receiving, and inspection costs. Also included in costs of goods sold are the costs of shipping eCommerce product to end consumers. Retail store occupancy costs, distribution expenses, and generally all other expenses other than interest and income taxes are included in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Our gross profit and gross margin may not be comparable to other entities that define their metrics differently.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 Metrics</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present comparable sales metrics because we consider them an important supplemental measure of our U.S. Retail and International performance, and the Company uses such information to assess the performance of the U.S. Retail and International segments. Additionally, we believe they are frequently used by securities analysts, investors, and other interested parties in the evaluation of our business.</w:t>
      </w:r>
    </w:p>
    <w:p>
      <w:pPr>
        <w:spacing w:after="0" w:line="13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comparable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more than five miles away, or there is a material change in square footage, such store is treated as a new store. Stores that are closed during the relevant fiscal period are included in the comparable store sales metrics up to the last full fiscal month of operations.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method of calculating sales metrics varies across the retail industry. As a result, our comparable sales metrics may not be comparable to those of other retailers.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Model Improvement</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2025, with the assistance of external industry experts, we conducted a comprehensive assessment of our business with the goal of identifying long-term growth opportunities and to scope the strategies and investments needed to realize them in the coming years.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review highlighted many strengths, including our brand assets, significant awareness and equity with consumers, and the unique reach of our multi-channel business model. It also identified a number of opportunities to improve the focus and appeal of our product offerings in order to capture new customer segments and market share going forward.</w:t>
      </w:r>
    </w:p>
    <w:p>
      <w:pPr>
        <w:spacing w:after="0" w:line="14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Based on learnings from the review, we are pursuing enhancements to our operating model, which include improving our product and brand development processes to be faster, nimbler, and more responsive to changing consumer preferences. We believe this operating model work is very foundational to improving our capabilities and will better position us for future growth. At the same time, we remain focused on disciplined cost management and plan to pursue additional productivity initiatives across the business.</w:t>
      </w:r>
    </w:p>
    <w:p>
      <w:pPr>
        <w:spacing w:after="0" w:line="1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Operating model improvement costs, primarily related to third-party consulting fees, were $6.6 million and $9.8 million for the fiscal quarter and two fiscal quarters ended June 28, 2025, respectively. These costs were included in SG&amp;A expenses in our condensed consolidated statement of operations. We anticipate incurring additional costs of approximately $4 million to $5 million for the remainder of fiscal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Update</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2025, the Board of Directors declared, and the Company paid, a cash dividend per common share of $0.25, which represented a 69% reduction when compared to the cash dividend per common share paid of $0.80 in the first quarter of fiscal 2025. The action was taken to realign our dividend with our current level of profitability, especially against the backdrop of a challenging market environment and the possibility the Company may incur significantly higher product costs as the result of the new proposed tariffs on products imported into the United States.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Transition</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March 26, 2025, the Company announced the appointment of Douglas C. Palladini as Chief Executive Officer and President and a member of the Board of Directors, effective April 3, 2025. Mr. Palladini brings extensive leadership and brand-building experience to the role and succeeded Richard F. Westenberger, then serving as Interim Chief Executive Officer. Mr. Westenberger continues to serve as Chief Financial Officer &amp; Chief Operating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or Anticipated Trends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Policy</w:t>
      </w:r>
    </w:p>
    <w:p>
      <w:pPr>
        <w:spacing w:after="0" w:line="108"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Following its inauguration in January 2025, the second Trump Administration has made numerous announcements and taken action to increase tariffs assessed on products imported into the United States, which introduced heightened uncertainty across the global economy. Given that we source all of our apparel and other products from a global network of third-party suppliers—primarily located in Asia—any new or increased tariffs, quotas, embargoes, or other trade barriers have the potential to adversely affect our supply chain, cost structure, margins, and competitiveness. Additionally, retaliatory actions taken by impacted countries could further disrupt global trade and create additional inflationary pressures in raw materials and logistics.</w:t>
      </w:r>
    </w:p>
    <w:p>
      <w:pPr>
        <w:spacing w:after="0" w:line="12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While these recently announced tariffs did not have a material impact on the Company’s financial results during the second quarter of fiscal 2025, we expect incremental tariffs related to imports from China, Vietnam, Indonesia, and other countries to negatively impact our pre-tax income by approximately $35 million in the second half of fiscal 2025. On an annualized gross basis, the Company estimates to incur additional costs of approximately $125 million to $150 million related to these incremental tariffs. The Company is pursuing actions to mitigate the impact, which include, but are not limited to, pricing of our products, product configurations, inventory management, country of origin mix, and sharing the costs of incremental tariffs with our vendor partners. These actions that we take may not fully offset the impact of tariffs and, as a result, our revenues, gross margins, and overall financial performance may be materially harmed.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Refer to the risk factor under the heading “Risk Factors” in Part II, Item 1A of this Quarterly Report on Form 10-Q and the risk factors disclosed under the heading, “Risk Factors,” in our most recently filed Annual Report on Form 10-K for further information on risks related to the uncertainty of future global trade relations.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Fiscal Quarter 2025 Financial Highlights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comparisons are to the second quarter of fiscal 2024:</w:t>
      </w:r>
    </w:p>
    <w:p>
      <w:pPr>
        <w:spacing w:after="0" w:line="104" w:lineRule="exact"/>
        <w:rPr>
          <w:sz w:val="20"/>
          <w:szCs w:val="20"/>
          <w:color w:val="auto"/>
        </w:rPr>
      </w:pPr>
    </w:p>
    <w:p>
      <w:pPr>
        <w:ind w:left="660" w:right="4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increased $20.9 million, or 3.7%, to $585.3 million, driven by higher unit volumes in U.S. Retail, increased traffic and demand in Mexico and Canada, and the timing of shipments to our international wholesale partners.</w:t>
      </w:r>
    </w:p>
    <w:p>
      <w:pPr>
        <w:spacing w:after="0" w:line="26" w:lineRule="exact"/>
        <w:rPr>
          <w:rFonts w:ascii="Times New Roman" w:cs="Times New Roman" w:eastAsia="Times New Roman" w:hAnsi="Times New Roman"/>
          <w:sz w:val="18"/>
          <w:szCs w:val="18"/>
          <w:color w:val="auto"/>
        </w:rPr>
      </w:pPr>
    </w:p>
    <w:p>
      <w:pPr>
        <w:ind w:left="1300" w:right="340" w:hanging="320"/>
        <w:spacing w:after="0" w:line="266"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Retail comparable net sales increased 2.2%, driven by improved conversion rates and higher units per transaction, resulting in increased units sold. Additionally, we saw an improvement in traffic trends in the second quarter. We believe this reflects the positive impact of our selected investments in pricing, compelling product offerings, and the timing of the Easter holiday.</w:t>
      </w:r>
    </w:p>
    <w:p>
      <w:pPr>
        <w:spacing w:after="0" w:line="54" w:lineRule="exact"/>
        <w:rPr>
          <w:rFonts w:ascii="Times New Roman" w:cs="Times New Roman" w:eastAsia="Times New Roman" w:hAnsi="Times New Roman"/>
          <w:sz w:val="18"/>
          <w:szCs w:val="18"/>
          <w:color w:val="auto"/>
        </w:rPr>
      </w:pPr>
    </w:p>
    <w:p>
      <w:pPr>
        <w:ind w:left="1300" w:right="300" w:hanging="320"/>
        <w:spacing w:after="0" w:line="266"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comparable net sales increased 7.6%, driven by improved traffic, higher conversion rates in stores, and higher units per transaction, which resulted in increased units sold. We believe this reflects the strength of our competitive positioning in the Canadian market.</w:t>
      </w:r>
    </w:p>
    <w:p>
      <w:pPr>
        <w:spacing w:after="0" w:line="54"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decreased $1.2 million, or 0.4%, to $281.8 million, and consolidated gross margin decreased 200 bps to 48.1%, due to factors that include lower average product selling prices per unit as a result of selective investments in pricing and higher sales to off-price wholesale channel customers.</w:t>
      </w:r>
    </w:p>
    <w:p>
      <w:pPr>
        <w:spacing w:after="0" w:line="40"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SG&amp;A expenses increased $33.5 million, or 13.5%, to $281.0 million. SG&amp;A as a percentage of consolidated net sales (“SG&amp;A rate”) increased 420 bps to 48.0%, driven by factors that include costs related to operating model improvements and leadership transition, investments in new and remodeled retail stores, and increased performance-based compensation.</w:t>
      </w:r>
    </w:p>
    <w:p>
      <w:pPr>
        <w:spacing w:after="0" w:line="54"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operating income decreased $35.4 million, or 89.7%, to $4.0 million and adjusted consolidated operating income, a non-GAAP financial measure, decreased $27.7 million, or 70.2%, to $11.8 million. Operating margin decreased 630 bps to 0.7%, and adjusted operating margin decreased 500 bps to 2.0%, driven by the factors discussed in detail below.</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decreased $27.2 million, or 98.4%, to $0.4 million, driven by the factors discussed in detail below.</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common share decreased $0.75, or 98.7%, to $0.01, and adjusted diluted net income per common share decreased $0.59, or 77.6%, to $0.17.</w:t>
      </w:r>
    </w:p>
    <w:p>
      <w:pPr>
        <w:spacing w:after="0" w:line="40"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two quarters of fiscal 2025, we opened 14 stores and closed 9 stores in the United States. We remain focused on improving the productivity of our existing U.S. Retail store fleet, including through the remodeling of existing store locations and closing underperforming stores as leases expire. Our new store comparable sales continue to outperform our overall fleet comparable sales, and we stay committed to selectively opening new stores in high-traffic, impactful locations. Additionally, we plan to focus on enhancing the in-store shopping experience, including through the implementation of a new fleet segmentation strategy beginning in fiscal 2026, to provide a better customer experience and to drive brand loyalty.</w:t>
      </w:r>
    </w:p>
    <w:p>
      <w:pPr>
        <w:spacing w:after="0" w:line="6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strong financial position and available liquidity, we returned $9.1 million in cash dividends to our shareholders in the second quarter of fiscal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FISCAL QUARTER ENDED JUNE 28, 2025 COMPARED TO SECOND FISCAL QUARTER ENDED JUNE 29,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60" w:type="dxa"/>
            <w:vAlign w:val="bottom"/>
            <w:gridSpan w:val="5"/>
          </w:tcPr>
          <w:p>
            <w:pPr>
              <w:ind w:left="92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June 29, 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 bps Change</w:t>
            </w:r>
          </w:p>
        </w:tc>
      </w:tr>
      <w:tr>
        <w:trPr>
          <w:trHeight w:val="21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585,313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564,434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20,879</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1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303,553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281,497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22,056</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2"/>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281,760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282,937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4"/>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Gross profit as % of consolidated net sales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48.1 %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50.1 %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(200) bps</w:t>
            </w: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4"/>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Royalty income as % of consolidated net sales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 bps</w:t>
            </w: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280,965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247,489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33,476</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r>
      <w:tr>
        <w:trPr>
          <w:trHeight w:val="214"/>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SG&amp;A expenses as % of consolidated net sales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48.0 %</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43.8 %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420 bps</w:t>
            </w:r>
          </w:p>
        </w:tc>
      </w:tr>
      <w:tr>
        <w:trPr>
          <w:trHeight w:val="21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39,452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(35,408)</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14"/>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Operating income as % of consolidated net sales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(630) bps</w:t>
            </w: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8"/>
                <w:szCs w:val="18"/>
                <w:color w:val="auto"/>
              </w:rPr>
            </w:pPr>
          </w:p>
        </w:tc>
        <w:tc>
          <w:tcPr>
            <w:tcW w:w="1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34.7 %</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0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7"/>
                <w:szCs w:val="17"/>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34,364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(32,661)</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6,725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r>
      <w:tr>
        <w:trPr>
          <w:trHeight w:val="209"/>
        </w:trPr>
        <w:tc>
          <w:tcPr>
            <w:tcW w:w="4120" w:type="dxa"/>
            <w:vAlign w:val="bottom"/>
            <w:tcBorders>
              <w:bottom w:val="single" w:sz="8" w:color="CCEEFF"/>
            </w:tcBorders>
          </w:tcPr>
          <w:p>
            <w:pPr>
              <w:ind w:left="220"/>
              <w:spacing w:after="0" w:line="210" w:lineRule="exact"/>
              <w:rPr>
                <w:sz w:val="20"/>
                <w:szCs w:val="20"/>
                <w:color w:val="auto"/>
              </w:rPr>
            </w:pPr>
            <w:r>
              <w:rPr>
                <w:rFonts w:ascii="Times New Roman" w:cs="Times New Roman" w:eastAsia="Times New Roman" w:hAnsi="Times New Roman"/>
                <w:sz w:val="16"/>
                <w:szCs w:val="16"/>
                <w:i w:val="1"/>
                <w:iCs w:val="1"/>
                <w:color w:val="auto"/>
              </w:rPr>
              <w:t>Effective tax rate</w:t>
            </w:r>
            <w:r>
              <w:rPr>
                <w:rFonts w:ascii="Times New Roman" w:cs="Times New Roman" w:eastAsia="Times New Roman" w:hAnsi="Times New Roman"/>
                <w:sz w:val="21"/>
                <w:szCs w:val="21"/>
                <w:i w:val="1"/>
                <w:iCs w:val="1"/>
                <w:color w:val="auto"/>
                <w:vertAlign w:val="superscript"/>
              </w:rPr>
              <w:t>(*)</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73.8 %</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19.6 %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nm</w:t>
            </w:r>
          </w:p>
        </w:tc>
      </w:tr>
      <w:tr>
        <w:trPr>
          <w:trHeight w:val="23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27,639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(27,193)</w:t>
            </w:r>
          </w:p>
        </w:tc>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r>
    </w:tbl>
    <w:p>
      <w:pPr>
        <w:spacing w:after="0" w:line="126"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 is calculated by dividing the provision for income taxes by income before income taxes.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 If applicable, percentage changes that are not considered meaningful are denoted with “nm”.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Sales</w:t>
      </w:r>
    </w:p>
    <w:p>
      <w:pPr>
        <w:spacing w:after="0" w:line="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Consolidated net sales increased $20.9 million, or 3.7%, to $585.3 million. The increase in net sales was driven by higher unit volumes in U.S. Retail, increased traffic and demand in Mexico and Canada, the timing of the Easter holiday, and the timing of shipments to our international wholesale partners. These increases were partially offset by lower average product selling prices per unit, driven by investments in pricing, and the unfavorable impact of foreign currency exchange rates due to a stronger U.S. dollar compared to the second quarter of fiscal 2024.</w:t>
      </w:r>
    </w:p>
    <w:p>
      <w:pPr>
        <w:spacing w:after="0" w:line="15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Units sold increased by a high-single digit percentage and average product selling prices per unit decreased by a mid-single digit percentage. Changes in foreign currency exchange rates used for translation had an unfavorable effect on our consolidated net sales of $3.1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Consolidated gross profit decreased $1.2 million, or 0.4%, to $281.8 million and consolidated gross margin decreased 200 bps to 48.1%. The decrease in consolidated gross profit and gross margin was driven by lower average product selling prices per unit and increased sales to our off-price wholesale channel customers, partially offset by decreased inventory provisions driven by improved utilization of excess inventory.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Consolidated SG&amp;A expenses increased $33.5 million, or 13.5%, to $281.0 million and increased as a percentage of consolidated net sales by 420 bps to 48.0%. This increase in SG&amp;A rate was driven by costs associated with operating model improvements and leadership transition, higher performance-based compensation expense, increased distribution expense related to higher volumes shipped and increased third-party logistics costs, and continued investments in new and remodeled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retail stores. Performance-based compensation expense, as a percentage of net sales, increased 130 bps, due to a higher projected attainment of annual incentive objectives relative to the prior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Consolidated operating income decreased $35.4 million, or 89.7%, to $4.0 million and decreased as a percentage of net sales by 630 bps to 0.7%, primarily due to the factors previously discussed.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Consolidated interest income increased $1.1 million to $4.3 million due to increased cash balances during the period and interest recognized on federal tax refunds.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Consolidated other income was $1.2 million in the second quarter of fiscal 2025 compared to consolidated other expense of $0.4 million in the second quarter of fiscal 2024. The change was driven by favorable changes in foreign currency exchange rates during the quarter.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Consolidated income tax provision decreased $5.5 million, or 81.3%, to $1.3 million and the effective tax rate increased to 73.8%. The increase in the effective tax rate is driven by the lower level of income before income taxes in the second quarter of fiscal 2025 quarter, incremental tax expense of $0.9 million related to expiring stock-based compensation, and incremental tax expense of $0.5 million related to Hong Kong’s implementation of the Pillar Two global minimum tax legislation. This was partially offset by a lower proportion of income generated in the United States, where the tax rate is higher relative to some of our international jurisdictions, compared to the second quarter of fiscal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income decreased $27.2 million, or 98.4%, to $0.4 million, primarily due to the factors previously discussed.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 - Second Quarter of Fiscal 2025 compared to Second Quarter of Fiscal 2024</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net sales by segment and segment operating income for the second quarter of fiscal 2025 and the second quarter of fiscal 2024:</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3"/>
                <w:szCs w:val="13"/>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14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00" w:type="dxa"/>
            <w:vAlign w:val="bottom"/>
          </w:tcPr>
          <w:p>
            <w:pPr>
              <w:spacing w:after="0"/>
              <w:rPr>
                <w:sz w:val="13"/>
                <w:szCs w:val="13"/>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29, 2024</w:t>
            </w: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1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Retail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299,549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51.2 %</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290,249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Wholesale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192,998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192,911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3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92,766</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81,274</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11,492</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Consolidated 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585,313</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564,434</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operating income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Segment operating</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operating margin</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Retail</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0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18,078</w:t>
            </w:r>
          </w:p>
        </w:tc>
        <w:tc>
          <w:tcPr>
            <w:tcW w:w="12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Wholesale</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3"/>
        </w:trPr>
        <w:tc>
          <w:tcPr>
            <w:tcW w:w="3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segment operating income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59,842</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Items not included in segment operating income:</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gridSpan w:val="3"/>
            <w:shd w:val="clear" w:color="auto" w:fill="CCEEFF"/>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operating margin</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operating margin</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(22,687)</w:t>
            </w:r>
          </w:p>
        </w:tc>
        <w:tc>
          <w:tcPr>
            <w:tcW w:w="10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(20,390)</w:t>
            </w:r>
          </w:p>
        </w:tc>
        <w:tc>
          <w:tcPr>
            <w:tcW w:w="12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Operating model improvement costs</w:t>
            </w:r>
            <w:r>
              <w:rPr>
                <w:rFonts w:ascii="Times New Roman" w:cs="Times New Roman" w:eastAsia="Times New Roman" w:hAnsi="Times New Roman"/>
                <w:sz w:val="21"/>
                <w:szCs w:val="21"/>
                <w:color w:val="auto"/>
                <w:vertAlign w:val="superscript"/>
              </w:rPr>
              <w:t>(2)</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(6,638)</w:t>
            </w:r>
          </w:p>
        </w:tc>
        <w:tc>
          <w:tcPr>
            <w:tcW w:w="1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n/a</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364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Leadership transition costs</w:t>
            </w:r>
            <w:r>
              <w:rPr>
                <w:rFonts w:ascii="Times New Roman" w:cs="Times New Roman" w:eastAsia="Times New Roman" w:hAnsi="Times New Roman"/>
                <w:sz w:val="21"/>
                <w:szCs w:val="21"/>
                <w:color w:val="auto"/>
                <w:vertAlign w:val="superscript"/>
              </w:rPr>
              <w:t>(3)</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tcPr>
          <w:p>
            <w:pPr>
              <w:spacing w:after="0"/>
              <w:rPr>
                <w:sz w:val="18"/>
                <w:szCs w:val="18"/>
                <w:color w:val="auto"/>
              </w:rPr>
            </w:pPr>
          </w:p>
        </w:tc>
        <w:tc>
          <w:tcPr>
            <w:tcW w:w="182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n/a</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4"/>
        </w:trPr>
        <w:tc>
          <w:tcPr>
            <w:tcW w:w="36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(27,702)</w:t>
            </w: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operating income for the fiscal quarter ended June 29, 2024 has been recast to conform to the current presentation.</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third-party consulting costs to support operating model improvements.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costs associated with the transition of our former CEO, including executive recruiting costs, and other related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w:t>
      </w:r>
    </w:p>
    <w:p>
      <w:pPr>
        <w:spacing w:after="0" w:line="9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U.S. Retail segment net sales increased $9.3 million, or 3.2%, to $299.5 million. The increase in net sales was driven by improved conversion rates and higher units per transaction, resulting in a high-single digit percentage increase in units sold. We believe this reflects the positive impact of our selective investments in pricing and the timing of the Easter holiday. Other contributing factors to the increase in net sales include sales contribution of our new retail stores and growth with our core baby assortment. These factors were partially offset by a low-single digit percentage decrease to average product selling prices per unit due to selective investments in our pricing and product mix, as well as lower demand for other product offerings, including our kid-sized assortment.</w:t>
      </w:r>
    </w:p>
    <w:p>
      <w:pPr>
        <w:spacing w:after="0" w:line="16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Comparable net sales, including retail store and eCommerce, increased 2.2% primarily driven by the factors mentioned above. As of June 28, 2025, we operated 809 retail stores in the U.S. compared to 804 as of December 28, 2024, and 789 as of June 29, 2024.</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U.S. Retail segment operating income decreased $14.3 million, or 79.2%, to $3.8 million, primarily due to a decrease in gross profit of $0.3 million and an increase in SG&amp;A expenses of $13.9 million. Segment operating margin decreased 490 bps to 1.3%, primarily driven by a 210 bps decrease in gross margin and a 290 bps increase in SG&amp;A rate. The decrease in gross margin was driven by decreased average product selling prices per unit mentioned above and product mix. The increase in SG&amp;A rate was driven by continued investments in new and remodeled retail stores and higher performance-based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w:t>
      </w:r>
    </w:p>
    <w:p>
      <w:pPr>
        <w:spacing w:after="0" w:line="1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U.S. Wholesale segment net sales increased $0.1 million to $193.0 million, driven by increased sales to our off-price wholesale channel customers and increased demand for our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xml:space="preserve"> brands. These factors were offset by a low-single digit decrease in sales of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lower demand for seasonal product with department stores, and decreased average product selling prices per unit. Units sold increased by a mid-single digit percentage. Average product selling prices per unit decreased by a mid-single digit percentage driven by selective investments in pricing and channel mix.</w:t>
      </w:r>
    </w:p>
    <w:p>
      <w:pPr>
        <w:spacing w:after="0" w:line="14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U.S. Wholesale segment operating income decreased $9.1 million, or 25.3%, to $27.1 million, primarily due to a decrease in gross profit of $3.2 million and an increase in SG&amp;A expenses of $5.6 million. Segment operating margin decreased 480 bps to 14.0%, driven by a 160 bps decrease in gross margin and a 290 bps increase in SG&amp;A rate. The decrease in gross margin was driven by decreased average product selling prices per unit sold and increased sales to low-margin off-price wholesale channel customers, partially offset by decreased inventory provisions driven by improved utilization of excess inventory. The increase in the SG&amp;A rate was driven by increased distribution expense related to higher volumes shipped and higher third-party logistics, increased performance-based compensation expense, and increased bad debt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International segment net sales increased $11.5 million, or 14.1%, to $92.8 million, driven by stronger traffic in Canada and Mexico and the timing of shipments to our international wholesale partners. Canadian comparable net sales, including retail stores and eCommerce, increased 7.6%, driven by improved traffic, higher conversion rates in stores, and higher units per transaction, resulting in increased units sold. We believe this reflects the strength of our competitive positioning in the Canadian market, the timing of the Easter holiday, and strong demand for our seasonal product. International segment units sold increased by a mid-teen digit percentage.</w:t>
      </w:r>
    </w:p>
    <w:p>
      <w:pPr>
        <w:spacing w:after="0" w:line="14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These factors were partially offset by decreased average product selling prices per unit. Average product selling prices per unit decreased by a low-single digit percentage, due to the unfavorable impact of foreign currency exchange rates. Changes in foreign currency exchange rates used for translation had a $3.1 million unfavorable effect on International segment net sales.</w:t>
      </w:r>
    </w:p>
    <w:p>
      <w:pPr>
        <w:spacing w:after="0" w:line="1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June 28, 2025, we operated 192 stores and 64 stores in Canada and Mexico, respectively. As of December 28, 2024, we operated 191 and 62 stores in Canada and Mexico, respectively. As of June 29, 2024, we operated 186 and 52 stores in Canada and Mexico, respectively.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International segment operating income decreased $2.0 million, or 35.1%, to $3.6 million, primarily due to an increase in SG&amp;A expenses of $4.0 million, partially offset by an increase in gross profit of $2.3 million. Segment operating margin decreased 290 bps to 3.9%, driven by a 380 bps decrease in gross margin, partially offset by a 130 bps decrease in the SG&amp;A rate. The decrease in gross margin was due to decreased average product selling prices per unit and higher average cost per unit sold. Average cost per unit sold increased by a high-single digit percentage due to higher product input costs. The decrease in the SG&amp;A rate was driven by fixed cost leverage on increased net sales, partially offset by increased performance-based compensation expense, retail store rent, retail store employee costs and bad debt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Unallocated corporate expenses increased $2.3 million, or 11.3%, to $22.7 million. Unallocated corporate expenses, as a percentage of consolidated net sales, increased 30 bps to 3.9% driven by increased performance-based compensation expense and higher recruiting costs.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ind w:right="1700"/>
        <w:spacing w:after="0" w:line="379" w:lineRule="auto"/>
        <w:rPr>
          <w:sz w:val="20"/>
          <w:szCs w:val="20"/>
          <w:color w:val="auto"/>
        </w:rPr>
      </w:pPr>
      <w:r>
        <w:rPr>
          <w:rFonts w:ascii="Times New Roman" w:cs="Times New Roman" w:eastAsia="Times New Roman" w:hAnsi="Times New Roman"/>
          <w:sz w:val="18"/>
          <w:szCs w:val="18"/>
          <w:b w:val="1"/>
          <w:bCs w:val="1"/>
          <w:color w:val="auto"/>
        </w:rPr>
        <w:t xml:space="preserve">TWO FISCAL QUARTERS ENDED JUNE 28, 2025 COMPARED TO TWO FISCAL QUARTERS ENDED JUNE 29, 2024 </w:t>
      </w:r>
      <w:r>
        <w:rPr>
          <w:rFonts w:ascii="Times New Roman" w:cs="Times New Roman" w:eastAsia="Times New Roman" w:hAnsi="Times New Roman"/>
          <w:sz w:val="18"/>
          <w:szCs w:val="18"/>
          <w:color w:val="auto"/>
        </w:rPr>
        <w:t>The following table summarizes our results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6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June 29, 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 / bps Change</w:t>
            </w:r>
          </w:p>
        </w:tc>
      </w:tr>
      <w:tr>
        <w:trPr>
          <w:trHeight w:val="21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1,215,139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1,225,926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(10,787)</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21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642,289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627,799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14,490</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2.3 %</w:t>
            </w:r>
          </w:p>
        </w:tc>
      </w:tr>
      <w:tr>
        <w:trPr>
          <w:trHeight w:val="212"/>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572,850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598,127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(25,277)</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214"/>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Gross profit as % of consolidated net sales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47.1 %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48.8 %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(170) bps</w:t>
            </w: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r>
      <w:tr>
        <w:trPr>
          <w:trHeight w:val="214"/>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Royalty income, net as % of consolidated net sales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(10) bps</w:t>
            </w: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551,284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512,859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38,425</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7.5 %</w:t>
            </w:r>
          </w:p>
        </w:tc>
      </w:tr>
      <w:tr>
        <w:trPr>
          <w:trHeight w:val="214"/>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SG&amp;A expenses as % of consolidated net sales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45.4 %</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41.8 %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360 bps</w:t>
            </w:r>
          </w:p>
        </w:tc>
      </w:tr>
      <w:tr>
        <w:trPr>
          <w:trHeight w:val="21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30,146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94,488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(64,342)</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w:t>
            </w:r>
          </w:p>
        </w:tc>
      </w:tr>
      <w:tr>
        <w:trPr>
          <w:trHeight w:val="214"/>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Operating income as % of consolidated net sales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(520) bps</w:t>
            </w: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8"/>
                <w:szCs w:val="18"/>
                <w:color w:val="auto"/>
              </w:rPr>
            </w:pPr>
          </w:p>
        </w:tc>
        <w:tc>
          <w:tcPr>
            <w:tcW w:w="1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(7,434)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18.5 %</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7"/>
                <w:szCs w:val="17"/>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23,052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84,309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(61,257)</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18,637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(11,570)</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w:t>
            </w:r>
          </w:p>
        </w:tc>
      </w:tr>
      <w:tr>
        <w:trPr>
          <w:trHeight w:val="209"/>
        </w:trPr>
        <w:tc>
          <w:tcPr>
            <w:tcW w:w="4120" w:type="dxa"/>
            <w:vAlign w:val="bottom"/>
            <w:tcBorders>
              <w:bottom w:val="single" w:sz="8" w:color="CCEEFF"/>
            </w:tcBorders>
          </w:tcPr>
          <w:p>
            <w:pPr>
              <w:ind w:left="220"/>
              <w:spacing w:after="0" w:line="210" w:lineRule="exact"/>
              <w:rPr>
                <w:sz w:val="20"/>
                <w:szCs w:val="20"/>
                <w:color w:val="auto"/>
              </w:rPr>
            </w:pPr>
            <w:r>
              <w:rPr>
                <w:rFonts w:ascii="Times New Roman" w:cs="Times New Roman" w:eastAsia="Times New Roman" w:hAnsi="Times New Roman"/>
                <w:sz w:val="16"/>
                <w:szCs w:val="16"/>
                <w:i w:val="1"/>
                <w:iCs w:val="1"/>
                <w:color w:val="auto"/>
              </w:rPr>
              <w:t>Effective tax rate</w:t>
            </w:r>
            <w:r>
              <w:rPr>
                <w:rFonts w:ascii="Times New Roman" w:cs="Times New Roman" w:eastAsia="Times New Roman" w:hAnsi="Times New Roman"/>
                <w:sz w:val="21"/>
                <w:szCs w:val="21"/>
                <w:i w:val="1"/>
                <w:iCs w:val="1"/>
                <w:color w:val="auto"/>
                <w:vertAlign w:val="superscript"/>
              </w:rPr>
              <w:t>(*)</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30.7 %</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22.1 %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860 bps</w:t>
            </w:r>
          </w:p>
        </w:tc>
      </w:tr>
      <w:tr>
        <w:trPr>
          <w:trHeight w:val="234"/>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65,672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(49,687)</w:t>
            </w:r>
          </w:p>
        </w:tc>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(76.1)%</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w:t>
            </w:r>
          </w:p>
        </w:tc>
      </w:tr>
    </w:tbl>
    <w:p>
      <w:pPr>
        <w:spacing w:after="0" w:line="126"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 is calculated by dividing the provision for income taxes by income before income taxes.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 Percentage changes that are not considered meaningful are denoted with “nm”.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Sales</w:t>
      </w:r>
    </w:p>
    <w:p>
      <w:pPr>
        <w:spacing w:after="0" w:line="1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Consolidated net sales decreased $10.8 million, or 0.9%, to $1.22 billion. The decrease in net sales was driven by lower demand for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decreased average product selling prices per unit driven by selective investments in pricing, reduced traffic in U.S. Retail, and the unfavorable impact of foreign currency exchange rates due to a stronger U.S. dollar compared to the first two quarters of fiscal 2024. These decreases were partially offset by increased units per transaction driven by our selective investments in pricing, increased sales to off-price wholesale channel customers, and increased demand in Canada and from our international wholesale partners.</w:t>
      </w:r>
    </w:p>
    <w:p>
      <w:pPr>
        <w:spacing w:after="0" w:line="14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Average product selling prices per unit decreased by a mid-single digit percentage and units sold increased by a low-single digit percentage. Changes in foreign currency exchange rates used for translation had an unfavorable effect on our consolidated net sales of $9.5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0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Consolidated gross profit decreased $25.3 million, or 4.2%, to $572.9 million and consolidated gross margin decreased 170 bps to 47.1%. The decrease in consolidated gross profit and gross margin was driven by decreased net sales, lower average product selling prices per unit, and increased sales to off-price wholesale channel customers, partially offset by channel mix and decreased inventory provisions driven by improved utilization of excess inventory.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Consolidated SG&amp;A expenses increased $38.4 million, or 7.5%, to $551.3 million and increased as a percentage of consolidated net sales by 360 bps to 45.4%. This increase in SG&amp;A rate was driven by fixed cost deleverage on decreased sales, costs related to operating model improvements and leadership transition, increased performance-based compensation expense, increased distribution costs due to increased units shipped and higher third-party logistics costs, investments in new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remodeled retail stores, and higher recruiting costs. Performance-based compensation expense as a percentage of net sales increased 50 bps, due to a higher projected attainment of annual incentive objectives relative to the prior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Consolidated operating income decreased $64.3 million, or 68.1%, to $30.1 million and decreased as a percentage of net sales by 520 bps to 2.5%, primarily due to the factors previously discussed.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Consolidated interest income increased $1.2 million to $7.4 million, due to increased cash balances during the period and interest recognized on federal tax refunds.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Consolidated other income was $1.1 million in the first two quarters of fiscal 2025 compared to consolidated other expense of $0.7 million in the first two quarters of fiscal 2024. The change was driven by favorable changes in foreign currency exchange rates during the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Consolidated income tax provision decreased $11.6 million, or 62.1%, to $7.1 million and the effective tax rate increased 860 bps to 30.7%. The increase in the effective tax rate was driven by the lower income before income taxes in the first two quarters of fiscal 2025, incremental tax expense of $1.8 million related to expiring stock-based compensation, and incremental tax expense of $0.5 million related to Hong Kong’s implementation of the Pillar Two global minimum tax legislation. This was partially offset by a lower proportion of income generated in the United States, where the tax rate is higher relative to some of our international jurisdictions, compared to the first quarters of fiscal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income decreased $49.7 million, or 75.7%, to $16.0 million, primarily due to the factors previously discussed.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 - First Two Quarters of Fiscal 2025 compared to First Two Quarters of Fiscal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and segment operating income, by segment, for the first two quarters of fiscal 2025 and fiscal 2024:</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15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6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June 29, 2024</w:t>
            </w:r>
          </w:p>
        </w:tc>
        <w:tc>
          <w:tcPr>
            <w:tcW w:w="13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593,980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597,890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443,094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457,042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3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178,065</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170,994</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7,071</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Consolidated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1,215,139</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1,225,926</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Segment operating income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Segment operating</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Segment operating</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7"/>
                <w:szCs w:val="17"/>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32,372</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(26,296)</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82,372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99,535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3"/>
        </w:trPr>
        <w:tc>
          <w:tcPr>
            <w:tcW w:w="3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7,744</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segment operating income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91,839</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139,651</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Items not included in segment operating</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6"/>
        </w:trPr>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operating margin</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operating margin</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7"/>
        </w:trPr>
        <w:tc>
          <w:tcPr>
            <w:tcW w:w="3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(44,699)</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7"/>
                <w:szCs w:val="17"/>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(45,163)</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304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Operating model improvement costs</w:t>
            </w:r>
            <w:r>
              <w:rPr>
                <w:rFonts w:ascii="Times New Roman" w:cs="Times New Roman" w:eastAsia="Times New Roman" w:hAnsi="Times New Roman"/>
                <w:sz w:val="21"/>
                <w:szCs w:val="21"/>
                <w:color w:val="auto"/>
                <w:vertAlign w:val="superscript"/>
              </w:rPr>
              <w:t>(2)</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6"/>
        </w:trPr>
        <w:tc>
          <w:tcPr>
            <w:tcW w:w="304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Leadership transition costs</w:t>
            </w:r>
            <w:r>
              <w:rPr>
                <w:rFonts w:ascii="Times New Roman" w:cs="Times New Roman" w:eastAsia="Times New Roman" w:hAnsi="Times New Roman"/>
                <w:sz w:val="21"/>
                <w:szCs w:val="21"/>
                <w:color w:val="auto"/>
                <w:vertAlign w:val="superscript"/>
              </w:rPr>
              <w:t>(3)</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(7,194)</w:t>
            </w: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4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34"/>
        </w:trPr>
        <w:tc>
          <w:tcPr>
            <w:tcW w:w="3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(64,342)</w:t>
            </w: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operating income for the two fiscal quarters ended June 29, 2024 have been recast to conform to the current presentation.</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third-party consulting costs to support operating model improvements.</w:t>
      </w:r>
    </w:p>
    <w:p>
      <w:pPr>
        <w:spacing w:after="0" w:line="68" w:lineRule="exact"/>
        <w:rPr>
          <w:rFonts w:ascii="Times New Roman" w:cs="Times New Roman" w:eastAsia="Times New Roman" w:hAnsi="Times New Roman"/>
          <w:sz w:val="14"/>
          <w:szCs w:val="14"/>
          <w:color w:val="auto"/>
        </w:rPr>
      </w:pPr>
    </w:p>
    <w:p>
      <w:pPr>
        <w:ind w:left="340" w:right="460" w:hanging="332"/>
        <w:spacing w:after="0" w:line="282"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costs associated with the transition of our former CEO, including accelerated vesting of outstanding time-based restricted stock awards pursuant to a retirement agreement approved by the Board of Directors, executive recruiting costs, and other related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U.S. Retail segment net sales decreased $3.9 million, or 0.7%, to $594.0 million. The decrease in net sales was driven by lower average product selling prices per unit, decreased traffic in our retail stores, and lower demand for our kid-sized assortment. These factors were partially offset by sales contribution of our new retail stores and growth in our baby size products. Decreased traffic was partially offset by increased conversion rates and unit per transactions in both our stores and eCommerce channels. As a result, units sold increased by a mid-single digit percentage, reflecting the positive impact of our selective investments in pricing.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product selling prices per unit decreased by a mid-single digit percentage due to selective investments in our pricing and product mix.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net sales, including retail store and eCommerce, decreased 1.6% driven by the factors mentioned above.</w:t>
      </w:r>
    </w:p>
    <w:p>
      <w:pPr>
        <w:spacing w:after="0" w:line="180"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U.S. Retail segment operating income decreased $26.3 million, or 81.2%, to $6.1 million, primarily due to a decrease in gross profit of $10.6 million and an increase in SG&amp;A expenses of $15.5 million. Segment operating margin decreased 440 bps to 1.0%, driven by a 140 bps decrease in gross margin and a 300 bps increase in the SG&amp;A rate. The decrease in gross margin was driven by decreased average product selling prices per unit and product mix. The increase in the SG&amp;A rate was driven by investments in new and remodeled retail stores, increased performance-based compensation expense, and fixed cost deleverage on lower net sales.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U.S. Wholesale segment net sales decreased $13.9 million, or 3.1%, to $443.1 million, driven by a high-single digit decrease in sales of our exclusive </w:t>
      </w:r>
      <w:r>
        <w:rPr>
          <w:rFonts w:ascii="Times New Roman" w:cs="Times New Roman" w:eastAsia="Times New Roman" w:hAnsi="Times New Roman"/>
          <w:sz w:val="18"/>
          <w:szCs w:val="18"/>
          <w:i w:val="1"/>
          <w:iCs w:val="1"/>
          <w:color w:val="auto"/>
        </w:rPr>
        <w:t xml:space="preserve">Carter’s </w:t>
      </w:r>
      <w:r>
        <w:rPr>
          <w:rFonts w:ascii="Times New Roman" w:cs="Times New Roman" w:eastAsia="Times New Roman" w:hAnsi="Times New Roman"/>
          <w:sz w:val="18"/>
          <w:szCs w:val="18"/>
          <w:color w:val="auto"/>
        </w:rPr>
        <w:t>brands, decreased demand with department stores, and decreased average product selling prices per unit. These factors were partially offset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sales to our off-price wholesale channel customers and increased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4"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demand for our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brand. Average product selling prices per unit decreased by a mid-single digit percentage. Units sold increased by a low-single digit percentage.</w:t>
      </w:r>
    </w:p>
    <w:p>
      <w:pPr>
        <w:spacing w:after="0" w:line="12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U.S. Wholesale segment operating income decreased $17.2 million, or 17.2%, to $82.4 million, primarily due to a decrease in gross profit of $10.9 million and a increase in SG&amp;A expenses of $5.9 million. Segment operating margin decreased 320 bps to 18.6%. The drivers of the decrease in operating margin were a 150 bps decrease in gross margin and a 170 bps increase in SG&amp;A rate. The decrease in gross margin was driven by decreased average product selling prices per unit sold and channel mix, partially offset by decreased inventory provisions driven by improved utilization of excess inventory. The increase in the SG&amp;A rate was driven by increased distribution and performance-based compensation costs, as well as fixed cost deleverage on decreased sales.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9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International segment net sales increased $7.1 million, or 4.1%, to $178.1 million, driven by stronger traffic in Canada and Mexico and improved demand with our international wholesale partners. Canadian comparable net sales, including retail stores and eCommerce, increased 5.1% driven by an increase in traffic, higher conversion rates in stores, and higher units per transaction, resulting in increased units sold. We believe this reflects the positive impacts of our selective investments in pricing, the strength of our competitive positioning in the Canadian market, and the Canadian sales tax holiday. International segment units sold increased by a low-double digit percentage.</w:t>
      </w:r>
    </w:p>
    <w:p>
      <w:pPr>
        <w:spacing w:after="0" w:line="1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These factors were partially offset by decreased average product selling prices per unit. Average product selling prices per unit decreased by a mid-single digit percentage, due to the unfavorable impact of foreign currency exchange rates. Changes in foreign currency exchange rates used for translation had a $9.5 million unfavorable effect on International segment net sales.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International segment operating income decreased $4.4 million, or 56.2%, to $3.4 million, primarily due to a decrease in gross profit of $3.8 million and an increase in SG&amp;A expenses of $0.5 million. Segment operating margin decreased 260 bps to 1.9%, driven by a 410 bps decrease in gross margin, partially offset by a 160 bps decrease in the SG&amp;A rate. The decrease in gross margin was due to decreased average product selling prices per unit and increased average cost per unit sold. Average cost per unit sold increased by a low-single digit percentage due to higher product input costs. The decrease in the SG&amp;A rate was driven by fixed cost leverage on increased net sales, partially offset by increased performance-based compensation, increased retail store rent, and retail store employee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Unallocated corporate expenses decreased $0.5 million, or 1.0%, to $44.7 million and unallocated corporate expenses, as a percentage of consolidated net sales, was consistent at 3.7%.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provided non-GAAP adjusted operating income, income taxes, net income, and diluted net income per common share measures, which exclude certain items presented below. We believe that this information provides a meaningful comparison of our results and affords investors a view of what management considers to be our core performance, and we also, from time to time, use some of these non-GAAP measures, such as adjusted operating income, as performance metrics in awards under our annual and long-term incentive compensation plans. These measures are not in accordance with, or an alternative to, generally accepted accounting principles in the U.S. (GAAP). The most comparable GAAP measures are operating income, income tax provision, net income, and diluted net income per common share, respectively. Adjusted operating income, income taxes, net income, and diluted net income per common share should not be considered in isolation or as a substitute for analysis of our results as reported in accordance with GAAP. Other companies may calculate adjusted operating income, income taxes, net income, and diluted net income per common share differently than we do, limiting the usefulness of the measure for comparisons with other companies.</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6"/>
                <w:szCs w:val="16"/>
                <w:b w:val="1"/>
                <w:bCs w:val="1"/>
                <w:color w:val="auto"/>
              </w:rPr>
              <w:t>June 29, 2024</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Diluted Net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Diluted Net</w:t>
            </w:r>
          </w:p>
        </w:tc>
        <w:tc>
          <w:tcPr>
            <w:tcW w:w="0" w:type="dxa"/>
            <w:vAlign w:val="bottom"/>
          </w:tcPr>
          <w:p>
            <w:pPr>
              <w:spacing w:after="0"/>
              <w:rPr>
                <w:sz w:val="1"/>
                <w:szCs w:val="1"/>
                <w:color w:val="auto"/>
              </w:rPr>
            </w:pPr>
          </w:p>
        </w:tc>
      </w:tr>
      <w:tr>
        <w:trPr>
          <w:trHeight w:val="162"/>
        </w:trPr>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20" w:type="dxa"/>
            <w:vAlign w:val="bottom"/>
          </w:tcPr>
          <w:p>
            <w:pPr>
              <w:spacing w:after="0"/>
              <w:rPr>
                <w:sz w:val="14"/>
                <w:szCs w:val="14"/>
                <w:color w:val="auto"/>
              </w:rPr>
            </w:pP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0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020" w:type="dxa"/>
            <w:vAlign w:val="bottom"/>
            <w:tcBorders>
              <w:right w:val="single" w:sz="8" w:color="auto"/>
            </w:tcBorders>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Income per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20" w:type="dxa"/>
            <w:vAlign w:val="bottom"/>
          </w:tcPr>
          <w:p>
            <w:pPr>
              <w:spacing w:after="0"/>
              <w:rPr>
                <w:sz w:val="14"/>
                <w:szCs w:val="14"/>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 Net</w:t>
            </w:r>
          </w:p>
        </w:tc>
        <w:tc>
          <w:tcPr>
            <w:tcW w:w="120" w:type="dxa"/>
            <w:vAlign w:val="bottom"/>
          </w:tcPr>
          <w:p>
            <w:pPr>
              <w:spacing w:after="0"/>
              <w:rPr>
                <w:sz w:val="14"/>
                <w:szCs w:val="14"/>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9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Income per</w:t>
            </w: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except earnings per</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right w:val="single" w:sz="8" w:color="auto"/>
            </w:tcBorders>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0" w:type="dxa"/>
            <w:vAlign w:val="bottom"/>
          </w:tcPr>
          <w:p>
            <w:pPr>
              <w:spacing w:after="0"/>
              <w:rPr>
                <w:sz w:val="1"/>
                <w:szCs w:val="1"/>
                <w:color w:val="auto"/>
              </w:rPr>
            </w:pPr>
          </w:p>
        </w:tc>
      </w:tr>
      <w:tr>
        <w:trPr>
          <w:trHeight w:val="214"/>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share)</w:t>
            </w:r>
          </w:p>
        </w:tc>
        <w:tc>
          <w:tcPr>
            <w:tcW w:w="1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Taxes</w:t>
            </w:r>
          </w:p>
        </w:tc>
        <w:tc>
          <w:tcPr>
            <w:tcW w:w="10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2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Taxes</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211"/>
        </w:trPr>
        <w:tc>
          <w:tcPr>
            <w:tcW w:w="1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 (GAAP)</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c>
          <w:tcPr>
            <w:tcW w:w="120" w:type="dxa"/>
            <w:vAlign w:val="bottom"/>
            <w:tcBorders>
              <w:top w:val="single" w:sz="8" w:color="auto"/>
              <w:righ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39.5</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0.76</w:t>
            </w: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Operating model</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5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improvement costs</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Leadership transition</w:t>
            </w: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costs</w:t>
            </w:r>
            <w:r>
              <w:rPr>
                <w:rFonts w:ascii="Times New Roman" w:cs="Times New Roman" w:eastAsia="Times New Roman" w:hAnsi="Times New Roman"/>
                <w:sz w:val="21"/>
                <w:szCs w:val="21"/>
                <w:color w:val="auto"/>
                <w:vertAlign w:val="superscript"/>
              </w:rPr>
              <w:t>(2)</w:t>
            </w: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2.0 %</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7.0 %</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27.6</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0.76</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third-party consulting costs to support operating model improvements.</w:t>
      </w:r>
    </w:p>
    <w:p>
      <w:pPr>
        <w:spacing w:after="0" w:line="55" w:lineRule="exact"/>
        <w:rPr>
          <w:rFonts w:ascii="Times New Roman" w:cs="Times New Roman" w:eastAsia="Times New Roman" w:hAnsi="Times New Roman"/>
          <w:sz w:val="14"/>
          <w:szCs w:val="14"/>
          <w:color w:val="auto"/>
        </w:rPr>
      </w:pPr>
    </w:p>
    <w:p>
      <w:pPr>
        <w:ind w:left="340" w:right="460" w:hanging="332"/>
        <w:spacing w:after="0" w:line="300" w:lineRule="auto"/>
        <w:tabs>
          <w:tab w:leader="none" w:pos="3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costs associated with the transition of our former CEO, including accelerated vesting of outstanding time-based restricted stock awards pursuant to a retirement agreement approved by the Board of Directors, executive recruiting costs, and other related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6"/>
                <w:szCs w:val="16"/>
                <w:b w:val="1"/>
                <w:bCs w:val="1"/>
                <w:color w:val="auto"/>
              </w:rPr>
              <w:t>June 29, 2024</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Diluted Net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Diluted Net</w:t>
            </w:r>
          </w:p>
        </w:tc>
        <w:tc>
          <w:tcPr>
            <w:tcW w:w="0" w:type="dxa"/>
            <w:vAlign w:val="bottom"/>
          </w:tcPr>
          <w:p>
            <w:pPr>
              <w:spacing w:after="0"/>
              <w:rPr>
                <w:sz w:val="1"/>
                <w:szCs w:val="1"/>
                <w:color w:val="auto"/>
              </w:rPr>
            </w:pPr>
          </w:p>
        </w:tc>
      </w:tr>
      <w:tr>
        <w:trPr>
          <w:trHeight w:val="162"/>
        </w:trPr>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20" w:type="dxa"/>
            <w:vAlign w:val="bottom"/>
          </w:tcPr>
          <w:p>
            <w:pPr>
              <w:spacing w:after="0"/>
              <w:rPr>
                <w:sz w:val="14"/>
                <w:szCs w:val="14"/>
                <w:color w:val="auto"/>
              </w:rPr>
            </w:pP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0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020" w:type="dxa"/>
            <w:vAlign w:val="bottom"/>
            <w:tcBorders>
              <w:right w:val="single" w:sz="8" w:color="auto"/>
            </w:tcBorders>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Income per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20" w:type="dxa"/>
            <w:vAlign w:val="bottom"/>
          </w:tcPr>
          <w:p>
            <w:pPr>
              <w:spacing w:after="0"/>
              <w:rPr>
                <w:sz w:val="14"/>
                <w:szCs w:val="14"/>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 Net</w:t>
            </w:r>
          </w:p>
        </w:tc>
        <w:tc>
          <w:tcPr>
            <w:tcW w:w="120" w:type="dxa"/>
            <w:vAlign w:val="bottom"/>
          </w:tcPr>
          <w:p>
            <w:pPr>
              <w:spacing w:after="0"/>
              <w:rPr>
                <w:sz w:val="14"/>
                <w:szCs w:val="14"/>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9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Income per</w:t>
            </w: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except earnings per</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right w:val="single" w:sz="8" w:color="auto"/>
            </w:tcBorders>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0" w:type="dxa"/>
            <w:vAlign w:val="bottom"/>
          </w:tcPr>
          <w:p>
            <w:pPr>
              <w:spacing w:after="0"/>
              <w:rPr>
                <w:sz w:val="1"/>
                <w:szCs w:val="1"/>
                <w:color w:val="auto"/>
              </w:rPr>
            </w:pPr>
          </w:p>
        </w:tc>
      </w:tr>
      <w:tr>
        <w:trPr>
          <w:trHeight w:val="214"/>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share)</w:t>
            </w:r>
          </w:p>
        </w:tc>
        <w:tc>
          <w:tcPr>
            <w:tcW w:w="1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Taxes</w:t>
            </w:r>
          </w:p>
        </w:tc>
        <w:tc>
          <w:tcPr>
            <w:tcW w:w="10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2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Taxes</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211"/>
        </w:trPr>
        <w:tc>
          <w:tcPr>
            <w:tcW w:w="1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 (GAAP)</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30.1</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0.43</w:t>
            </w:r>
          </w:p>
        </w:tc>
        <w:tc>
          <w:tcPr>
            <w:tcW w:w="120" w:type="dxa"/>
            <w:vAlign w:val="bottom"/>
            <w:tcBorders>
              <w:top w:val="single" w:sz="8" w:color="auto"/>
              <w:righ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94.5</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w:t>
            </w: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Operating model</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5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improvement costs</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Leadership transition</w:t>
            </w: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costs</w:t>
            </w:r>
            <w:r>
              <w:rPr>
                <w:rFonts w:ascii="Times New Roman" w:cs="Times New Roman" w:eastAsia="Times New Roman" w:hAnsi="Times New Roman"/>
                <w:sz w:val="21"/>
                <w:szCs w:val="21"/>
                <w:color w:val="auto"/>
                <w:vertAlign w:val="superscript"/>
              </w:rPr>
              <w:t>(2)</w:t>
            </w: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3.9 %</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0.83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7.7 %</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65.7</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third-party consulting costs to support operating model improvements.</w:t>
      </w:r>
    </w:p>
    <w:p>
      <w:pPr>
        <w:spacing w:after="0" w:line="68" w:lineRule="exact"/>
        <w:rPr>
          <w:rFonts w:ascii="Times New Roman" w:cs="Times New Roman" w:eastAsia="Times New Roman" w:hAnsi="Times New Roman"/>
          <w:sz w:val="14"/>
          <w:szCs w:val="14"/>
          <w:color w:val="auto"/>
        </w:rPr>
      </w:pPr>
    </w:p>
    <w:p>
      <w:pPr>
        <w:ind w:left="340" w:right="460" w:hanging="332"/>
        <w:spacing w:after="0" w:line="282"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costs associated with the transition of our former CEO, including accelerated vesting of outstanding time-based restricted stock awards pursuant to a retirement agreement approved by the Board of Directors, executive recruiting costs, and other related costs.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ongoing cash needs are primarily for working capital (consisting primarily of inventory), capital expenditures, employee compensation, interest on debt, the return of capital to our shareholders, and other general corporate purposes. We expect that our primary sources of liquidity will be cash and cash equivalents on hand, cash flow from operations, and available borrowing capacity under our secured revolving credit facility. We believe that our sources of liquidity are sufficient to meet our cash requirements for at least the next twelve months. However, these sources of liquidity may be affected by events described in “Forward-Looking Statements” section of this Form 10-Q, including, but not limited to, our risk factors discussed under the heading “Risk Factors” in Part II, Item 1A. of this Quarterly Report on Form 10-Q, the risk factors discussed under the heading “Risk Factors” in our most recently filed Annual Report on Form 10-K, and in other reports filed with the Securities and Exchange Commission from time to time.</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discussed under the heading “Known or Anticipated Trends” in this Quarterly Report on Form 10-Q, the impacts of new tariffs or trade restrictions will have an adverse impact on our cost structure and could have an adverse impact on our supply chain, which may impact our working capital needs in the near term. We are pursuing actions to mitigate the impact, but we expect some volatility in cash flows in near term. However, we believe that our sources of liquidity, including the available borrowing capacity under our secured revolving credit facility, will be sufficient to manage these recent developments.</w:t>
      </w:r>
    </w:p>
    <w:p>
      <w:pPr>
        <w:spacing w:after="0" w:line="13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As of June 28, 2025, we had $338.2 million of cash and cash equivalents held at major financial institutions, including $63.5 million held at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accounts receivable at June 28, 2025 were $140.4 million compared to $132.4 million at June 29, 2024 and $194.8 million at December 28, 2024. The increase of $8.0 million, or 6.0%, at June 28, 2025 compared to June 29, 2024 primarily reflects the timing of wholesale customer shipments. Due to the seasonal nature of our operations, the net accounts receivable balance at June 28, 2025 is not comparable to the net accounts receivable balance at December 28, 2024.</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Inventories at June 28, 2025 were $619.1 million compared to $599.3 million at June 29, 2024 and $502.3 million at December 28, 2024. The increase of $19.8 million, or 3.3%, at June 28, 2025 compared to June 29, 2024 was driven by incremental tariffs imposed on products imported into the United States, partially offset by decreased days of supply. Due to the seasonal nature of our operations, the inventory balance at June 28, 2025 is not comparable to the inventories balance at December 28, 2024.</w:t>
      </w:r>
    </w:p>
    <w:p>
      <w:pPr>
        <w:spacing w:after="0" w:line="13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Operating lease assets at June 28, 2025 were $571.3 million compared to $509.2 million at June 29, 2024 and $577.1 million at December 28, 2024. The increase of $62.1 million or 12.2%, at June 28, 2025 compared to June 29, 2024 was driven by the renewal of one of our distribution centers in Georgia, the renewal of a contract with a third-party logistic provider in California for warehousing and distribution purposes, and investments in our retail store fleet.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Operating Activities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$8.3 million for the first two quarters of fiscal 2025 compared to net cash provided by operating activities of $91.7 million in the first two quarters of fiscal 2024. Our cash flow provided by operating activities is driven by net income and changes in our working capital. The change in net cash from operating activities was primarily driven by decreased net income, including operating model improvement costs, as well as increased inventory purchases driven by incremental tariffs imposed on products imported into the 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$26.5 million for the first two quarters of fiscal 2025 compared to $24.3 million in the first two quarters of fiscal 2024. The increase in net cash used in investing activities was driven by increased capital expenditures. Capital expenditures in the first two quarters of fiscal 2025 was driven by U.S. and international retail store openings and remodels and investments in our distribution facilities.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plan to invest $65.0 million in capital expenditures in fiscal 2025, which primarily relates to U.S. and international retail store openings and remodels, investments in our distribution facilities, and strategic information technology initiatives.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$42.8 million in the first two quarters of fiscal 2025 compared to $99.4 million in the first two quarters of fiscal 2024. This change in cash flow from financing activities was primarily driven by open market repurchases of common stock in the first two quarters of fiscal 2024 that did not reoccur in the first two quarters of fiscal 2025 and a decrease in cash dividends distributed to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did not repurchase and retire shares in open market transactions in the first two quarters of fiscal 2025. In the first two quarters of fiscal 2024, we repurchased and retired 461,888 shares in open market transactions for $33.8 million, at an average price of $73.13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remaining capacity under outstanding repurchase authorizations as of June 28, 2025 was $599.0 million, based on settled repurchase transactions.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repurchase authorizations have no expiration dates.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at the discretion of the Company subject to restrictions under the Company’s secured revolving credit facility and considerations given to market conditions, stock price, other investment priorities, and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first and second quarters of fiscal 2025, the Board of Directors declared, and the Company paid, a cash dividend per common share of $0.80 and $0.25, respectively (for an aggregate cash dividend per common share of $1.05 for the first two quarters of fiscal 2025). Additionally, in each of the first two quarters of fiscal 2024, the Board of Directors declared, and the Company paid, a cash dividend per common share of $0.80 (for an aggregate cash dividend per common share of $1.60 for the first two quarters of fiscal 2024). Our Board of Directors will evaluate future dividend declarations based on a number of factors, including restrictions under the Company’s secured revolving credit facility, business conditions, the Company’s financial performance, and other considerations.</w:t>
      </w:r>
    </w:p>
    <w:p>
      <w:pPr>
        <w:spacing w:after="0" w:line="14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Provisions in our secured revolving credit facility could have the effect of restricting our ability to pay cash dividends on, or make future repurchases of, our common stock, as further described in Note 6,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the condensed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Revolving Credit Facility</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June 28, 2025, December 28, 2024, and June 29, 2024, the Company had no outstanding borrowings under its secured revolving credit facility, exclusive of $6.9 million, $4.7 million, and $5.7 million of outstanding letters of credit, respectively. There were no borrowings in the first two quarters of fiscal 2025 or fiscal 2024.</w:t>
      </w:r>
    </w:p>
    <w:p>
      <w:pPr>
        <w:spacing w:after="0" w:line="4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June 28, 2025, December 28, 2024, and June 29, 2024, there was $843.1 million, $845.3 million, and $844.3 million available for future borrowing, respectively. All outstanding borrowings under our secured revolving credit facility are classified as non-current liabilities on our condensed consolidated balance sheets due to contractual repayment terms under the credit facility. However, these repayment terms also allow us to repay some or all of the outstanding borrowings at any time.</w:t>
      </w:r>
    </w:p>
    <w:p>
      <w:pPr>
        <w:spacing w:after="0" w:line="58"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Our secured revolving credit facility provides for a leverage-based pricing grid which determines an interest rate for borrowings, calculated as the applicable floating benchmark rate plus a credit spread adjustment, if any, plus an amount ranging from 1.125% to 1.625%, based on leverage. As of June 28, 2025, the borrowing rate for an adjusted term Secured Overnight Financing Rate (“SOFR”) loan would have been 5.54%, which includes a leverage-based adjustment of 1.125%.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28, 2025, the Company was in compliance with its financial and other covenants under the secured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June 28, 2025, the Company had $500.0 million principal amount of senior notes outstanding, bearing interest at a rate of 5.625% per annum, and maturing on March 15, 2027. On our condensed consolidated balance sheets, the $500.0 million of outstanding senior notes as of June 28, 2025 is reported net of $1.5 million of unamortized issuance-related debt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under the heading “Critical Accounting Policies and Estimates” in Item 7 of our most recent Annual Report on Form 10-K for the 2024 fiscal year ended December 28, 2024.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other indefinite-lived intangible assets,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2025, the Company identified a triggering event related to the new tariffs enacted by the Trump Administration and the resulting unfavorable impact on the Company’s financial forecasts, as well as a sustained decrease in the Company’s stock price since the last impairment test conducted in the fourth quarter of fiscal 2024. As a result, the Company performed a quantitative impairment test on the goodwill ascribed to each of the Company’s reporting units and on the value of its indefinite-lived intangible tradename assets.</w:t>
      </w:r>
    </w:p>
    <w:p>
      <w:pPr>
        <w:spacing w:after="0" w:line="13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assumptions used in the quantitative impairment test of the goodwill of our reporting units include revenue growth and profitability, terminal growth rates, discount rates, market multiples, and a control premium. The assumptions used in the quantitative impairment test of our indefinite-lived intangible tradename assets include revenue growth and profitability, terminal growth rates, discount rates, and royalty rates.</w:t>
      </w:r>
    </w:p>
    <w:p>
      <w:pPr>
        <w:spacing w:after="0" w:line="1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assessment indicated that the fair value of assets for the U.S. Wholesale reporting unit exceeded its carrying value by over 100%. Additionally, the fair value of our indefinite-lived tradename assets exceeded the carrying values by at least 38%.</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assessment indicated that the fair value of assets for the U.S. Retail reporting unit and the Canada reporting unit exceeded its carrying values by approximately 17% and 12%, respectively. Sensitivity tests on the U.S. Retail and Canada reporting units showed that a 100 basis point increase in the discount rates, 50 basis point decrease in the long-term revenue growth rate, 250 basis point decrease in annual revenue growth rates, or a 50 bps decrease in annual operating margins would not change the conclusion and would not result in an impairment charge.</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the assessment indicated that the fair value of assets for the Other International reporting unit exceeded its carrying value by approximately 6%. Sensitivity tests on the Other International reporting unit showed that a 50 basis point decrease in the long-term growth rate would not change the conclusion and would not result in an impairment charge. However, a 50 basis point decrease in annual operating margins or a 250 basis point decrease in annual revenue growth rates would each indicate a goodwill impairment charge of approximately $5 million, and a 100 basis point increase in the discount rates would indicate a goodwill impairment charge of approximately $10 million ascribed to the Other International reporting unit.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degree of uncertainty associated with the assumptions used in our impairment tests is elevated in the current macroeconomic environment due to evolving trade policies. The Company continues to monitor these macroeconomic conditions, including the potential impacts from new tariffs or trade restrictions, which could adversely affect the financial performance of our reporting units and indefinite-lived intangible tradename assets. Should these conditions lead to a significant decline in projected financial results, there could be impairment charges to these assets mentioned above, to the goodwill ascribed to our other reporting units, or to our other indefinite-lived intangible tradename assets.</w:t>
      </w:r>
    </w:p>
    <w:p>
      <w:pPr>
        <w:spacing w:after="0" w:line="139" w:lineRule="exact"/>
        <w:rPr>
          <w:sz w:val="20"/>
          <w:szCs w:val="20"/>
          <w:color w:val="auto"/>
        </w:rPr>
      </w:pPr>
    </w:p>
    <w:p>
      <w:pPr>
        <w:ind w:right="4020"/>
        <w:spacing w:after="0" w:line="362"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the operation of our business, we have market risk exposures including those related to foreign currency risk and interest rates. These risks, and our strategies to manage our exposure to them, are discussed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The resulting translation adjustments are recorded as a component of Accumulated other comprehensive income (loss).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foreign subsidiaries typically record sales denominated in currencies other than the U.S. dollar, which are then translated into U.S. dollars using weighted-average exchange rates. The changes in foreign currency exchange rates used for translation in the second quarter of fiscal 2025, compared to the second quarter of fiscal 2024, had a $3.1 million unfavorable effect on our consolidated net sales. Changes in foreign currency exchange rates used for translation in the first two quarters of fiscal 2025, compared to the first two quarters of fiscal 2024, had a $9.5 million unfavorable effect on our consolidated net sales.</w:t>
      </w:r>
    </w:p>
    <w:p>
      <w:pPr>
        <w:spacing w:after="0" w:line="1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condensed consolidated statement of operations, these gains and losses are recorded within Other (income) expense,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operating results are subject to risk from interest rate fluctuations on our secured revolving credit facility, which carries variable interest rates. As of June 28, 2025, there were no variable rate borrowings outstanding under the secured revolving credit facility. As a result, the impact of a hypothetical 100 bps increase in the effective interest rate would not result in a material amount of additional interest expense over a 12-month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Principal Executive Officer and Principal Financial Officer have concluded that our disclosure controls and procedures are effective as of June 28,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June 28, 2025 that have materially affected, or which are reasonably likely to materially affect, Internal Control.</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that materially affected, or were likely to materially affect, such control over financial reporting during the fiscal quarter ended June 28,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5" w:right="45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Except as noted below, there have been no material changes to the risk factors described in our Form 10-K for the 2024 fiscal year ended December 28, 2024.</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the uncertainty regarding the future of international trade agreements and the United States’ position on international trade. Significant political, trade, regulatory developments, and other circumstances beyond our control, are expected to have a material impact on our business, financial condition, and results of operations if we are unable to successfully implement various mitigating actions.</w:t>
      </w:r>
    </w:p>
    <w:p>
      <w:pPr>
        <w:spacing w:after="0" w:line="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sell products outside the United States through our multichannel global business model, and we rely on a network of global suppliers, primarily located in Asia. In addition, 60% of the fabric that was used in the manufacture of our products in fiscal 2024 was sourced from China. As a result of the tariffs announced on April 2, 2025 by the Trump Administration, we are anticipating increased supply chain challenges, cost volatility, and consumer and economic uncertainty due to rapid changes in global trade policies. We continue to analyze the impact of these tariffs on our business and actions we can take to minimize their impact. We expect these new tariffs to have a material impact on our business and results of operations in fiscal year 2025 and in the longer term if we are unable to successfully implement various mitigating actions noted below.</w:t>
      </w:r>
    </w:p>
    <w:p>
      <w:pPr>
        <w:spacing w:after="0" w:line="14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Uncertainty regarding policies of the Trump Administration with respect to the future of trade partnerships and relations, including as a result of the tariffs announced on April 2, 2025 and additional tariffs that may be announced or implemented in the future, are expected to impact our market share, revenue and gross margins and reduce our competitiveness in countries that will be affected by those policies. In addition, these developments may also negatively impact the carrying value of our reporting units and our indefinite-lived tradename assets.</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result of the tariffs announced on April 2, 2025 or additional tariffs or other restrictions, quotas, embargoes, or safeguards that are placed on goods imported into the United States, or any related counter-measures that are taken by other countries, we expect to take actions which may include, but not be limited to, pricing of our products, product configurations, inventory management, country of origin mix, and sharing the costs of incremental tariffs with our vendor partners. The actions that we take may not fully offset the impact of tariffs and, as a result, our market share, revenue, gross margins, and results of operations may be materially harmed.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37" w:name="page38"/>
    <w:bookmarkEnd w:id="37"/>
    <w:p>
      <w:pPr>
        <w:ind w:right="4140"/>
        <w:spacing w:after="0" w:line="362"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Share Repurchases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share repurchases during the second quarter of fiscal 2025:</w:t>
      </w:r>
    </w:p>
    <w:p>
      <w:pPr>
        <w:sectPr>
          <w:pgSz w:w="11900" w:h="16838" w:orient="portrait"/>
          <w:cols w:equalWidth="0" w:num="1">
            <w:col w:w="11240"/>
          </w:cols>
          <w:pgMar w:left="320" w:top="1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March 30, 2025 through April 26, 2025</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April 27, 2025 through May 24, 2025</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May 25, 2025 through June 28, 2025</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89"/>
        </w:trPr>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4"/>
        </w:trPr>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right="39"/>
              <w:spacing w:after="0" w:line="165"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57"/>
        </w:trPr>
        <w:tc>
          <w:tcPr>
            <w:tcW w:w="16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purchased</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r>
              <w:rPr>
                <w:rFonts w:ascii="Times New Roman" w:cs="Times New Roman" w:eastAsia="Times New Roman" w:hAnsi="Times New Roman"/>
                <w:sz w:val="21"/>
                <w:szCs w:val="21"/>
                <w:b w:val="1"/>
                <w:bCs w:val="1"/>
                <w:color w:val="auto"/>
                <w:w w:val="98"/>
                <w:vertAlign w:val="superscript"/>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1"/>
                <w:szCs w:val="21"/>
                <w:b w:val="1"/>
                <w:bCs w:val="1"/>
                <w:color w:val="auto"/>
                <w:w w:val="96"/>
                <w:vertAlign w:val="superscript"/>
              </w:rPr>
              <w:t>(3)</w:t>
            </w:r>
          </w:p>
        </w:tc>
        <w:tc>
          <w:tcPr>
            <w:tcW w:w="0" w:type="dxa"/>
            <w:vAlign w:val="bottom"/>
          </w:tcPr>
          <w:p>
            <w:pPr>
              <w:spacing w:after="0"/>
              <w:rPr>
                <w:sz w:val="1"/>
                <w:szCs w:val="1"/>
                <w:color w:val="auto"/>
              </w:rPr>
            </w:pPr>
          </w:p>
        </w:tc>
      </w:tr>
      <w:tr>
        <w:trPr>
          <w:trHeight w:val="204"/>
        </w:trPr>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20" w:type="dxa"/>
            <w:vAlign w:val="bottom"/>
            <w:tcBorders>
              <w:top w:val="single" w:sz="8" w:color="auto"/>
            </w:tcBorders>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598,966,271</w:t>
            </w:r>
          </w:p>
        </w:tc>
        <w:tc>
          <w:tcPr>
            <w:tcW w:w="0" w:type="dxa"/>
            <w:vAlign w:val="bottom"/>
          </w:tcPr>
          <w:p>
            <w:pPr>
              <w:spacing w:after="0"/>
              <w:rPr>
                <w:sz w:val="1"/>
                <w:szCs w:val="1"/>
                <w:color w:val="auto"/>
              </w:rPr>
            </w:pPr>
          </w:p>
        </w:tc>
      </w:tr>
      <w:tr>
        <w:trPr>
          <w:trHeight w:val="378"/>
        </w:trPr>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w:t>
            </w:r>
          </w:p>
        </w:tc>
        <w:tc>
          <w:tcPr>
            <w:tcW w:w="120" w:type="dxa"/>
            <w:vAlign w:val="bottom"/>
          </w:tcPr>
          <w:p>
            <w:pPr>
              <w:spacing w:after="0"/>
              <w:rPr>
                <w:sz w:val="24"/>
                <w:szCs w:val="24"/>
                <w:color w:val="auto"/>
              </w:rPr>
            </w:pPr>
          </w:p>
        </w:tc>
        <w:tc>
          <w:tcPr>
            <w:tcW w:w="162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598,966,271</w:t>
            </w:r>
          </w:p>
        </w:tc>
        <w:tc>
          <w:tcPr>
            <w:tcW w:w="0" w:type="dxa"/>
            <w:vAlign w:val="bottom"/>
          </w:tcPr>
          <w:p>
            <w:pPr>
              <w:spacing w:after="0"/>
              <w:rPr>
                <w:sz w:val="1"/>
                <w:szCs w:val="1"/>
                <w:color w:val="auto"/>
              </w:rPr>
            </w:pPr>
          </w:p>
        </w:tc>
      </w:tr>
      <w:tr>
        <w:trPr>
          <w:trHeight w:val="378"/>
        </w:trPr>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598,966,271</w:t>
            </w:r>
          </w:p>
        </w:tc>
        <w:tc>
          <w:tcPr>
            <w:tcW w:w="0" w:type="dxa"/>
            <w:vAlign w:val="bottom"/>
          </w:tcPr>
          <w:p>
            <w:pPr>
              <w:spacing w:after="0"/>
              <w:rPr>
                <w:sz w:val="1"/>
                <w:szCs w:val="1"/>
                <w:color w:val="auto"/>
              </w:rPr>
            </w:pPr>
          </w:p>
        </w:tc>
      </w:tr>
      <w:tr>
        <w:trPr>
          <w:trHeight w:val="168"/>
        </w:trPr>
        <w:tc>
          <w:tcPr>
            <w:tcW w:w="1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-659765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-419735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-179705</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-908050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3640" w:space="720"/>
            <w:col w:w="6880"/>
          </w:cols>
          <w:pgMar w:left="320" w:top="1265" w:right="339" w:bottom="1440" w:gutter="0" w:footer="0" w:header="0"/>
          <w:type w:val="continuous"/>
        </w:sectPr>
      </w:pPr>
    </w:p>
    <w:p>
      <w:pPr>
        <w:ind w:left="340" w:right="140" w:hanging="332"/>
        <w:spacing w:after="0" w:line="300"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the shares purchased represent shares of our common stock surrendered by our employees to satisfy required tax withholding upon the vesting of restricted stock awards between April 27, 2025 and May 24, 2025.</w:t>
      </w:r>
    </w:p>
    <w:p>
      <w:pPr>
        <w:ind w:left="340" w:right="20" w:hanging="332"/>
        <w:spacing w:after="0" w:line="285"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did not repurchase shares in open market transactions during the second quarter of fiscal 2025. Refer to the open market repurchases as disclosed in Note 7, </w:t>
      </w:r>
      <w:r>
        <w:rPr>
          <w:rFonts w:ascii="Times New Roman" w:cs="Times New Roman" w:eastAsia="Times New Roman" w:hAnsi="Times New Roman"/>
          <w:sz w:val="14"/>
          <w:szCs w:val="14"/>
          <w:i w:val="1"/>
          <w:iCs w:val="1"/>
          <w:color w:val="auto"/>
        </w:rPr>
        <w:t>Common Stock</w:t>
      </w:r>
      <w:r>
        <w:rPr>
          <w:rFonts w:ascii="Times New Roman" w:cs="Times New Roman" w:eastAsia="Times New Roman" w:hAnsi="Times New Roman"/>
          <w:sz w:val="14"/>
          <w:szCs w:val="14"/>
          <w:color w:val="auto"/>
        </w:rPr>
        <w:t>, to our accompanying unaudited condensed consolidated financial statements included in Part I. Item 1 of this Quarterly Report on Form 10-Q.</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share repurchase authorizations approved by our Board of Directors. The share repurchase authorizations have no expiration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0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June 28, 2025, none of the Company’s directors or officers, as defined in Section 16 of the Exchange Act adopted or terminated any contract, instruction or written plan for the purchase or sale of Company securities that was intended to satisfy the affirmative defense conditions of Rule 10b5-1(c) or any “non-Rule 10b5-1 trading arrangement” as defined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080" w:type="dxa"/>
            <w:vAlign w:val="bottom"/>
            <w:gridSpan w:val="2"/>
          </w:tcPr>
          <w:p>
            <w:pPr>
              <w:jc w:val="center"/>
              <w:ind w:right="60"/>
              <w:spacing w:after="0" w:line="161"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7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0" w:type="dxa"/>
            <w:vAlign w:val="bottom"/>
          </w:tcPr>
          <w:p>
            <w:pPr>
              <w:spacing w:after="0"/>
              <w:rPr>
                <w:sz w:val="14"/>
                <w:szCs w:val="14"/>
                <w:color w:val="auto"/>
              </w:rPr>
            </w:pPr>
          </w:p>
        </w:tc>
        <w:tc>
          <w:tcPr>
            <w:tcW w:w="900" w:type="dxa"/>
            <w:vAlign w:val="bottom"/>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Filed Herewith</w:t>
            </w:r>
          </w:p>
        </w:tc>
        <w:tc>
          <w:tcPr>
            <w:tcW w:w="0" w:type="dxa"/>
            <w:vAlign w:val="bottom"/>
          </w:tcPr>
          <w:p>
            <w:pPr>
              <w:spacing w:after="0"/>
              <w:rPr>
                <w:sz w:val="1"/>
                <w:szCs w:val="1"/>
                <w:color w:val="auto"/>
              </w:rPr>
            </w:pPr>
          </w:p>
        </w:tc>
      </w:tr>
      <w:tr>
        <w:trPr>
          <w:trHeight w:val="214"/>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780" w:type="dxa"/>
            <w:vAlign w:val="bottom"/>
            <w:gridSpan w:val="5"/>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58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00" w:type="dxa"/>
            <w:vAlign w:val="bottom"/>
            <w:tcBorders>
              <w:top w:val="single" w:sz="8" w:color="auto"/>
              <w:bottom w:val="single" w:sz="8" w:color="CCEEFF"/>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4880" w:type="dxa"/>
            <w:vAlign w:val="bottom"/>
            <w:tcBorders>
              <w:top w:val="single" w:sz="8" w:color="auto"/>
              <w:bottom w:val="single" w:sz="8" w:color="0000FF"/>
            </w:tcBorders>
            <w:gridSpan w:val="4"/>
            <w:shd w:val="clear" w:color="auto" w:fill="CCEEFF"/>
          </w:tcPr>
          <w:p>
            <w:pPr>
              <w:spacing w:after="0" w:line="184"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Amended and Restated Certificate of Incorporation of Carter’s, Inc.</w:t>
              </w:r>
            </w:hyperlink>
          </w:p>
        </w:tc>
        <w:tc>
          <w:tcPr>
            <w:tcW w:w="76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CCEEFF"/>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CCEEFF"/>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May 23, 2017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20" w:type="dxa"/>
            <w:vAlign w:val="bottom"/>
            <w:gridSpan w:val="6"/>
          </w:tcPr>
          <w:p>
            <w:pPr>
              <w:spacing w:after="0" w:line="18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Amended and Restated By-Laws of Carter’s, Inc.</w:t>
              </w:r>
            </w:hyperlink>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6"/>
                <w:szCs w:val="16"/>
                <w:color w:val="auto"/>
              </w:rPr>
            </w:pPr>
          </w:p>
        </w:tc>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August 18, 2023</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31.1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Rule 13a-15(e)/15d-15(e) and 13a-15(f)/15d-15(f) Certification.</w:t>
            </w:r>
          </w:p>
        </w:tc>
        <w:tc>
          <w:tcPr>
            <w:tcW w:w="1100" w:type="dxa"/>
            <w:vAlign w:val="bottom"/>
            <w:tcBorders>
              <w:bottom w:val="single" w:sz="8" w:color="CCEEFF"/>
            </w:tcBorders>
            <w:gridSpan w:val="3"/>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Rule 13a-15(e)/15d-15(e) and 13a-15(f)/15d-15(f) Certification.</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7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Section 1350 Certification.</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80" w:type="dxa"/>
            <w:vAlign w:val="bottom"/>
            <w:gridSpan w:val="2"/>
          </w:tcPr>
          <w:p>
            <w:pPr>
              <w:jc w:val="center"/>
              <w:ind w:right="2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5"/>
                <w:szCs w:val="15"/>
                <w:color w:val="auto"/>
              </w:rPr>
            </w:pPr>
          </w:p>
        </w:tc>
        <w:tc>
          <w:tcPr>
            <w:tcW w:w="57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instant document does not appear in the</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shd w:val="clear" w:color="auto" w:fill="CCEEFF"/>
          </w:tcPr>
          <w:p>
            <w:pPr>
              <w:spacing w:after="0"/>
              <w:rPr>
                <w:sz w:val="20"/>
                <w:szCs w:val="20"/>
                <w:color w:val="auto"/>
              </w:rPr>
            </w:pPr>
          </w:p>
        </w:tc>
        <w:tc>
          <w:tcPr>
            <w:tcW w:w="5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19"/>
                <w:szCs w:val="19"/>
                <w:color w:val="auto"/>
              </w:rPr>
            </w:pPr>
          </w:p>
        </w:tc>
        <w:tc>
          <w:tcPr>
            <w:tcW w:w="5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shd w:val="clear" w:color="auto" w:fill="CCEEFF"/>
          </w:tcPr>
          <w:p>
            <w:pPr>
              <w:spacing w:after="0"/>
              <w:rPr>
                <w:sz w:val="19"/>
                <w:szCs w:val="19"/>
                <w:color w:val="auto"/>
              </w:rPr>
            </w:pPr>
          </w:p>
        </w:tc>
        <w:tc>
          <w:tcPr>
            <w:tcW w:w="5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101.LAB</w:t>
            </w:r>
          </w:p>
        </w:tc>
        <w:tc>
          <w:tcPr>
            <w:tcW w:w="20" w:type="dxa"/>
            <w:vAlign w:val="bottom"/>
          </w:tcPr>
          <w:p>
            <w:pPr>
              <w:spacing w:after="0"/>
              <w:rPr>
                <w:sz w:val="19"/>
                <w:szCs w:val="19"/>
                <w:color w:val="auto"/>
              </w:rPr>
            </w:pPr>
          </w:p>
        </w:tc>
        <w:tc>
          <w:tcPr>
            <w:tcW w:w="5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shd w:val="clear" w:color="auto" w:fill="CCEEFF"/>
          </w:tcPr>
          <w:p>
            <w:pPr>
              <w:spacing w:after="0"/>
              <w:rPr>
                <w:sz w:val="19"/>
                <w:szCs w:val="19"/>
                <w:color w:val="auto"/>
              </w:rPr>
            </w:pPr>
          </w:p>
        </w:tc>
        <w:tc>
          <w:tcPr>
            <w:tcW w:w="5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The cover page from this Current Report on Form 10-Q formatted as Inline</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3"/>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9" w:name="page40"/>
    <w:bookmarkEnd w:id="39"/>
    <w:p>
      <w:pPr>
        <w:spacing w:after="0" w:line="2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0"/>
        <w:spacing w:after="0"/>
        <w:tabs>
          <w:tab w:leader="none" w:pos="4980" w:val="left"/>
        </w:tabs>
        <w:rPr>
          <w:sz w:val="20"/>
          <w:szCs w:val="20"/>
          <w:color w:val="auto"/>
        </w:rPr>
      </w:pPr>
      <w:r>
        <w:rPr>
          <w:rFonts w:ascii="Times New Roman" w:cs="Times New Roman" w:eastAsia="Times New Roman" w:hAnsi="Times New Roman"/>
          <w:sz w:val="16"/>
          <w:szCs w:val="16"/>
          <w:color w:val="auto"/>
        </w:rPr>
        <w:t>July 25, 2025</w:t>
      </w:r>
      <w:r>
        <w:rPr>
          <w:sz w:val="20"/>
          <w:szCs w:val="20"/>
          <w:color w:val="auto"/>
        </w:rPr>
        <w:tab/>
      </w:r>
      <w:r>
        <w:rPr>
          <w:rFonts w:ascii="Times New Roman" w:cs="Times New Roman" w:eastAsia="Times New Roman" w:hAnsi="Times New Roman"/>
          <w:sz w:val="16"/>
          <w:szCs w:val="16"/>
          <w:color w:val="auto"/>
        </w:rPr>
        <w:t>/s/ DOUGLAS C. PALLADINI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37465</wp:posOffset>
            </wp:positionV>
            <wp:extent cx="25971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Douglas C. Palladini</w:t>
      </w:r>
    </w:p>
    <w:p>
      <w:pPr>
        <w:spacing w:after="0" w:line="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Chief Executive Officer &amp; President</w:t>
      </w:r>
    </w:p>
    <w:p>
      <w:pPr>
        <w:spacing w:after="0" w:line="7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0"/>
        <w:spacing w:after="0"/>
        <w:tabs>
          <w:tab w:leader="none" w:pos="4980" w:val="left"/>
        </w:tabs>
        <w:rPr>
          <w:sz w:val="20"/>
          <w:szCs w:val="20"/>
          <w:color w:val="auto"/>
        </w:rPr>
      </w:pPr>
      <w:r>
        <w:rPr>
          <w:rFonts w:ascii="Times New Roman" w:cs="Times New Roman" w:eastAsia="Times New Roman" w:hAnsi="Times New Roman"/>
          <w:sz w:val="16"/>
          <w:szCs w:val="16"/>
          <w:color w:val="auto"/>
        </w:rPr>
        <w:t>July 25, 2025</w:t>
      </w:r>
      <w:r>
        <w:rPr>
          <w:sz w:val="20"/>
          <w:szCs w:val="20"/>
          <w:color w:val="auto"/>
        </w:rPr>
        <w:tab/>
      </w:r>
      <w:r>
        <w:rPr>
          <w:rFonts w:ascii="Times New Roman" w:cs="Times New Roman" w:eastAsia="Times New Roman" w:hAnsi="Times New Roman"/>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37465</wp:posOffset>
            </wp:positionV>
            <wp:extent cx="25971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Richard F. Westenberger</w:t>
      </w:r>
    </w:p>
    <w:p>
      <w:pPr>
        <w:spacing w:after="0" w:line="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Chief Financial Officer &amp; Chief Operating Officer</w:t>
      </w:r>
    </w:p>
    <w:p>
      <w:pPr>
        <w:spacing w:after="0" w:line="7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(Principal Financial &amp;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280"/>
          </w:cols>
          <w:pgMar w:left="320" w:top="1440" w:right="12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C. Palladini, certify that:</w:t>
      </w:r>
    </w:p>
    <w:p>
      <w:pPr>
        <w:spacing w:after="0" w:line="131"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300" w:right="500" w:firstLine="4"/>
        <w:spacing w:after="0" w:line="282" w:lineRule="auto"/>
        <w:tabs>
          <w:tab w:leader="none" w:pos="155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1500"/>
        <w:spacing w:after="0"/>
        <w:tabs>
          <w:tab w:leader="none" w:pos="5920" w:val="left"/>
        </w:tabs>
        <w:rPr>
          <w:sz w:val="20"/>
          <w:szCs w:val="20"/>
          <w:color w:val="auto"/>
        </w:rPr>
      </w:pPr>
      <w:r>
        <w:rPr>
          <w:rFonts w:ascii="Times New Roman" w:cs="Times New Roman" w:eastAsia="Times New Roman" w:hAnsi="Times New Roman"/>
          <w:sz w:val="18"/>
          <w:szCs w:val="18"/>
          <w:color w:val="auto"/>
        </w:rPr>
        <w:t>July 25, 2025</w:t>
      </w:r>
      <w:r>
        <w:rPr>
          <w:sz w:val="20"/>
          <w:szCs w:val="20"/>
          <w:color w:val="auto"/>
        </w:rPr>
        <w:tab/>
      </w:r>
      <w:r>
        <w:rPr>
          <w:rFonts w:ascii="Times New Roman" w:cs="Times New Roman" w:eastAsia="Times New Roman" w:hAnsi="Times New Roman"/>
          <w:sz w:val="17"/>
          <w:szCs w:val="17"/>
          <w:color w:val="auto"/>
        </w:rPr>
        <w:t>/s/ DOUGLAS C. PALLADINI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26035</wp:posOffset>
            </wp:positionV>
            <wp:extent cx="24434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443480" cy="17145"/>
                    </a:xfrm>
                    <a:prstGeom prst="rect">
                      <a:avLst/>
                    </a:prstGeom>
                    <a:noFill/>
                  </pic:spPr>
                </pic:pic>
              </a:graphicData>
            </a:graphic>
          </wp:anchor>
        </w:drawing>
      </w:r>
    </w:p>
    <w:p>
      <w:pPr>
        <w:spacing w:after="0" w:line="5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Douglas C. Palladini</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Chief Executive Officer &amp; President</w:t>
      </w:r>
    </w:p>
    <w:p>
      <w:pPr>
        <w:sectPr>
          <w:pgSz w:w="11900" w:h="16838" w:orient="portrait"/>
          <w:cols w:equalWidth="0" w:num="1">
            <w:col w:w="11240"/>
          </w:cols>
          <w:pgMar w:left="320" w:top="113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Westenberger, certify that:</w:t>
      </w:r>
    </w:p>
    <w:p>
      <w:pPr>
        <w:spacing w:after="0" w:line="131"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14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500" w:firstLine="4"/>
        <w:spacing w:after="0" w:line="282" w:lineRule="auto"/>
        <w:tabs>
          <w:tab w:leader="none" w:pos="15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640"/>
        <w:spacing w:after="0"/>
        <w:tabs>
          <w:tab w:leader="none" w:pos="5740" w:val="left"/>
        </w:tabs>
        <w:rPr>
          <w:sz w:val="20"/>
          <w:szCs w:val="20"/>
          <w:color w:val="auto"/>
        </w:rPr>
      </w:pPr>
      <w:r>
        <w:rPr>
          <w:rFonts w:ascii="Times New Roman" w:cs="Times New Roman" w:eastAsia="Times New Roman" w:hAnsi="Times New Roman"/>
          <w:sz w:val="18"/>
          <w:szCs w:val="18"/>
          <w:color w:val="auto"/>
        </w:rPr>
        <w:t>July 25, 2025</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26035</wp:posOffset>
            </wp:positionV>
            <wp:extent cx="24771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Chief Financial Officer &amp; Chief Operating Officer</w:t>
      </w:r>
    </w:p>
    <w:p>
      <w:pPr>
        <w:sectPr>
          <w:pgSz w:w="11900" w:h="16838" w:orient="portrait"/>
          <w:cols w:equalWidth="0" w:num="1">
            <w:col w:w="11240"/>
          </w:cols>
          <w:pgMar w:left="320" w:top="1012"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Each of the undersigned in the capacity indicated hereby certifies that, to his knowledge, this Report on Form 10-Q for the fiscal quarter ended June 28, 2025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86" w:lineRule="exact"/>
        <w:rPr>
          <w:sz w:val="20"/>
          <w:szCs w:val="20"/>
          <w:color w:val="auto"/>
        </w:rPr>
      </w:pPr>
    </w:p>
    <w:p>
      <w:pPr>
        <w:ind w:left="2540"/>
        <w:spacing w:after="0"/>
        <w:tabs>
          <w:tab w:leader="none" w:pos="4000" w:val="left"/>
        </w:tabs>
        <w:rPr>
          <w:sz w:val="20"/>
          <w:szCs w:val="20"/>
          <w:color w:val="auto"/>
        </w:rPr>
      </w:pPr>
      <w:r>
        <w:rPr>
          <w:rFonts w:ascii="Times New Roman" w:cs="Times New Roman" w:eastAsia="Times New Roman" w:hAnsi="Times New Roman"/>
          <w:sz w:val="18"/>
          <w:szCs w:val="18"/>
          <w:color w:val="auto"/>
        </w:rPr>
        <w:t>July 25, 2025</w:t>
      </w:r>
      <w:r>
        <w:rPr>
          <w:sz w:val="20"/>
          <w:szCs w:val="20"/>
          <w:color w:val="auto"/>
        </w:rPr>
        <w:tab/>
      </w:r>
      <w:r>
        <w:rPr>
          <w:rFonts w:ascii="Times New Roman" w:cs="Times New Roman" w:eastAsia="Times New Roman" w:hAnsi="Times New Roman"/>
          <w:sz w:val="17"/>
          <w:szCs w:val="17"/>
          <w:color w:val="auto"/>
        </w:rPr>
        <w:t>/s/ DOUGLAS C. PALLADINI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17145</wp:posOffset>
            </wp:positionV>
            <wp:extent cx="300037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3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Douglas C. Palladini</w:t>
      </w:r>
    </w:p>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i w:val="1"/>
          <w:iCs w:val="1"/>
          <w:color w:val="auto"/>
        </w:rPr>
        <w:t>Chief Executive Officer &amp;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540"/>
        <w:spacing w:after="0"/>
        <w:tabs>
          <w:tab w:leader="none" w:pos="4000" w:val="left"/>
        </w:tabs>
        <w:rPr>
          <w:sz w:val="20"/>
          <w:szCs w:val="20"/>
          <w:color w:val="auto"/>
        </w:rPr>
      </w:pPr>
      <w:r>
        <w:rPr>
          <w:rFonts w:ascii="Times New Roman" w:cs="Times New Roman" w:eastAsia="Times New Roman" w:hAnsi="Times New Roman"/>
          <w:sz w:val="18"/>
          <w:szCs w:val="18"/>
          <w:color w:val="auto"/>
        </w:rPr>
        <w:t>July 25, 2025</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26035</wp:posOffset>
            </wp:positionV>
            <wp:extent cx="300037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4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i w:val="1"/>
          <w:iCs w:val="1"/>
          <w:color w:val="auto"/>
        </w:rPr>
        <w:t>Chief Financial Officer &amp; Chief Operating Officer</w:t>
      </w:r>
    </w:p>
    <w:p>
      <w:pPr>
        <w:spacing w:after="0" w:line="32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lvl w:ilvl="1">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2" Type="http://schemas.openxmlformats.org/officeDocument/2006/relationships/hyperlink" Target="https://www.sec.gov/Archives/edgar/data/1060822/000119312517179483/d400342dex31.htm" TargetMode="External"/><Relationship Id="rId53" Type="http://schemas.openxmlformats.org/officeDocument/2006/relationships/hyperlink" Target="https://www.sec.gov/Archives/edgar/data/1060822/000106082223000140/exhibit31-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2025-07-25T11:10:40Z</dcterms:created>
  <dcterms:modified xsi:type="dcterms:W3CDTF">2025-07-25T11:10:40Z</dcterms:modified>
</cp:coreProperties>
</file>