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UNITED STATES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(Mark One)</w:t>
      </w:r>
    </w:p>
    <w:p>
      <w:pPr>
        <w:pStyle w:val="TextBody"/>
        <w:bidi w:val="0"/>
        <w:spacing w:lineRule="auto" w:line="288" w:before="0" w:after="0"/>
        <w:jc w:val="center"/>
        <w:rPr/>
      </w:pPr>
      <w:r>
        <w:rPr>
          <w:color w:val="000000"/>
        </w:rPr>
        <w:t>☒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100"/>
        <w:jc w:val="center"/>
        <w:rPr/>
      </w:pPr>
      <w:r>
        <w:rPr>
          <w:color w:val="000000"/>
        </w:rPr>
        <w:t>    </w:t>
      </w:r>
      <w:r>
        <w:rPr>
          <w:rFonts w:ascii="Times New Roman;serif" w:hAnsi="Times New Roman;serif"/>
          <w:b/>
          <w:color w:val="000000"/>
          <w:sz w:val="18"/>
        </w:rPr>
        <w:t xml:space="preserve">For the quarterly period ended July 4, 2026 </w:t>
      </w:r>
    </w:p>
    <w:p>
      <w:pPr>
        <w:pStyle w:val="TextBody"/>
        <w:bidi w:val="0"/>
        <w:spacing w:lineRule="auto" w:line="288" w:before="0" w:after="100"/>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lineRule="auto" w:line="288" w:before="0" w:after="0"/>
        <w:jc w:val="center"/>
        <w:rPr/>
      </w:pPr>
      <w:r>
        <w:rPr>
          <w:color w:val="000000"/>
        </w:rPr>
        <w:t>☐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For the transition period from __________ to __________</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Commission File Number: 001-31829</w:t>
      </w:r>
    </w:p>
    <w:p>
      <w:pPr>
        <w:pStyle w:val="TextBody"/>
        <w:bidi w:val="0"/>
        <w:spacing w:lineRule="auto" w:line="288" w:before="0" w:after="100"/>
        <w:jc w:val="center"/>
        <w:rPr>
          <w:rFonts w:ascii="Times New Roman;serif" w:hAnsi="Times New Roman;serif"/>
          <w:b/>
          <w:color w:val="000000"/>
          <w:sz w:val="32"/>
        </w:rPr>
      </w:pPr>
      <w:r>
        <w:rPr>
          <w:rFonts w:ascii="Times New Roman;serif" w:hAnsi="Times New Roman;serif"/>
          <w:b/>
          <w:color w:val="000000"/>
          <w:sz w:val="32"/>
        </w:rPr>
        <w:t>CARTER’S, INC.</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276" w:type="dxa"/>
        <w:jc w:val="center"/>
        <w:tblInd w:w="0" w:type="dxa"/>
        <w:tblLayout w:type="fixed"/>
        <w:tblCellMar>
          <w:top w:w="28" w:type="dxa"/>
          <w:left w:w="28" w:type="dxa"/>
          <w:bottom w:w="28" w:type="dxa"/>
          <w:right w:w="28" w:type="dxa"/>
        </w:tblCellMar>
      </w:tblPr>
      <w:tblGrid>
        <w:gridCol w:w="807"/>
        <w:gridCol w:w="710"/>
        <w:gridCol w:w="717"/>
        <w:gridCol w:w="109"/>
        <w:gridCol w:w="109"/>
        <w:gridCol w:w="109"/>
        <w:gridCol w:w="791"/>
        <w:gridCol w:w="791"/>
        <w:gridCol w:w="1133"/>
      </w:tblGrid>
      <w:tr>
        <w:trPr/>
        <w:tc>
          <w:tcPr>
            <w:tcW w:w="8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13-3912933</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Phipps Tower,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3438 Peachtree Road NE, Suite 1800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Atlanta, Georgia 30326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(678) 791-1000 </w:t>
      </w:r>
    </w:p>
    <w:p>
      <w:pPr>
        <w:pStyle w:val="TextBody"/>
        <w:bidi w:val="0"/>
        <w:spacing w:lineRule="auto" w:line="288" w:before="0" w:after="10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100"/>
        <w:jc w:val="both"/>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128" w:type="dxa"/>
        <w:jc w:val="left"/>
        <w:tblInd w:w="0" w:type="dxa"/>
        <w:tblLayout w:type="fixed"/>
        <w:tblCellMar>
          <w:top w:w="28" w:type="dxa"/>
          <w:left w:w="28" w:type="dxa"/>
          <w:bottom w:w="28" w:type="dxa"/>
          <w:right w:w="28" w:type="dxa"/>
        </w:tblCellMar>
      </w:tblPr>
      <w:tblGrid>
        <w:gridCol w:w="1117"/>
        <w:gridCol w:w="983"/>
        <w:gridCol w:w="990"/>
        <w:gridCol w:w="519"/>
        <w:gridCol w:w="519"/>
        <w:gridCol w:w="521"/>
        <w:gridCol w:w="1019"/>
        <w:gridCol w:w="1019"/>
        <w:gridCol w:w="1441"/>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09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15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CRI</w:t>
            </w:r>
          </w:p>
        </w:tc>
        <w:tc>
          <w:tcPr>
            <w:tcW w:w="34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309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A Preferred Stock Purchase Rights</w:t>
            </w:r>
          </w:p>
        </w:tc>
        <w:tc>
          <w:tcPr>
            <w:tcW w:w="15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47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20" w:after="14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No ☐</w:t>
      </w:r>
    </w:p>
    <w:p>
      <w:pPr>
        <w:pStyle w:val="TextBody"/>
        <w:bidi w:val="0"/>
        <w:spacing w:lineRule="auto" w:line="288" w:before="20" w:after="14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No ☐</w:t>
      </w:r>
    </w:p>
    <w:p>
      <w:pPr>
        <w:pStyle w:val="TextBody"/>
        <w:bidi w:val="0"/>
        <w:spacing w:lineRule="auto" w:line="288" w:before="20" w:after="1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pStyle w:val="TextBody"/>
        <w:bidi w:val="0"/>
        <w:spacing w:lineRule="auto" w:line="288" w:before="60" w:after="100"/>
        <w:jc w:val="center"/>
        <w:rPr/>
      </w:pPr>
      <w:r>
        <w:rPr>
          <w:rFonts w:ascii="Times New Roman;serif" w:hAnsi="Times New Roman;serif"/>
          <w:b w:val="false"/>
          <w:color w:val="000000"/>
          <w:sz w:val="20"/>
        </w:rPr>
        <w:t xml:space="preserve">Large accelerated filer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Accelerated filer ☐</w:t>
      </w:r>
    </w:p>
    <w:p>
      <w:pPr>
        <w:pStyle w:val="TextBody"/>
        <w:bidi w:val="0"/>
        <w:spacing w:lineRule="auto" w:line="288" w:before="6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Non-accelerated filer ☐ Smaller reporting company ☐ </w:t>
      </w:r>
    </w:p>
    <w:p>
      <w:pPr>
        <w:pStyle w:val="TextBody"/>
        <w:bidi w:val="0"/>
        <w:spacing w:lineRule="auto" w:line="288" w:before="60" w:after="200"/>
        <w:jc w:val="center"/>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20" w:after="14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 w:after="14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 w:after="140"/>
        <w:jc w:val="both"/>
        <w:rPr>
          <w:rFonts w:ascii="Times New Roman;serif" w:hAnsi="Times New Roman;serif"/>
          <w:b w:val="false"/>
          <w:color w:val="000000"/>
          <w:sz w:val="20"/>
        </w:rPr>
      </w:pPr>
      <w:r>
        <w:rPr>
          <w:rFonts w:ascii="Times New Roman;serif" w:hAnsi="Times New Roman;serif"/>
          <w:b w:val="false"/>
          <w:color w:val="000000"/>
          <w:sz w:val="20"/>
        </w:rPr>
        <w:t>As of July 24, 2026, there were 36,711,185 shares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CARTER’S, INC.</w: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 xml:space="preserve">INDEX </w:t>
      </w:r>
    </w:p>
    <w:tbl>
      <w:tblPr>
        <w:tblW w:w="10205" w:type="dxa"/>
        <w:jc w:val="left"/>
        <w:tblInd w:w="0" w:type="dxa"/>
        <w:tblLayout w:type="fixed"/>
        <w:tblCellMar>
          <w:top w:w="28" w:type="dxa"/>
          <w:left w:w="28" w:type="dxa"/>
          <w:bottom w:w="28" w:type="dxa"/>
          <w:right w:w="28" w:type="dxa"/>
        </w:tblCellMar>
      </w:tblPr>
      <w:tblGrid>
        <w:gridCol w:w="251"/>
        <w:gridCol w:w="221"/>
        <w:gridCol w:w="221"/>
        <w:gridCol w:w="237"/>
        <w:gridCol w:w="221"/>
        <w:gridCol w:w="221"/>
        <w:gridCol w:w="2782"/>
        <w:gridCol w:w="2648"/>
        <w:gridCol w:w="2768"/>
        <w:gridCol w:w="184"/>
        <w:gridCol w:w="184"/>
        <w:gridCol w:w="267"/>
      </w:tblGrid>
      <w:tr>
        <w:trPr/>
        <w:tc>
          <w:tcPr>
            <w:tcW w:w="2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0">
              <w:r>
                <w:rPr>
                  <w:rStyle w:val="InternetLink"/>
                  <w:rFonts w:ascii="Times New Roman;serif" w:hAnsi="Times New Roman;serif"/>
                  <w:b/>
                  <w:color w:val="0000FF"/>
                  <w:sz w:val="20"/>
                  <w:u w:val="single"/>
                </w:rPr>
                <w:t>Part I. Financial Information</w:t>
              </w:r>
            </w:hyperlink>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Page</w:t>
            </w:r>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3">
              <w:r>
                <w:rPr>
                  <w:rStyle w:val="InternetLink"/>
                  <w:rFonts w:ascii="Times New Roman;serif" w:hAnsi="Times New Roman;serif"/>
                  <w:b w:val="false"/>
                  <w:color w:val="0000FF"/>
                  <w:sz w:val="18"/>
                  <w:u w:val="single"/>
                </w:rPr>
                <w:t>Item 1</w:t>
              </w:r>
            </w:hyperlink>
          </w:p>
        </w:tc>
        <w:tc>
          <w:tcPr>
            <w:tcW w:w="81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3">
              <w:r>
                <w:rPr>
                  <w:rStyle w:val="InternetLink"/>
                  <w:rFonts w:ascii="Times New Roman;serif" w:hAnsi="Times New Roman;serif"/>
                  <w:b w:val="false"/>
                  <w:color w:val="0000FF"/>
                  <w:sz w:val="18"/>
                  <w:u w:val="single"/>
                </w:rPr>
                <w:t>Financial Statements</w:t>
              </w:r>
            </w:hyperlink>
          </w:p>
        </w:tc>
        <w:tc>
          <w:tcPr>
            <w:tcW w:w="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18"/>
                <w:u w:val="single"/>
              </w:rPr>
            </w:pPr>
            <w:r>
              <w:rPr>
                <w:rFonts w:ascii="Times New Roman;serif" w:hAnsi="Times New Roman;serif"/>
                <w:b w:val="false"/>
                <w:color w:val="0000FF"/>
                <w:sz w:val="18"/>
                <w:u w:val="single"/>
              </w:rPr>
              <w:t>Unaudited Condensed Consolidated Balance Sheets as of July 4, 2026, January 3, 2026 and June 28, 2025</w:t>
            </w:r>
          </w:p>
        </w:tc>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45992517e148dea7c7d762d0324c85_16">
              <w:r>
                <w:rPr>
                  <w:rStyle w:val="InternetLink"/>
                  <w:rFonts w:ascii="Times New Roman;serif" w:hAnsi="Times New Roman;serif"/>
                  <w:b w:val="false"/>
                  <w:color w:val="0000FF"/>
                  <w:sz w:val="18"/>
                  <w:u w:val="single"/>
                </w:rPr>
                <w:t>1</w:t>
              </w:r>
            </w:hyperlink>
          </w:p>
        </w:tc>
      </w:tr>
      <w:tr>
        <w:trPr/>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18"/>
                <w:u w:val="single"/>
              </w:rPr>
            </w:pPr>
            <w:r>
              <w:rPr>
                <w:rFonts w:ascii="Times New Roman;serif" w:hAnsi="Times New Roman;serif"/>
                <w:b w:val="false"/>
                <w:color w:val="0000FF"/>
                <w:sz w:val="18"/>
                <w:u w:val="single"/>
              </w:rPr>
              <w:t>Unaudited Condensed Consolidated Statements of Operations for the fiscal quarter and two fiscal quarters ended July 4, 2026 and June 28, 2025</w:t>
            </w:r>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45992517e148dea7c7d762d0324c85_19">
              <w:r>
                <w:rPr>
                  <w:rStyle w:val="InternetLink"/>
                  <w:rFonts w:ascii="Times New Roman;serif" w:hAnsi="Times New Roman;serif"/>
                  <w:b w:val="false"/>
                  <w:color w:val="0000FF"/>
                  <w:sz w:val="18"/>
                  <w:u w:val="single"/>
                </w:rPr>
                <w:t>2</w:t>
              </w:r>
            </w:hyperlink>
          </w:p>
        </w:tc>
      </w:tr>
      <w:tr>
        <w:trPr/>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18"/>
                <w:u w:val="single"/>
              </w:rPr>
            </w:pPr>
            <w:r>
              <w:rPr>
                <w:rFonts w:ascii="Times New Roman;serif" w:hAnsi="Times New Roman;serif"/>
                <w:b w:val="false"/>
                <w:color w:val="0000FF"/>
                <w:sz w:val="18"/>
                <w:u w:val="single"/>
              </w:rPr>
              <w:t>Unaudited Condensed Consolidated Statements of Comprehensive Income for the fiscal quarter and two fiscal quarters ended July 4, 2026 and June 28, 2025</w:t>
            </w:r>
          </w:p>
        </w:tc>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45992517e148dea7c7d762d0324c85_22">
              <w:r>
                <w:rPr>
                  <w:rStyle w:val="InternetLink"/>
                  <w:rFonts w:ascii="Times New Roman;serif" w:hAnsi="Times New Roman;serif"/>
                  <w:b w:val="false"/>
                  <w:color w:val="0000FF"/>
                  <w:sz w:val="18"/>
                  <w:u w:val="single"/>
                </w:rPr>
                <w:t>3</w:t>
              </w:r>
            </w:hyperlink>
          </w:p>
        </w:tc>
      </w:tr>
      <w:tr>
        <w:trPr/>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18"/>
                <w:u w:val="single"/>
              </w:rPr>
            </w:pPr>
            <w:r>
              <w:rPr>
                <w:rFonts w:ascii="Times New Roman;serif" w:hAnsi="Times New Roman;serif"/>
                <w:b w:val="false"/>
                <w:color w:val="0000FF"/>
                <w:sz w:val="18"/>
                <w:u w:val="single"/>
              </w:rPr>
              <w:t>Unaudited Condensed Consolidated Statements of Changes in Shareholders’ Equity for the fiscal quarters ended July 4, 2026, April 4, 2026, June 28, 2025, and March 29, 2025</w:t>
            </w:r>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45992517e148dea7c7d762d0324c85_25">
              <w:r>
                <w:rPr>
                  <w:rStyle w:val="InternetLink"/>
                  <w:rFonts w:ascii="Times New Roman;serif" w:hAnsi="Times New Roman;serif"/>
                  <w:b w:val="false"/>
                  <w:color w:val="0000FF"/>
                  <w:sz w:val="18"/>
                  <w:u w:val="single"/>
                </w:rPr>
                <w:t>4</w:t>
              </w:r>
            </w:hyperlink>
          </w:p>
        </w:tc>
      </w:tr>
      <w:tr>
        <w:trPr/>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18"/>
                <w:u w:val="single"/>
              </w:rPr>
            </w:pPr>
            <w:r>
              <w:rPr>
                <w:rFonts w:ascii="Times New Roman;serif" w:hAnsi="Times New Roman;serif"/>
                <w:b w:val="false"/>
                <w:color w:val="0000FF"/>
                <w:sz w:val="18"/>
                <w:u w:val="single"/>
              </w:rPr>
              <w:t>Unaudited Condensed Consolidated Statements of Cash Flows for the two fiscal quarters ended July 4, 2026 and June 28, 2025</w:t>
            </w:r>
          </w:p>
        </w:tc>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45992517e148dea7c7d762d0324c85_28">
              <w:r>
                <w:rPr>
                  <w:rStyle w:val="InternetLink"/>
                  <w:rFonts w:ascii="Times New Roman;serif" w:hAnsi="Times New Roman;serif"/>
                  <w:b w:val="false"/>
                  <w:color w:val="0000FF"/>
                  <w:sz w:val="18"/>
                  <w:u w:val="single"/>
                </w:rPr>
                <w:t>5</w:t>
              </w:r>
            </w:hyperlink>
          </w:p>
        </w:tc>
      </w:tr>
      <w:tr>
        <w:trPr/>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31">
              <w:r>
                <w:rPr>
                  <w:rStyle w:val="InternetLink"/>
                  <w:rFonts w:ascii="Times New Roman;serif" w:hAnsi="Times New Roman;serif"/>
                  <w:b w:val="false"/>
                  <w:color w:val="0000FF"/>
                  <w:sz w:val="18"/>
                  <w:u w:val="single"/>
                </w:rPr>
                <w:t>Notes to the Unaudited Condensed Consolidated Financial Statements</w:t>
              </w:r>
            </w:hyperlink>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45992517e148dea7c7d762d0324c85_31">
              <w:r>
                <w:rPr>
                  <w:rStyle w:val="InternetLink"/>
                  <w:rFonts w:ascii="Times New Roman;serif" w:hAnsi="Times New Roman;serif"/>
                  <w:b w:val="false"/>
                  <w:color w:val="0000FF"/>
                  <w:sz w:val="18"/>
                  <w:u w:val="single"/>
                </w:rPr>
                <w:t>6</w:t>
              </w:r>
            </w:hyperlink>
          </w:p>
        </w:tc>
      </w:tr>
      <w:tr>
        <w:trPr/>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76">
              <w:r>
                <w:rPr>
                  <w:rStyle w:val="InternetLink"/>
                  <w:rFonts w:ascii="Times New Roman;serif" w:hAnsi="Times New Roman;serif"/>
                  <w:b w:val="false"/>
                  <w:color w:val="0000FF"/>
                  <w:sz w:val="18"/>
                  <w:u w:val="single"/>
                </w:rPr>
                <w:t>Item 2</w:t>
              </w:r>
            </w:hyperlink>
          </w:p>
        </w:tc>
        <w:tc>
          <w:tcPr>
            <w:tcW w:w="8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76">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45992517e148dea7c7d762d0324c85_76">
              <w:r>
                <w:rPr>
                  <w:rStyle w:val="InternetLink"/>
                  <w:rFonts w:ascii="Times New Roman;serif" w:hAnsi="Times New Roman;serif"/>
                  <w:b w:val="false"/>
                  <w:color w:val="0000FF"/>
                  <w:sz w:val="18"/>
                  <w:u w:val="single"/>
                </w:rPr>
                <w:t>18</w:t>
              </w:r>
            </w:hyperlink>
          </w:p>
        </w:tc>
      </w:tr>
      <w:tr>
        <w:trPr/>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00">
              <w:r>
                <w:rPr>
                  <w:rStyle w:val="InternetLink"/>
                  <w:rFonts w:ascii="Times New Roman;serif" w:hAnsi="Times New Roman;serif"/>
                  <w:b w:val="false"/>
                  <w:color w:val="0000FF"/>
                  <w:sz w:val="18"/>
                  <w:u w:val="single"/>
                </w:rPr>
                <w:t>Item 3</w:t>
              </w:r>
            </w:hyperlink>
          </w:p>
        </w:tc>
        <w:tc>
          <w:tcPr>
            <w:tcW w:w="81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00">
              <w:r>
                <w:rPr>
                  <w:rStyle w:val="InternetLink"/>
                  <w:rFonts w:ascii="Times New Roman;serif" w:hAnsi="Times New Roman;serif"/>
                  <w:b w:val="false"/>
                  <w:color w:val="0000FF"/>
                  <w:sz w:val="18"/>
                  <w:u w:val="single"/>
                </w:rPr>
                <w:t>Quantitative and Qualitative Disclosures about Market Risk</w:t>
              </w:r>
            </w:hyperlink>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45992517e148dea7c7d762d0324c85_100">
              <w:r>
                <w:rPr>
                  <w:rStyle w:val="InternetLink"/>
                  <w:rFonts w:ascii="Times New Roman;serif" w:hAnsi="Times New Roman;serif"/>
                  <w:b w:val="false"/>
                  <w:color w:val="0000FF"/>
                  <w:sz w:val="18"/>
                  <w:u w:val="single"/>
                </w:rPr>
                <w:t>35</w:t>
              </w:r>
            </w:hyperlink>
          </w:p>
        </w:tc>
      </w:tr>
      <w:tr>
        <w:trPr/>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03">
              <w:r>
                <w:rPr>
                  <w:rStyle w:val="InternetLink"/>
                  <w:rFonts w:ascii="Times New Roman;serif" w:hAnsi="Times New Roman;serif"/>
                  <w:b w:val="false"/>
                  <w:color w:val="0000FF"/>
                  <w:sz w:val="18"/>
                  <w:u w:val="single"/>
                </w:rPr>
                <w:t>Item 4</w:t>
              </w:r>
            </w:hyperlink>
          </w:p>
        </w:tc>
        <w:tc>
          <w:tcPr>
            <w:tcW w:w="8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03">
              <w:r>
                <w:rPr>
                  <w:rStyle w:val="InternetLink"/>
                  <w:rFonts w:ascii="Times New Roman;serif" w:hAnsi="Times New Roman;serif"/>
                  <w:b w:val="false"/>
                  <w:color w:val="0000FF"/>
                  <w:sz w:val="18"/>
                  <w:u w:val="single"/>
                </w:rPr>
                <w:t>Controls and Procedures</w:t>
              </w:r>
            </w:hyperlink>
          </w:p>
        </w:tc>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45992517e148dea7c7d762d0324c85_103">
              <w:r>
                <w:rPr>
                  <w:rStyle w:val="InternetLink"/>
                  <w:rFonts w:ascii="Times New Roman;serif" w:hAnsi="Times New Roman;serif"/>
                  <w:b w:val="false"/>
                  <w:color w:val="0000FF"/>
                  <w:sz w:val="18"/>
                  <w:u w:val="single"/>
                </w:rPr>
                <w:t>36</w:t>
              </w:r>
            </w:hyperlink>
          </w:p>
        </w:tc>
      </w:tr>
      <w:tr>
        <w:trPr/>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06">
              <w:r>
                <w:rPr>
                  <w:rStyle w:val="InternetLink"/>
                  <w:rFonts w:ascii="Times New Roman;serif" w:hAnsi="Times New Roman;serif"/>
                  <w:b/>
                  <w:color w:val="0000FF"/>
                  <w:sz w:val="20"/>
                  <w:u w:val="single"/>
                </w:rPr>
                <w:t>Part II. Other Information</w:t>
              </w:r>
            </w:hyperlink>
          </w:p>
        </w:tc>
        <w:tc>
          <w:tcPr>
            <w:tcW w:w="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09">
              <w:r>
                <w:rPr>
                  <w:rStyle w:val="InternetLink"/>
                  <w:rFonts w:ascii="Times New Roman;serif" w:hAnsi="Times New Roman;serif"/>
                  <w:b w:val="false"/>
                  <w:color w:val="0000FF"/>
                  <w:sz w:val="18"/>
                  <w:u w:val="single"/>
                </w:rPr>
                <w:t>Item 1</w:t>
              </w:r>
            </w:hyperlink>
          </w:p>
        </w:tc>
        <w:tc>
          <w:tcPr>
            <w:tcW w:w="81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09">
              <w:r>
                <w:rPr>
                  <w:rStyle w:val="InternetLink"/>
                  <w:rFonts w:ascii="Times New Roman;serif" w:hAnsi="Times New Roman;serif"/>
                  <w:b w:val="false"/>
                  <w:color w:val="0000FF"/>
                  <w:sz w:val="18"/>
                  <w:u w:val="single"/>
                </w:rPr>
                <w:t>Legal Proceedings</w:t>
              </w:r>
            </w:hyperlink>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45992517e148dea7c7d762d0324c85_109">
              <w:r>
                <w:rPr>
                  <w:rStyle w:val="InternetLink"/>
                  <w:rFonts w:ascii="Times New Roman;serif" w:hAnsi="Times New Roman;serif"/>
                  <w:b w:val="false"/>
                  <w:color w:val="0000FF"/>
                  <w:sz w:val="18"/>
                  <w:u w:val="single"/>
                </w:rPr>
                <w:t>37</w:t>
              </w:r>
            </w:hyperlink>
          </w:p>
        </w:tc>
      </w:tr>
      <w:tr>
        <w:trPr/>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12">
              <w:r>
                <w:rPr>
                  <w:rStyle w:val="InternetLink"/>
                  <w:rFonts w:ascii="Times New Roman;serif" w:hAnsi="Times New Roman;serif"/>
                  <w:b w:val="false"/>
                  <w:color w:val="0000FF"/>
                  <w:sz w:val="18"/>
                  <w:u w:val="single"/>
                </w:rPr>
                <w:t>Item 1A</w:t>
              </w:r>
            </w:hyperlink>
          </w:p>
        </w:tc>
        <w:tc>
          <w:tcPr>
            <w:tcW w:w="8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12">
              <w:r>
                <w:rPr>
                  <w:rStyle w:val="InternetLink"/>
                  <w:rFonts w:ascii="Times New Roman;serif" w:hAnsi="Times New Roman;serif"/>
                  <w:b w:val="false"/>
                  <w:color w:val="0000FF"/>
                  <w:sz w:val="18"/>
                  <w:u w:val="single"/>
                </w:rPr>
                <w:t>Risk Factors</w:t>
              </w:r>
            </w:hyperlink>
          </w:p>
        </w:tc>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45992517e148dea7c7d762d0324c85_112">
              <w:r>
                <w:rPr>
                  <w:rStyle w:val="InternetLink"/>
                  <w:rFonts w:ascii="Times New Roman;serif" w:hAnsi="Times New Roman;serif"/>
                  <w:b w:val="false"/>
                  <w:color w:val="0000FF"/>
                  <w:sz w:val="18"/>
                  <w:u w:val="single"/>
                </w:rPr>
                <w:t>37</w:t>
              </w:r>
            </w:hyperlink>
          </w:p>
        </w:tc>
      </w:tr>
      <w:tr>
        <w:trPr/>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15">
              <w:r>
                <w:rPr>
                  <w:rStyle w:val="InternetLink"/>
                  <w:rFonts w:ascii="Times New Roman;serif" w:hAnsi="Times New Roman;serif"/>
                  <w:b w:val="false"/>
                  <w:color w:val="0000FF"/>
                  <w:sz w:val="18"/>
                  <w:u w:val="single"/>
                </w:rPr>
                <w:t>Item 2</w:t>
              </w:r>
            </w:hyperlink>
          </w:p>
        </w:tc>
        <w:tc>
          <w:tcPr>
            <w:tcW w:w="81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15">
              <w:r>
                <w:rPr>
                  <w:rStyle w:val="InternetLink"/>
                  <w:rFonts w:ascii="Times New Roman;serif" w:hAnsi="Times New Roman;serif"/>
                  <w:b w:val="false"/>
                  <w:color w:val="0000FF"/>
                  <w:sz w:val="18"/>
                  <w:u w:val="single"/>
                </w:rPr>
                <w:t>Unregistered Sales of Equity Securities and Use of Proceeds</w:t>
              </w:r>
            </w:hyperlink>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45992517e148dea7c7d762d0324c85_115">
              <w:r>
                <w:rPr>
                  <w:rStyle w:val="InternetLink"/>
                  <w:rFonts w:ascii="Times New Roman;serif" w:hAnsi="Times New Roman;serif"/>
                  <w:b w:val="false"/>
                  <w:color w:val="0000FF"/>
                  <w:sz w:val="18"/>
                  <w:u w:val="single"/>
                </w:rPr>
                <w:t>38</w:t>
              </w:r>
            </w:hyperlink>
          </w:p>
        </w:tc>
      </w:tr>
      <w:tr>
        <w:trPr/>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18">
              <w:r>
                <w:rPr>
                  <w:rStyle w:val="InternetLink"/>
                  <w:rFonts w:ascii="Times New Roman;serif" w:hAnsi="Times New Roman;serif"/>
                  <w:b w:val="false"/>
                  <w:color w:val="0000FF"/>
                  <w:sz w:val="18"/>
                  <w:u w:val="single"/>
                </w:rPr>
                <w:t>Item 3</w:t>
              </w:r>
            </w:hyperlink>
          </w:p>
        </w:tc>
        <w:tc>
          <w:tcPr>
            <w:tcW w:w="8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18">
              <w:r>
                <w:rPr>
                  <w:rStyle w:val="InternetLink"/>
                  <w:rFonts w:ascii="Times New Roman;serif" w:hAnsi="Times New Roman;serif"/>
                  <w:b w:val="false"/>
                  <w:color w:val="0000FF"/>
                  <w:sz w:val="18"/>
                  <w:u w:val="single"/>
                </w:rPr>
                <w:t>Defaults upon Senior Securities</w:t>
              </w:r>
            </w:hyperlink>
          </w:p>
        </w:tc>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45992517e148dea7c7d762d0324c85_118">
              <w:r>
                <w:rPr>
                  <w:rStyle w:val="InternetLink"/>
                  <w:rFonts w:ascii="Times New Roman;serif" w:hAnsi="Times New Roman;serif"/>
                  <w:b w:val="false"/>
                  <w:color w:val="0000FF"/>
                  <w:sz w:val="18"/>
                  <w:u w:val="single"/>
                </w:rPr>
                <w:t>38</w:t>
              </w:r>
            </w:hyperlink>
          </w:p>
        </w:tc>
      </w:tr>
      <w:tr>
        <w:trPr/>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21">
              <w:r>
                <w:rPr>
                  <w:rStyle w:val="InternetLink"/>
                  <w:rFonts w:ascii="Times New Roman;serif" w:hAnsi="Times New Roman;serif"/>
                  <w:b w:val="false"/>
                  <w:color w:val="0000FF"/>
                  <w:sz w:val="18"/>
                  <w:u w:val="single"/>
                </w:rPr>
                <w:t>Item 4</w:t>
              </w:r>
            </w:hyperlink>
          </w:p>
        </w:tc>
        <w:tc>
          <w:tcPr>
            <w:tcW w:w="81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21">
              <w:r>
                <w:rPr>
                  <w:rStyle w:val="InternetLink"/>
                  <w:rFonts w:ascii="Times New Roman;serif" w:hAnsi="Times New Roman;serif"/>
                  <w:b w:val="false"/>
                  <w:color w:val="0000FF"/>
                  <w:sz w:val="18"/>
                  <w:u w:val="single"/>
                </w:rPr>
                <w:t>Mine Safety Disclosures</w:t>
              </w:r>
            </w:hyperlink>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45992517e148dea7c7d762d0324c85_121">
              <w:r>
                <w:rPr>
                  <w:rStyle w:val="InternetLink"/>
                  <w:rFonts w:ascii="Times New Roman;serif" w:hAnsi="Times New Roman;serif"/>
                  <w:b w:val="false"/>
                  <w:color w:val="0000FF"/>
                  <w:sz w:val="18"/>
                  <w:u w:val="single"/>
                </w:rPr>
                <w:t>38</w:t>
              </w:r>
            </w:hyperlink>
          </w:p>
        </w:tc>
      </w:tr>
      <w:tr>
        <w:trPr/>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24">
              <w:r>
                <w:rPr>
                  <w:rStyle w:val="InternetLink"/>
                  <w:rFonts w:ascii="Times New Roman;serif" w:hAnsi="Times New Roman;serif"/>
                  <w:b w:val="false"/>
                  <w:color w:val="0000FF"/>
                  <w:sz w:val="18"/>
                  <w:u w:val="single"/>
                </w:rPr>
                <w:t>Item 5</w:t>
              </w:r>
            </w:hyperlink>
          </w:p>
        </w:tc>
        <w:tc>
          <w:tcPr>
            <w:tcW w:w="8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24">
              <w:r>
                <w:rPr>
                  <w:rStyle w:val="InternetLink"/>
                  <w:rFonts w:ascii="Times New Roman;serif" w:hAnsi="Times New Roman;serif"/>
                  <w:b w:val="false"/>
                  <w:color w:val="0000FF"/>
                  <w:sz w:val="18"/>
                  <w:u w:val="single"/>
                </w:rPr>
                <w:t>Other Information</w:t>
              </w:r>
            </w:hyperlink>
          </w:p>
        </w:tc>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45992517e148dea7c7d762d0324c85_124">
              <w:r>
                <w:rPr>
                  <w:rStyle w:val="InternetLink"/>
                  <w:rFonts w:ascii="Times New Roman;serif" w:hAnsi="Times New Roman;serif"/>
                  <w:b w:val="false"/>
                  <w:color w:val="0000FF"/>
                  <w:sz w:val="18"/>
                  <w:u w:val="single"/>
                </w:rPr>
                <w:t>38</w:t>
              </w:r>
            </w:hyperlink>
          </w:p>
        </w:tc>
      </w:tr>
      <w:tr>
        <w:trPr/>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30">
              <w:r>
                <w:rPr>
                  <w:rStyle w:val="InternetLink"/>
                  <w:rFonts w:ascii="Times New Roman;serif" w:hAnsi="Times New Roman;serif"/>
                  <w:b w:val="false"/>
                  <w:color w:val="0000FF"/>
                  <w:sz w:val="18"/>
                  <w:u w:val="single"/>
                </w:rPr>
                <w:t>Item 6</w:t>
              </w:r>
            </w:hyperlink>
          </w:p>
        </w:tc>
        <w:tc>
          <w:tcPr>
            <w:tcW w:w="81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30">
              <w:r>
                <w:rPr>
                  <w:rStyle w:val="InternetLink"/>
                  <w:rFonts w:ascii="Times New Roman;serif" w:hAnsi="Times New Roman;serif"/>
                  <w:b w:val="false"/>
                  <w:color w:val="0000FF"/>
                  <w:sz w:val="18"/>
                  <w:u w:val="single"/>
                </w:rPr>
                <w:t xml:space="preserve">Exhibits </w:t>
              </w:r>
            </w:hyperlink>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45992517e148dea7c7d762d0324c85_130">
              <w:r>
                <w:rPr>
                  <w:rStyle w:val="InternetLink"/>
                  <w:rFonts w:ascii="Times New Roman;serif" w:hAnsi="Times New Roman;serif"/>
                  <w:b w:val="false"/>
                  <w:color w:val="0000FF"/>
                  <w:sz w:val="18"/>
                  <w:u w:val="single"/>
                </w:rPr>
                <w:t>39</w:t>
              </w:r>
            </w:hyperlink>
          </w:p>
        </w:tc>
      </w:tr>
      <w:tr>
        <w:trPr/>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0"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45992517e148dea7c7d762d0324c85_133">
              <w:r>
                <w:rPr>
                  <w:rStyle w:val="InternetLink"/>
                  <w:rFonts w:ascii="Times New Roman;serif" w:hAnsi="Times New Roman;serif"/>
                  <w:b/>
                  <w:color w:val="0000FF"/>
                  <w:sz w:val="20"/>
                  <w:u w:val="single"/>
                </w:rPr>
                <w:t>Signatures</w:t>
              </w:r>
            </w:hyperlink>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45992517e148dea7c7d762d0324c85_133">
              <w:r>
                <w:rPr>
                  <w:rStyle w:val="InternetLink"/>
                  <w:rFonts w:ascii="Times New Roman;serif" w:hAnsi="Times New Roman;serif"/>
                  <w:b w:val="false"/>
                  <w:color w:val="0000FF"/>
                  <w:sz w:val="18"/>
                  <w:u w:val="singl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CARTER’S,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dollars in thousands, except per share data</w:t>
      </w:r>
      <w:r>
        <w:rPr>
          <w:rFonts w:ascii="Times New Roman;serif" w:hAnsi="Times New Roman;serif"/>
          <w:b w:val="false"/>
          <w:color w:val="000000"/>
          <w:sz w:val="20"/>
        </w:rPr>
        <w:t>)</w:t>
      </w:r>
    </w:p>
    <w:p>
      <w:pPr>
        <w:pStyle w:val="TextBody"/>
        <w:bidi w:val="0"/>
        <w:spacing w:lineRule="auto" w:line="288" w:before="0" w:after="10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432"/>
        <w:gridCol w:w="1749"/>
        <w:gridCol w:w="1741"/>
        <w:gridCol w:w="196"/>
        <w:gridCol w:w="871"/>
        <w:gridCol w:w="109"/>
        <w:gridCol w:w="109"/>
        <w:gridCol w:w="109"/>
        <w:gridCol w:w="109"/>
        <w:gridCol w:w="204"/>
        <w:gridCol w:w="911"/>
        <w:gridCol w:w="114"/>
        <w:gridCol w:w="109"/>
        <w:gridCol w:w="109"/>
        <w:gridCol w:w="109"/>
        <w:gridCol w:w="196"/>
        <w:gridCol w:w="871"/>
        <w:gridCol w:w="157"/>
      </w:tblGrid>
      <w:tr>
        <w:trPr/>
        <w:tc>
          <w:tcPr>
            <w:tcW w:w="2432"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January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28, 2025</w:t>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653,571 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487,075 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338,183 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Accounts receivable, net of allowance for credit losses of $7,898, $7,587, and $6,340,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178,566 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140,352 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Finished goods inventories, net of inventory reserves of $11,613, $8,897, and $10,284,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577,737 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544,624 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619,074 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60,508 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60,612 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1,472,517 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1,270,773 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1,158,221 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Property, plant, and equipment, net of accumulated depreciation of $585,801, $609,059, and $598,575,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186,307 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188,177 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568,288 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591,806 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571,303 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Tradenames,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268,541 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268,659 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268,777 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208,994 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209,016 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Customer relationships,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21,854 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2,732,360 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2,565,470 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2,455,552 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 AND SHAREHOLDERS’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323,644 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235,700 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306,399 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136,488 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124,002 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133,809 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95,270 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596,223 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505,997 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525,671 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Long-term debt,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567,808 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567,173 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498,531 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39,380 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42,290 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Long-term 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484,235 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508,461 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501,804 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19,411 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1,705,037 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1,640,422 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1,601,650 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 Note 15</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Shareholders’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Preferred stock; par value $0.01 per share; 100,000 shares authorized; none issued or outstanding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Common stock, voting; par value $0.01 per share; 150,000,000 shares authorized; 36,711,901, 36,425,877, and 36,467,071 shares issued and outstanding,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(24,361)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(32,817)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1,030,395 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929,461 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871,894 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shareholders’ equity</w:t>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1,027,323 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925,048 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853,902 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 and shareholders’ equity</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2,732,360 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2,565,470 </w:t>
            </w:r>
          </w:p>
        </w:tc>
        <w:tc>
          <w:tcPr>
            <w:tcW w:w="1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2,455,552 </w:t>
            </w:r>
          </w:p>
        </w:tc>
        <w:tc>
          <w:tcPr>
            <w:tcW w:w="1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CARTER’S,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dollars in thousands, except per share data</w:t>
      </w:r>
      <w:r>
        <w:rPr>
          <w:rFonts w:ascii="Times New Roman;serif" w:hAnsi="Times New Roman;serif"/>
          <w:b w:val="false"/>
          <w:color w:val="000000"/>
          <w:sz w:val="20"/>
        </w:rPr>
        <w:t>)</w:t>
      </w:r>
    </w:p>
    <w:p>
      <w:pPr>
        <w:pStyle w:val="TextBody"/>
        <w:bidi w:val="0"/>
        <w:spacing w:lineRule="auto" w:line="288" w:before="0" w:after="10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978" w:type="dxa"/>
        <w:jc w:val="center"/>
        <w:tblInd w:w="0" w:type="dxa"/>
        <w:tblLayout w:type="fixed"/>
        <w:tblCellMar>
          <w:top w:w="28" w:type="dxa"/>
          <w:left w:w="28" w:type="dxa"/>
          <w:bottom w:w="28" w:type="dxa"/>
          <w:right w:w="28" w:type="dxa"/>
        </w:tblCellMar>
      </w:tblPr>
      <w:tblGrid>
        <w:gridCol w:w="1227"/>
        <w:gridCol w:w="1082"/>
        <w:gridCol w:w="1095"/>
        <w:gridCol w:w="196"/>
        <w:gridCol w:w="736"/>
        <w:gridCol w:w="109"/>
        <w:gridCol w:w="109"/>
        <w:gridCol w:w="109"/>
        <w:gridCol w:w="109"/>
        <w:gridCol w:w="217"/>
        <w:gridCol w:w="817"/>
        <w:gridCol w:w="121"/>
        <w:gridCol w:w="109"/>
        <w:gridCol w:w="109"/>
        <w:gridCol w:w="109"/>
        <w:gridCol w:w="196"/>
        <w:gridCol w:w="871"/>
        <w:gridCol w:w="109"/>
        <w:gridCol w:w="109"/>
        <w:gridCol w:w="109"/>
        <w:gridCol w:w="109"/>
        <w:gridCol w:w="196"/>
        <w:gridCol w:w="871"/>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615,490 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585,313 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1,296,603 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1,215,139 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303,553 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572,850 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income </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139,826 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4,044 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168,269 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tax provision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104,958 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119,294 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declared and paid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CARTER’S,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dollars in thousands</w:t>
      </w:r>
      <w:r>
        <w:rPr>
          <w:rFonts w:ascii="Times New Roman;serif" w:hAnsi="Times New Roman;serif"/>
          <w:b w:val="false"/>
          <w:color w:val="000000"/>
          <w:sz w:val="20"/>
        </w:rPr>
        <w:t>)</w:t>
      </w:r>
    </w:p>
    <w:p>
      <w:pPr>
        <w:pStyle w:val="TextBody"/>
        <w:bidi w:val="0"/>
        <w:spacing w:lineRule="auto" w:line="288" w:before="0" w:after="10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60"/>
        <w:gridCol w:w="1524"/>
        <w:gridCol w:w="1540"/>
        <w:gridCol w:w="196"/>
        <w:gridCol w:w="736"/>
        <w:gridCol w:w="109"/>
        <w:gridCol w:w="109"/>
        <w:gridCol w:w="109"/>
        <w:gridCol w:w="109"/>
        <w:gridCol w:w="211"/>
        <w:gridCol w:w="697"/>
        <w:gridCol w:w="117"/>
        <w:gridCol w:w="109"/>
        <w:gridCol w:w="109"/>
        <w:gridCol w:w="109"/>
        <w:gridCol w:w="196"/>
        <w:gridCol w:w="736"/>
        <w:gridCol w:w="109"/>
        <w:gridCol w:w="109"/>
        <w:gridCol w:w="109"/>
        <w:gridCol w:w="109"/>
        <w:gridCol w:w="211"/>
        <w:gridCol w:w="697"/>
        <w:gridCol w:w="117"/>
        <w:gridCol w:w="109"/>
        <w:gridCol w:w="159"/>
      </w:tblGrid>
      <w:tr>
        <w:trPr/>
        <w:tc>
          <w:tcPr>
            <w:tcW w:w="176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119,294 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15,985 </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Reclassification related to settlement of Carter’s post-retirement life insurance arrangement, net of tax of $(135) for two fiscal quarters ended July 4, 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(loss)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CARTER’S,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amounts in thousands, except share amounts</w:t>
      </w:r>
      <w:r>
        <w:rPr>
          <w:rFonts w:ascii="Times New Roman;serif" w:hAnsi="Times New Roman;serif"/>
          <w:b w:val="false"/>
          <w:color w:val="000000"/>
          <w:sz w:val="20"/>
        </w:rPr>
        <w: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20"/>
        <w:gridCol w:w="375"/>
        <w:gridCol w:w="376"/>
        <w:gridCol w:w="654"/>
        <w:gridCol w:w="359"/>
        <w:gridCol w:w="333"/>
        <w:gridCol w:w="109"/>
        <w:gridCol w:w="109"/>
        <w:gridCol w:w="109"/>
        <w:gridCol w:w="222"/>
        <w:gridCol w:w="478"/>
        <w:gridCol w:w="126"/>
        <w:gridCol w:w="109"/>
        <w:gridCol w:w="109"/>
        <w:gridCol w:w="109"/>
        <w:gridCol w:w="196"/>
        <w:gridCol w:w="646"/>
        <w:gridCol w:w="109"/>
        <w:gridCol w:w="109"/>
        <w:gridCol w:w="109"/>
        <w:gridCol w:w="109"/>
        <w:gridCol w:w="298"/>
        <w:gridCol w:w="1009"/>
        <w:gridCol w:w="168"/>
        <w:gridCol w:w="109"/>
        <w:gridCol w:w="109"/>
        <w:gridCol w:w="109"/>
        <w:gridCol w:w="196"/>
        <w:gridCol w:w="871"/>
        <w:gridCol w:w="109"/>
        <w:gridCol w:w="109"/>
        <w:gridCol w:w="109"/>
        <w:gridCol w:w="109"/>
        <w:gridCol w:w="196"/>
        <w:gridCol w:w="871"/>
        <w:gridCol w:w="158"/>
      </w:tblGrid>
      <w:tr>
        <w:trPr/>
        <w:tc>
          <w:tcPr>
            <w:tcW w:w="82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Common stock -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Common</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stock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Additional</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paid-in</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Accumulated other comprehensive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Retained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shareholders’</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equity</w:t>
            </w:r>
          </w:p>
        </w:tc>
      </w:tr>
      <w:tr>
        <w:trPr/>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January 3, 2026</w:t>
            </w:r>
          </w:p>
        </w:tc>
        <w:tc>
          <w:tcPr>
            <w:tcW w:w="101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36,425,877 </w:t>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(24,361)</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929,461 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925,048 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Withholdings from vesting </w:t>
              <w:br/>
              <w:t>of restricted stock</w:t>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(79,985)</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activity</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504,225 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of $0.25 per common share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April 4, 2026</w:t>
            </w:r>
          </w:p>
        </w:tc>
        <w:tc>
          <w:tcPr>
            <w:tcW w:w="101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36,850,117 </w:t>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(26,740)</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934,577 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928,457 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Withholdings from vesting </w:t>
              <w:br/>
              <w:t>of restricted stock</w:t>
            </w:r>
          </w:p>
        </w:tc>
        <w:tc>
          <w:tcPr>
            <w:tcW w:w="101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w:t>
            </w:r>
          </w:p>
        </w:tc>
        <w:tc>
          <w:tcPr>
            <w:tcW w:w="3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activity</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(136,303)</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of $0.25 per common share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July 4, 2026</w:t>
            </w:r>
          </w:p>
        </w:tc>
        <w:tc>
          <w:tcPr>
            <w:tcW w:w="101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36,711,901 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(27,349)</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1,027,323 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83"/>
        <w:gridCol w:w="444"/>
        <w:gridCol w:w="446"/>
        <w:gridCol w:w="654"/>
        <w:gridCol w:w="375"/>
        <w:gridCol w:w="350"/>
        <w:gridCol w:w="109"/>
        <w:gridCol w:w="109"/>
        <w:gridCol w:w="109"/>
        <w:gridCol w:w="222"/>
        <w:gridCol w:w="478"/>
        <w:gridCol w:w="126"/>
        <w:gridCol w:w="109"/>
        <w:gridCol w:w="109"/>
        <w:gridCol w:w="109"/>
        <w:gridCol w:w="196"/>
        <w:gridCol w:w="646"/>
        <w:gridCol w:w="109"/>
        <w:gridCol w:w="109"/>
        <w:gridCol w:w="109"/>
        <w:gridCol w:w="109"/>
        <w:gridCol w:w="312"/>
        <w:gridCol w:w="1056"/>
        <w:gridCol w:w="175"/>
        <w:gridCol w:w="109"/>
        <w:gridCol w:w="109"/>
        <w:gridCol w:w="109"/>
        <w:gridCol w:w="196"/>
        <w:gridCol w:w="736"/>
        <w:gridCol w:w="109"/>
        <w:gridCol w:w="109"/>
        <w:gridCol w:w="109"/>
        <w:gridCol w:w="109"/>
        <w:gridCol w:w="206"/>
        <w:gridCol w:w="780"/>
        <w:gridCol w:w="171"/>
      </w:tblGrid>
      <w:tr>
        <w:trPr/>
        <w:tc>
          <w:tcPr>
            <w:tcW w:w="78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Common stock -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Common</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stock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Additional</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paid-in</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Accumulated other comprehensive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Retained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shareholders’</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equity</w:t>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28, 2024</w:t>
            </w:r>
          </w:p>
        </w:tc>
        <w:tc>
          <w:tcPr>
            <w:tcW w:w="102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36,041,995 </w:t>
            </w:r>
          </w:p>
        </w:tc>
        <w:tc>
          <w:tcPr>
            <w:tcW w:w="3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(43,678)</w:t>
            </w:r>
          </w:p>
        </w:tc>
        <w:tc>
          <w:tcPr>
            <w:tcW w:w="1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894,024 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854,562 </w:t>
            </w:r>
          </w:p>
        </w:tc>
        <w:tc>
          <w:tcPr>
            <w:tcW w:w="1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Withholdings from vesting </w:t>
              <w:br/>
              <w:t>of restricted stock</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(93,538)</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(4,222)</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activity</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288,657 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of $0.80 per common share</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29, 2025</w:t>
            </w:r>
          </w:p>
        </w:tc>
        <w:tc>
          <w:tcPr>
            <w:tcW w:w="102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36,237,114 </w:t>
            </w:r>
          </w:p>
        </w:tc>
        <w:tc>
          <w:tcPr>
            <w:tcW w:w="3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(43,066)</w:t>
            </w:r>
          </w:p>
        </w:tc>
        <w:tc>
          <w:tcPr>
            <w:tcW w:w="1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880,564 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847,245 </w:t>
            </w:r>
          </w:p>
        </w:tc>
        <w:tc>
          <w:tcPr>
            <w:tcW w:w="1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Withholdings from vesting </w:t>
              <w:br/>
              <w:t>of restricted stock</w:t>
            </w:r>
          </w:p>
        </w:tc>
        <w:tc>
          <w:tcPr>
            <w:tcW w:w="10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w:t>
            </w:r>
          </w:p>
        </w:tc>
        <w:tc>
          <w:tcPr>
            <w:tcW w:w="3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activity</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233,190 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of $0.25 per common share</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28, 2025</w:t>
            </w:r>
          </w:p>
        </w:tc>
        <w:tc>
          <w:tcPr>
            <w:tcW w:w="1029"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36,467,071 </w:t>
            </w:r>
          </w:p>
        </w:tc>
        <w:tc>
          <w:tcPr>
            <w:tcW w:w="3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(32,817)</w:t>
            </w:r>
          </w:p>
        </w:tc>
        <w:tc>
          <w:tcPr>
            <w:tcW w:w="1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871,894 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853,902 </w:t>
            </w:r>
          </w:p>
        </w:tc>
        <w:tc>
          <w:tcPr>
            <w:tcW w:w="1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CARTER’S,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dollars in thousands</w:t>
      </w:r>
      <w:r>
        <w:rPr>
          <w:rFonts w:ascii="Times New Roman;serif" w:hAnsi="Times New Roman;serif"/>
          <w:b w:val="false"/>
          <w:color w:val="000000"/>
          <w:sz w:val="20"/>
        </w:rPr>
        <w:t>)</w:t>
      </w:r>
    </w:p>
    <w:p>
      <w:pPr>
        <w:pStyle w:val="TextBody"/>
        <w:bidi w:val="0"/>
        <w:spacing w:lineRule="auto" w:line="288" w:before="0" w:after="10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032" w:type="dxa"/>
        <w:jc w:val="center"/>
        <w:tblInd w:w="0" w:type="dxa"/>
        <w:tblLayout w:type="fixed"/>
        <w:tblCellMar>
          <w:top w:w="28" w:type="dxa"/>
          <w:left w:w="28" w:type="dxa"/>
          <w:bottom w:w="28" w:type="dxa"/>
          <w:right w:w="28" w:type="dxa"/>
        </w:tblCellMar>
      </w:tblPr>
      <w:tblGrid>
        <w:gridCol w:w="2342"/>
        <w:gridCol w:w="2053"/>
        <w:gridCol w:w="2070"/>
        <w:gridCol w:w="196"/>
        <w:gridCol w:w="736"/>
        <w:gridCol w:w="109"/>
        <w:gridCol w:w="109"/>
        <w:gridCol w:w="109"/>
        <w:gridCol w:w="109"/>
        <w:gridCol w:w="216"/>
        <w:gridCol w:w="813"/>
        <w:gridCol w:w="170"/>
      </w:tblGrid>
      <w:tr>
        <w:trPr/>
        <w:tc>
          <w:tcPr>
            <w:tcW w:w="2342"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excess and obsolete inventory,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currency exchange loss (gain),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doubtful accounts receivable from customers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items,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54,068 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 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(114,014)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17,948 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(8,338)</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(26,546)</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(38,115)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Withholdings from vesting of restricted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(42,817)</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effect of exchange rate changes on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166,496 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(74,743)</w:t>
            </w:r>
          </w:p>
        </w:tc>
        <w:tc>
          <w:tcPr>
            <w:tcW w:w="1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412,926 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653,571 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338,183 </w:t>
            </w:r>
          </w:p>
        </w:tc>
        <w:tc>
          <w:tcPr>
            <w:tcW w:w="17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CARTER’S,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NOTE 1 – THE COMPANY</w:t>
      </w:r>
    </w:p>
    <w:p>
      <w:pPr>
        <w:pStyle w:val="TextBody"/>
        <w:bidi w:val="0"/>
        <w:spacing w:lineRule="auto" w:line="288" w:before="0" w:after="200"/>
        <w:jc w:val="left"/>
        <w:rPr/>
      </w:pPr>
      <w:r>
        <w:rPr>
          <w:rFonts w:ascii="Times New Roman;serif" w:hAnsi="Times New Roman;serif"/>
          <w:b w:val="false"/>
          <w:color w:val="000000"/>
          <w:sz w:val="20"/>
        </w:rPr>
        <w:t xml:space="preserve">Carter’s, Inc. and its wholly owned subsidiaries (collectively, the “Company”) design, source, and market branded childrenswear under the </w:t>
      </w:r>
      <w:r>
        <w:rPr>
          <w:rFonts w:ascii="Times New Roman;serif" w:hAnsi="Times New Roman;serif"/>
          <w:b w:val="false"/>
          <w:i/>
          <w:color w:val="000000"/>
          <w:sz w:val="20"/>
        </w:rPr>
        <w:t>Carter’s</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 xml:space="preserve">OshKosh B’gosh </w:t>
      </w:r>
      <w:r>
        <w:rPr>
          <w:rFonts w:ascii="Times New Roman;serif" w:hAnsi="Times New Roman;serif"/>
          <w:b w:val="false"/>
          <w:color w:val="000000"/>
          <w:sz w:val="20"/>
        </w:rPr>
        <w:t>(or “</w:t>
      </w:r>
      <w:r>
        <w:rPr>
          <w:rFonts w:ascii="Times New Roman;serif" w:hAnsi="Times New Roman;serif"/>
          <w:b w:val="false"/>
          <w:i/>
          <w:color w:val="000000"/>
          <w:sz w:val="20"/>
        </w:rPr>
        <w:t>OshKosh</w:t>
      </w:r>
      <w:r>
        <w:rPr>
          <w:color w:val="000000"/>
        </w:rPr>
        <w:t>”</w:t>
      </w:r>
      <w:r>
        <w:rPr>
          <w:rFonts w:ascii="Times New Roman;serif" w:hAnsi="Times New Roman;serif"/>
          <w:b w:val="false"/>
          <w:color w:val="000000"/>
          <w:sz w:val="20"/>
        </w:rPr>
        <w:t xml:space="preserve">), </w:t>
      </w:r>
      <w:r>
        <w:rPr>
          <w:rFonts w:ascii="Times New Roman;serif" w:hAnsi="Times New Roman;serif"/>
          <w:b w:val="false"/>
          <w:i/>
          <w:color w:val="000000"/>
          <w:sz w:val="20"/>
        </w:rPr>
        <w:t>Skip Hop,</w:t>
      </w:r>
      <w:r>
        <w:rPr>
          <w:color w:val="000000"/>
        </w:rPr>
        <w:t xml:space="preserve"> </w:t>
      </w:r>
      <w:r>
        <w:rPr>
          <w:rFonts w:ascii="Times New Roman;serif" w:hAnsi="Times New Roman;serif"/>
          <w:b w:val="false"/>
          <w:i/>
          <w:color w:val="000000"/>
          <w:sz w:val="20"/>
        </w:rPr>
        <w:t>Child of</w:t>
      </w:r>
      <w:r>
        <w:rPr>
          <w:color w:val="000000"/>
        </w:rPr>
        <w:t xml:space="preserve"> </w:t>
      </w:r>
      <w:r>
        <w:rPr>
          <w:rFonts w:ascii="Times New Roman;serif" w:hAnsi="Times New Roman;serif"/>
          <w:b w:val="false"/>
          <w:i/>
          <w:color w:val="000000"/>
          <w:sz w:val="20"/>
        </w:rPr>
        <w:t>Mine</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Just One You</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Simple Joys, Little Planet, Otter Avenue, </w:t>
      </w:r>
      <w:r>
        <w:rPr>
          <w:rFonts w:ascii="Times New Roman;serif" w:hAnsi="Times New Roman;serif"/>
          <w:b w:val="false"/>
          <w:color w:val="000000"/>
          <w:sz w:val="20"/>
        </w:rPr>
        <w:t>and other brands. The Company’s products are sourced through contractual arrangements with manufacturers worldwide for sale in the Company’s retail stores, eCommerce sites, and mobile app, which offer the Company’s brand name merchandise and other licensed products manufactured by other companies. The Company also distributes its products to wholesale customers, which include leading department stores, national chains, and specialty retailers domestically and internationally.</w:t>
      </w:r>
    </w:p>
    <w:p>
      <w:pPr>
        <w:pStyle w:val="TextBody"/>
        <w:bidi w:val="0"/>
        <w:spacing w:lineRule="auto" w:line="288" w:before="0" w:after="200"/>
        <w:jc w:val="left"/>
        <w:rPr/>
      </w:pPr>
      <w:r>
        <w:rPr>
          <w:rFonts w:ascii="Times New Roman;serif" w:hAnsi="Times New Roman;serif"/>
          <w:b w:val="false"/>
          <w:color w:val="000000"/>
          <w:sz w:val="20"/>
        </w:rPr>
        <w:t>Our trademarks that are referred to in this Quarterly Report on Form 10-Q, including </w:t>
      </w:r>
      <w:r>
        <w:rPr>
          <w:rFonts w:ascii="Times New Roman;serif" w:hAnsi="Times New Roman;serif"/>
          <w:b w:val="false"/>
          <w:i/>
          <w:color w:val="000000"/>
          <w:sz w:val="20"/>
        </w:rPr>
        <w:t>Carter’s</w:t>
      </w:r>
      <w:r>
        <w:rPr>
          <w:rFonts w:ascii="Times New Roman;serif" w:hAnsi="Times New Roman;serif"/>
          <w:b w:val="false"/>
          <w:color w:val="000000"/>
          <w:sz w:val="20"/>
        </w:rPr>
        <w:t>, </w:t>
      </w:r>
      <w:r>
        <w:rPr>
          <w:rFonts w:ascii="Times New Roman;serif" w:hAnsi="Times New Roman;serif"/>
          <w:b w:val="false"/>
          <w:i/>
          <w:color w:val="000000"/>
          <w:sz w:val="20"/>
        </w:rPr>
        <w:t>OshKosh B’gosh</w:t>
      </w:r>
      <w:r>
        <w:rPr>
          <w:rFonts w:ascii="Times New Roman;serif" w:hAnsi="Times New Roman;serif"/>
          <w:b w:val="false"/>
          <w:color w:val="000000"/>
          <w:sz w:val="20"/>
        </w:rPr>
        <w:t xml:space="preserve">, </w:t>
      </w:r>
      <w:r>
        <w:rPr>
          <w:rFonts w:ascii="Times New Roman;serif" w:hAnsi="Times New Roman;serif"/>
          <w:b w:val="false"/>
          <w:i/>
          <w:color w:val="000000"/>
          <w:sz w:val="20"/>
        </w:rPr>
        <w:t>OshKosh</w:t>
      </w:r>
      <w:r>
        <w:rPr>
          <w:rFonts w:ascii="Times New Roman;serif" w:hAnsi="Times New Roman;serif"/>
          <w:b w:val="false"/>
          <w:color w:val="000000"/>
          <w:sz w:val="20"/>
        </w:rPr>
        <w:t xml:space="preserve">, </w:t>
      </w:r>
      <w:r>
        <w:rPr>
          <w:rFonts w:ascii="Times New Roman;serif" w:hAnsi="Times New Roman;serif"/>
          <w:b w:val="false"/>
          <w:i/>
          <w:color w:val="000000"/>
          <w:sz w:val="20"/>
        </w:rPr>
        <w:t>Skip Hop, Child of Mine</w:t>
      </w:r>
      <w:r>
        <w:rPr>
          <w:rFonts w:ascii="Times New Roman;serif" w:hAnsi="Times New Roman;serif"/>
          <w:b w:val="false"/>
          <w:color w:val="000000"/>
          <w:sz w:val="20"/>
        </w:rPr>
        <w:t xml:space="preserve">, </w:t>
      </w:r>
      <w:r>
        <w:rPr>
          <w:rFonts w:ascii="Times New Roman;serif" w:hAnsi="Times New Roman;serif"/>
          <w:b w:val="false"/>
          <w:i/>
          <w:color w:val="000000"/>
          <w:sz w:val="20"/>
        </w:rPr>
        <w:t>Just One You</w:t>
      </w:r>
      <w:r>
        <w:rPr>
          <w:rFonts w:ascii="Times New Roman;serif" w:hAnsi="Times New Roman;serif"/>
          <w:b w:val="false"/>
          <w:color w:val="000000"/>
          <w:sz w:val="20"/>
        </w:rPr>
        <w:t xml:space="preserve">, </w:t>
      </w:r>
      <w:r>
        <w:rPr>
          <w:rFonts w:ascii="Times New Roman;serif" w:hAnsi="Times New Roman;serif"/>
          <w:b w:val="false"/>
          <w:i/>
          <w:color w:val="000000"/>
          <w:sz w:val="20"/>
        </w:rPr>
        <w:t>Simple Joys</w:t>
      </w:r>
      <w:r>
        <w:rPr>
          <w:rFonts w:ascii="Times New Roman;serif" w:hAnsi="Times New Roman;serif"/>
          <w:b w:val="false"/>
          <w:color w:val="000000"/>
          <w:sz w:val="20"/>
        </w:rPr>
        <w:t xml:space="preserve">, </w:t>
      </w:r>
      <w:r>
        <w:rPr>
          <w:rFonts w:ascii="Times New Roman;serif" w:hAnsi="Times New Roman;serif"/>
          <w:b w:val="false"/>
          <w:i/>
          <w:color w:val="000000"/>
          <w:sz w:val="20"/>
        </w:rPr>
        <w:t>Little Planet, Otter Avenue, PurelySoft</w:t>
      </w:r>
      <w:r>
        <w:rPr>
          <w:rFonts w:ascii="Times New Roman;serif" w:hAnsi="Times New Roman;serif"/>
          <w:b w:val="false"/>
          <w:color w:val="000000"/>
          <w:sz w:val="20"/>
        </w:rPr>
        <w:t xml:space="preserve">, and </w:t>
      </w:r>
      <w:r>
        <w:rPr>
          <w:rFonts w:ascii="Times New Roman;serif" w:hAnsi="Times New Roman;serif"/>
          <w:b w:val="false"/>
          <w:i/>
          <w:color w:val="000000"/>
          <w:sz w:val="20"/>
        </w:rPr>
        <w:t>Carter’s Rewards</w:t>
      </w:r>
      <w:r>
        <w:rPr>
          <w:rFonts w:ascii="Times New Roman;serif" w:hAnsi="Times New Roman;serif"/>
          <w:b w:val="false"/>
          <w:color w:val="000000"/>
          <w:sz w:val="20"/>
        </w:rPr>
        <w:t>, many of which are registered in the United States and in over 100 other countries and territories, are each the property of one or more subsidiaries of Carter’s,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NOTE 2 – BASIS OF PRESENTATION AND SUMMARY OF SIGNIFICANT ACCOUNTING POLICIES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the Company have been prepared in accordance with accounting principles generally accepted in the United States (“U.S. GAAP”) for interim financial information and the rules and regulations of the U.S. Securities and Exchange Commission (the “SEC”). All intercompany transactions and balances have been eliminated in consolidation.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condensed consolidated financial statements contain all normal and recurring adjustments necessary to state fairly the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fiscal quarter ended July 4, 2026 are not necessarily indicative of the results that may be expected for the current fiscal year ending January 2, 2027.</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preparation of these unaudited condensed consolidated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periods. Actual results could differ from those estimates.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balance sheet as of January 3, 2026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operates on a 52 or 53 week fiscal calendar. Fiscal 2026 will end on January 2, 2027 and includes 52 weeks. Fiscal 2025 ended on January 3, 2026 and included 53 weeks. The fiscal quarters ended July 4, 2026 and June 28, 2025 each included 13 weeks.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Accounting Policies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accounting policies the Company follows are set forth in its most recently filed Annual Report on Form 10-K. There have been no material changes to these accounting policies. During the first quarter of fiscal 2026, the Company began accounting for potential refunds of tariffs previously paid under the International Emergency Economic Powers Act (“IEEPA”) as gain contingencies, as described below.</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IEEPA Tariff Recovery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fiscal 2026, the U.S. Supreme Court ruled that tariffs imposed under the IEEPA were unlawful. Following the April 20, 2026 launch of U.S. Customs and Border Protection’s Consolidated Administration and Processing of Entries (“CAPE”) process, the Company submitted claims seeking approximately $130 million of refunds of previously paid IEEPA tariffs through the CAPE system.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200"/>
        <w:jc w:val="left"/>
        <w:rPr/>
      </w:pPr>
      <w:r>
        <w:rPr>
          <w:rFonts w:ascii="Times New Roman;serif" w:hAnsi="Times New Roman;serif"/>
          <w:b w:val="false"/>
          <w:color w:val="000000"/>
          <w:sz w:val="20"/>
        </w:rPr>
        <w:t xml:space="preserve">The Company has elected to apply a gain contingency model in accordance with ASC 450-30, </w:t>
      </w:r>
      <w:r>
        <w:rPr>
          <w:color w:val="000000"/>
        </w:rPr>
        <w:t>“</w:t>
      </w:r>
      <w:r>
        <w:rPr>
          <w:rFonts w:ascii="Times New Roman;serif" w:hAnsi="Times New Roman;serif"/>
          <w:b w:val="false"/>
          <w:i/>
          <w:color w:val="000000"/>
          <w:sz w:val="20"/>
        </w:rPr>
        <w:t>Gain Contingencies”</w:t>
      </w:r>
      <w:r>
        <w:rPr>
          <w:color w:val="000000"/>
        </w:rPr>
        <w:t xml:space="preserve"> </w:t>
      </w:r>
      <w:r>
        <w:rPr>
          <w:rFonts w:ascii="Times New Roman;serif" w:hAnsi="Times New Roman;serif"/>
          <w:b w:val="false"/>
          <w:color w:val="000000"/>
          <w:sz w:val="20"/>
        </w:rPr>
        <w:t>to account for recoveries of previously paid IEEPA tariffs. Under this model, a gain contingency is not recognized in the financial statements until the gain is realized or realizable. Any recovery, when recognized, is reflected as a reduction of Cost of goods sold for amounts related to goods already sold, or as a reduction of inventory to the extent the related goods remain on hand.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fiscal 2026, the Company received refund payments from U.S. Customs and Border Protection totaling approximately $132 million, including interest, in connection with various adjudicated claims, and the related recovery has been recognized. The Company recorded approximately $128 million of the recovery as a reduction of Cost of goods sold and $4 million in Interest income within our condensed consolidated statement of operations. As of July 4, 2026, the Company’s remaining unadjudicated IEEPA refund claims, which continue to be accounted for as gain contingencies, were approximately $2 million. Uncertainty remains regarding the timing, amount, and ultimate receipt of any further refunds, and accordingly no additional amounts have been recognized in the condensed consolidated financial statements for these remaining claims.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Goodwill and Tradename Assets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fiscal 2025, the Company identified a triggering event related to the new tariffs enacted by the Trump Administration and the resulting unfavorable impact on the Company’s financial forecasts, as well as a sustained decrease in the Company’s stock price at that time. As a result, the Company performed a quantitative impairment test on the goodwill ascribed to each of the Company’s reporting units and on the value of its indefinite-lived intangible tradename assets in the second quarter of fiscal 2025, which resulted in no impairment. The Company did not identify any triggering events during the second quarter or first two quarters of fiscal 2026 that would require an interim quantitative impairment test.</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Disaggregation of Income Statement Expenses (ASU 2024-03)</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Disaggregation of Income Statement Expenses. The ASU is intended to increase transparency and comparability of financial statements by requiring public business entities to disclose in the notes to the financial statements additional information about specified expense components included in certain expense captions presented on the face of the consolidated statement of operations. The ASU is effective for fiscal years beginning after December 15, 2026 and for interim periods within fiscal years beginning after December 15, 2027, with early adoption permitted. The Company expects to adopt the ASU for its fiscal 2027 annual reporting period using a prospective transition method. The Company does not expect adoption of ASU to have a material impact on amounts reported in its consolidated financial statements; however, adoption will require additional disclosures in the notes to the consolidated financial statements.</w:t>
      </w:r>
    </w:p>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Internal-Use Software (ASU 2025-06)</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Intangibles—Goodwill and Other—Internal-Use Software: Targeted Improvements to the Accounting for Internal-Use Software. The ASU modernizes the accounting for internal-use software by removing the existing “software development stages” model and instead requiring capitalization of internal-use software costs when (1) management has authorized and committed to funding the project and (2) it is probable the project will be completed and the software will be used as intended. The ASU is effective for fiscal years beginning after December 15, 2027 and interim periods within those annual periods, with early adoption permitted. The Company is currently evaluating the impact of adopting the ASU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NOTE 3 – REVENUE RECOGNITION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generates revenue primarily from the sale of products to retail and wholesale customers and from royalties earned under licensing arrangements. Contracts with customers include written agreements as well as arrangements that are implied by customary business practices or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sells its products directly to consumers (“direct-to-consumer”) through its retail stores, eCommerce websites, and mobile app, and to other retailers and partners that in turn sell the products to their own customers (“wholesale channel”). The Company also earns royalties from certain of its licensees that sell products under the Company’s brands.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Disaggregated revenues from these sources were as follows:</w:t>
      </w:r>
    </w:p>
    <w:tbl>
      <w:tblPr>
        <w:tblW w:w="7530" w:type="dxa"/>
        <w:jc w:val="center"/>
        <w:tblInd w:w="0" w:type="dxa"/>
        <w:tblLayout w:type="fixed"/>
        <w:tblCellMar>
          <w:top w:w="28" w:type="dxa"/>
          <w:left w:w="28" w:type="dxa"/>
          <w:bottom w:w="28" w:type="dxa"/>
          <w:right w:w="28" w:type="dxa"/>
        </w:tblCellMar>
      </w:tblPr>
      <w:tblGrid>
        <w:gridCol w:w="619"/>
        <w:gridCol w:w="543"/>
        <w:gridCol w:w="547"/>
        <w:gridCol w:w="109"/>
        <w:gridCol w:w="109"/>
        <w:gridCol w:w="109"/>
        <w:gridCol w:w="196"/>
        <w:gridCol w:w="736"/>
        <w:gridCol w:w="109"/>
        <w:gridCol w:w="109"/>
        <w:gridCol w:w="109"/>
        <w:gridCol w:w="109"/>
        <w:gridCol w:w="237"/>
        <w:gridCol w:w="891"/>
        <w:gridCol w:w="132"/>
        <w:gridCol w:w="109"/>
        <w:gridCol w:w="109"/>
        <w:gridCol w:w="109"/>
        <w:gridCol w:w="232"/>
        <w:gridCol w:w="764"/>
        <w:gridCol w:w="130"/>
        <w:gridCol w:w="109"/>
        <w:gridCol w:w="109"/>
        <w:gridCol w:w="109"/>
        <w:gridCol w:w="196"/>
        <w:gridCol w:w="736"/>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 July 4, 2026</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U.S. Retail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U.S. Wholesale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International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Total</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Direct-to-consumer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304,677 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63,288 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367,965 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channel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304,677 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215,552 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95,261 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615,490 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65" w:type="dxa"/>
        <w:jc w:val="center"/>
        <w:tblInd w:w="0" w:type="dxa"/>
        <w:tblLayout w:type="fixed"/>
        <w:tblCellMar>
          <w:top w:w="28" w:type="dxa"/>
          <w:left w:w="28" w:type="dxa"/>
          <w:bottom w:w="28" w:type="dxa"/>
          <w:right w:w="28" w:type="dxa"/>
        </w:tblCellMar>
      </w:tblPr>
      <w:tblGrid>
        <w:gridCol w:w="619"/>
        <w:gridCol w:w="543"/>
        <w:gridCol w:w="547"/>
        <w:gridCol w:w="109"/>
        <w:gridCol w:w="109"/>
        <w:gridCol w:w="109"/>
        <w:gridCol w:w="196"/>
        <w:gridCol w:w="736"/>
        <w:gridCol w:w="109"/>
        <w:gridCol w:w="109"/>
        <w:gridCol w:w="109"/>
        <w:gridCol w:w="109"/>
        <w:gridCol w:w="237"/>
        <w:gridCol w:w="891"/>
        <w:gridCol w:w="132"/>
        <w:gridCol w:w="109"/>
        <w:gridCol w:w="109"/>
        <w:gridCol w:w="109"/>
        <w:gridCol w:w="212"/>
        <w:gridCol w:w="796"/>
        <w:gridCol w:w="118"/>
        <w:gridCol w:w="109"/>
        <w:gridCol w:w="109"/>
        <w:gridCol w:w="109"/>
        <w:gridCol w:w="196"/>
        <w:gridCol w:w="871"/>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 July 4, 2026</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U.S. Retail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U.S. Wholesale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International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Total</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Direct-to-consumer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636,925 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127,165 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764,090 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channel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466,959 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636,925 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466,959 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192,719 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1,296,603 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530" w:type="dxa"/>
        <w:jc w:val="center"/>
        <w:tblInd w:w="0" w:type="dxa"/>
        <w:tblLayout w:type="fixed"/>
        <w:tblCellMar>
          <w:top w:w="28" w:type="dxa"/>
          <w:left w:w="28" w:type="dxa"/>
          <w:bottom w:w="28" w:type="dxa"/>
          <w:right w:w="28" w:type="dxa"/>
        </w:tblCellMar>
      </w:tblPr>
      <w:tblGrid>
        <w:gridCol w:w="619"/>
        <w:gridCol w:w="543"/>
        <w:gridCol w:w="547"/>
        <w:gridCol w:w="109"/>
        <w:gridCol w:w="109"/>
        <w:gridCol w:w="109"/>
        <w:gridCol w:w="196"/>
        <w:gridCol w:w="736"/>
        <w:gridCol w:w="109"/>
        <w:gridCol w:w="109"/>
        <w:gridCol w:w="109"/>
        <w:gridCol w:w="109"/>
        <w:gridCol w:w="237"/>
        <w:gridCol w:w="891"/>
        <w:gridCol w:w="132"/>
        <w:gridCol w:w="109"/>
        <w:gridCol w:w="109"/>
        <w:gridCol w:w="109"/>
        <w:gridCol w:w="232"/>
        <w:gridCol w:w="764"/>
        <w:gridCol w:w="130"/>
        <w:gridCol w:w="109"/>
        <w:gridCol w:w="109"/>
        <w:gridCol w:w="109"/>
        <w:gridCol w:w="196"/>
        <w:gridCol w:w="736"/>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 June 28, 2025</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U.S. Retail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U.S. Wholesale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International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Total</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Direct-to-consumer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299,549 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60,619 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360,168 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channel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192,998 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92,766 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65" w:type="dxa"/>
        <w:jc w:val="center"/>
        <w:tblInd w:w="0" w:type="dxa"/>
        <w:tblLayout w:type="fixed"/>
        <w:tblCellMar>
          <w:top w:w="28" w:type="dxa"/>
          <w:left w:w="28" w:type="dxa"/>
          <w:bottom w:w="28" w:type="dxa"/>
          <w:right w:w="28" w:type="dxa"/>
        </w:tblCellMar>
      </w:tblPr>
      <w:tblGrid>
        <w:gridCol w:w="619"/>
        <w:gridCol w:w="543"/>
        <w:gridCol w:w="547"/>
        <w:gridCol w:w="109"/>
        <w:gridCol w:w="109"/>
        <w:gridCol w:w="109"/>
        <w:gridCol w:w="196"/>
        <w:gridCol w:w="736"/>
        <w:gridCol w:w="109"/>
        <w:gridCol w:w="109"/>
        <w:gridCol w:w="109"/>
        <w:gridCol w:w="109"/>
        <w:gridCol w:w="237"/>
        <w:gridCol w:w="891"/>
        <w:gridCol w:w="132"/>
        <w:gridCol w:w="109"/>
        <w:gridCol w:w="109"/>
        <w:gridCol w:w="109"/>
        <w:gridCol w:w="212"/>
        <w:gridCol w:w="796"/>
        <w:gridCol w:w="118"/>
        <w:gridCol w:w="109"/>
        <w:gridCol w:w="109"/>
        <w:gridCol w:w="109"/>
        <w:gridCol w:w="196"/>
        <w:gridCol w:w="871"/>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 June 28, 2025</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U.S. Retail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U.S. Wholesale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International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Total</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Direct-to-consumer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593,980 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114,442 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708,422 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Wholesale channel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443,094 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593,980 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443,094 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178,065 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1,215,139 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Accounts Receivable from Customers and Licensees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components of Accounts receivable, net were as follows:</w:t>
      </w:r>
    </w:p>
    <w:tbl>
      <w:tblPr>
        <w:tblW w:w="8169" w:type="dxa"/>
        <w:jc w:val="center"/>
        <w:tblInd w:w="0" w:type="dxa"/>
        <w:tblLayout w:type="fixed"/>
        <w:tblCellMar>
          <w:top w:w="28" w:type="dxa"/>
          <w:left w:w="28" w:type="dxa"/>
          <w:bottom w:w="28" w:type="dxa"/>
          <w:right w:w="28" w:type="dxa"/>
        </w:tblCellMar>
      </w:tblPr>
      <w:tblGrid>
        <w:gridCol w:w="1309"/>
        <w:gridCol w:w="1148"/>
        <w:gridCol w:w="1157"/>
        <w:gridCol w:w="109"/>
        <w:gridCol w:w="109"/>
        <w:gridCol w:w="109"/>
        <w:gridCol w:w="196"/>
        <w:gridCol w:w="736"/>
        <w:gridCol w:w="109"/>
        <w:gridCol w:w="109"/>
        <w:gridCol w:w="109"/>
        <w:gridCol w:w="109"/>
        <w:gridCol w:w="251"/>
        <w:gridCol w:w="944"/>
        <w:gridCol w:w="139"/>
        <w:gridCol w:w="109"/>
        <w:gridCol w:w="109"/>
        <w:gridCol w:w="109"/>
        <w:gridCol w:w="216"/>
        <w:gridCol w:w="813"/>
        <w:gridCol w:w="170"/>
      </w:tblGrid>
      <w:tr>
        <w:trPr/>
        <w:tc>
          <w:tcPr>
            <w:tcW w:w="13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 from wholesale customers,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174,566 </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138,164 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receivables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179,656 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190,282 </w:t>
            </w:r>
          </w:p>
        </w:tc>
        <w:tc>
          <w:tcPr>
            <w:tcW w:w="13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149,445 </w:t>
            </w:r>
          </w:p>
        </w:tc>
        <w:tc>
          <w:tcPr>
            <w:tcW w:w="1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Less: Wholesale accounts receivable reserves</w:t>
            </w:r>
            <w:r>
              <w:rPr>
                <w:rFonts w:ascii="Times New Roman;serif" w:hAnsi="Times New Roman;serif"/>
                <w:b w:val="false"/>
                <w:color w:val="000000"/>
                <w:sz w:val="12"/>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167,852 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178,566 </w:t>
            </w:r>
          </w:p>
        </w:tc>
        <w:tc>
          <w:tcPr>
            <w:tcW w:w="1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140,352 </w:t>
            </w:r>
          </w:p>
        </w:tc>
        <w:tc>
          <w:tcPr>
            <w:tcW w:w="17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receivables related to shipping volume rebates, healthcare-related rebates, amounts due from third-party gift card program partners, recoveries related to provisional anti-dumping duties in Mexico, and tax recoveries.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allowance for chargebacks of $3.9 million, $4.1 million, and $2.8 million for the periods ended July 4, 2026, January 3, 2026, and June 28, 2025, respectively.</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(3)Includes allowance for credit losses of $7.9 million, $7.6 million, and $6.3 million for the periods ended July 4, 2026, January 3, 2026, and June 28, 2025, respectively.</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Contract Assets and Liabilities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contract assets are not material to the Company’s condensed consolidated financial statements.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recognizes a contract liability when it has received consideration before transferring the related goods to the customer. The Company’s contract liabilities primarily consist of (1) obligations related to unredeemed gift cards, (2) unredeemed customer loyalty rewards, and (3) the unamortized upfront bonus received from a third-party financial institution under the Company’s private label credit card program. Contract liabilities are classified as current and are included in Other current liabilities on the Company’s consolidated balance sheets.</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Contract Liabilities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Total contract liabilities were as follows:    </w:t>
      </w:r>
    </w:p>
    <w:tbl>
      <w:tblPr>
        <w:tblW w:w="7057" w:type="dxa"/>
        <w:jc w:val="left"/>
        <w:tblInd w:w="0" w:type="dxa"/>
        <w:tblLayout w:type="fixed"/>
        <w:tblCellMar>
          <w:top w:w="28" w:type="dxa"/>
          <w:left w:w="28" w:type="dxa"/>
          <w:bottom w:w="28" w:type="dxa"/>
          <w:right w:w="28" w:type="dxa"/>
        </w:tblCellMar>
      </w:tblPr>
      <w:tblGrid>
        <w:gridCol w:w="1032"/>
        <w:gridCol w:w="905"/>
        <w:gridCol w:w="912"/>
        <w:gridCol w:w="210"/>
        <w:gridCol w:w="693"/>
        <w:gridCol w:w="117"/>
        <w:gridCol w:w="109"/>
        <w:gridCol w:w="109"/>
        <w:gridCol w:w="109"/>
        <w:gridCol w:w="275"/>
        <w:gridCol w:w="907"/>
        <w:gridCol w:w="153"/>
        <w:gridCol w:w="109"/>
        <w:gridCol w:w="109"/>
        <w:gridCol w:w="109"/>
        <w:gridCol w:w="236"/>
        <w:gridCol w:w="778"/>
        <w:gridCol w:w="185"/>
      </w:tblGrid>
      <w:tr>
        <w:trPr/>
        <w:tc>
          <w:tcPr>
            <w:tcW w:w="103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 current:</w:t>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Unredeemed gift cards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25,994 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Unredeemed customer loyalty rewards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Carter’s credit card - upfront bonus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contract liabilities - current</w:t>
            </w:r>
          </w:p>
        </w:tc>
        <w:tc>
          <w:tcPr>
            <w:tcW w:w="2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27,646 </w:t>
            </w:r>
          </w:p>
        </w:tc>
        <w:tc>
          <w:tcPr>
            <w:tcW w:w="1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28,366 </w:t>
            </w:r>
          </w:p>
        </w:tc>
        <w:tc>
          <w:tcPr>
            <w:tcW w:w="1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26,942 </w:t>
            </w:r>
          </w:p>
        </w:tc>
        <w:tc>
          <w:tcPr>
            <w:tcW w:w="18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i/>
          <w:color w:val="000000"/>
          <w:sz w:val="20"/>
        </w:rPr>
      </w:pPr>
      <w:r>
        <w:rPr>
          <w:rFonts w:ascii="Times New Roman;serif" w:hAnsi="Times New Roman;serif"/>
          <w:b w:val="false"/>
          <w:i/>
          <w:color w:val="000000"/>
          <w:sz w:val="20"/>
        </w:rPr>
        <w:t>Composition of Contract Liabilities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Unredeemed gift cards - represent obligations to transfer goods in the future to customers that have purchased gift cards. Gift card contract liabilities change due to the issuance and redemption of gift cards and the recognition of breakage on balances that are not expected to be redeemed. Although gift cards do not expire, all outstanding gift card balances are classified as current liabilities, as they are redeemable on demand by the cardholder. The majority of gift cards are redeemed within one year of issuance. During the second quarters of fiscal 2026 and fiscal 2025, the Company recognized revenue of $1.8 million and $1.9 million related to the gift card liability balance that existed at April 4, 2026 and March 29, 2025, respectively. Additionally, during the first two quarters of fiscal 2026 and fiscal 2025, the Company recognized revenue of $6.0 million and $5.5 million related to the gift card liability balance that existed at January 3, 2026 and December 28, 2024, respectively.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Unredeemed loyalty rewards - represent obligations under the Company’s loyalty program to transfer goods in the future to customers when the reward certificates are redeemed. Changes in the loyalty program contract liability result from new rewards earned, and reward certificate redemptions and expirations. The earning and redemption cycles are under one year in duration.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Carter’s credit card - upfront bonus - represents the unamortized portion of the upfront signing bonus received from a third-party financial institution under the Company’s private label credit card program. This bonus was recognized as revenue over the term of the agreement.</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 xml:space="preserve">NOTE 4 – OTHER CURRENT LIABILITIES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Other current liabilities consisted of the following:</w:t>
      </w:r>
    </w:p>
    <w:tbl>
      <w:tblPr>
        <w:tblW w:w="7573" w:type="dxa"/>
        <w:jc w:val="left"/>
        <w:tblInd w:w="0" w:type="dxa"/>
        <w:tblLayout w:type="fixed"/>
        <w:tblCellMar>
          <w:top w:w="28" w:type="dxa"/>
          <w:left w:w="28" w:type="dxa"/>
          <w:bottom w:w="28" w:type="dxa"/>
          <w:right w:w="28" w:type="dxa"/>
        </w:tblCellMar>
      </w:tblPr>
      <w:tblGrid>
        <w:gridCol w:w="1211"/>
        <w:gridCol w:w="1063"/>
        <w:gridCol w:w="1071"/>
        <w:gridCol w:w="196"/>
        <w:gridCol w:w="736"/>
        <w:gridCol w:w="109"/>
        <w:gridCol w:w="109"/>
        <w:gridCol w:w="109"/>
        <w:gridCol w:w="109"/>
        <w:gridCol w:w="251"/>
        <w:gridCol w:w="944"/>
        <w:gridCol w:w="139"/>
        <w:gridCol w:w="109"/>
        <w:gridCol w:w="109"/>
        <w:gridCol w:w="109"/>
        <w:gridCol w:w="236"/>
        <w:gridCol w:w="778"/>
        <w:gridCol w:w="185"/>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taxes payable</w:t>
            </w:r>
            <w:r>
              <w:rPr>
                <w:rFonts w:ascii="Times New Roman;serif" w:hAnsi="Times New Roman;serif"/>
                <w:b w:val="false"/>
                <w:color w:val="000000"/>
                <w:sz w:val="12"/>
              </w:rPr>
              <w:t>(1)</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4,759 </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Accrued interest</w:t>
            </w:r>
            <w:r>
              <w:rPr>
                <w:rFonts w:ascii="Times New Roman;serif" w:hAnsi="Times New Roman;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Unredeemed gift cards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25,994 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Accrued employee benefits</w:t>
            </w:r>
            <w:r>
              <w:rPr>
                <w:rFonts w:ascii="Times New Roman;serif" w:hAnsi="Times New Roman;serif"/>
                <w:b w:val="false"/>
                <w:color w:val="000000"/>
                <w:sz w:val="12"/>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28,021 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bonuses and incentive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salaries and wages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w:t>
            </w:r>
            <w:r>
              <w:rPr>
                <w:rFonts w:ascii="Times New Roman;serif" w:hAnsi="Times New Roman;serif"/>
                <w:b w:val="false"/>
                <w:color w:val="000000"/>
                <w:sz w:val="12"/>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38,992 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139,862 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133,809 </w:t>
            </w:r>
          </w:p>
        </w:tc>
        <w:tc>
          <w:tcPr>
            <w:tcW w:w="13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95,270 </w:t>
            </w:r>
          </w:p>
        </w:tc>
        <w:tc>
          <w:tcPr>
            <w:tcW w:w="18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(1)Increase as of July 4, 2026 reflects incremental income taxes on the IEEPA tariff refunds received during the second quarter of fiscal 2026.</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(2)Increase as of July 4, 2026 reflects the timing of interest payments on long-term debt.</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(3)Includes accruals for severance and other termination benefits. See Note 13, </w:t>
      </w:r>
      <w:r>
        <w:rPr>
          <w:rFonts w:ascii="Times New Roman;serif" w:hAnsi="Times New Roman;serif"/>
          <w:b w:val="false"/>
          <w:i/>
          <w:color w:val="000000"/>
          <w:sz w:val="16"/>
        </w:rPr>
        <w:t>Organizational Restructuring</w:t>
      </w:r>
      <w:r>
        <w:rPr>
          <w:rFonts w:ascii="Times New Roman;serif" w:hAnsi="Times New Roman;serif"/>
          <w:b w:val="false"/>
          <w:color w:val="000000"/>
          <w:sz w:val="16"/>
        </w:rPr>
        <w:t>, for additional information.</w:t>
      </w:r>
    </w:p>
    <w:p>
      <w:pPr>
        <w:pStyle w:val="TextBody"/>
        <w:bidi w:val="0"/>
        <w:spacing w:lineRule="auto" w:line="288" w:before="0" w:after="200"/>
        <w:ind w:left="0" w:right="0" w:hanging="360"/>
        <w:jc w:val="left"/>
        <w:rPr/>
      </w:pPr>
      <w:r>
        <w:rPr>
          <w:rFonts w:ascii="Times New Roman;serif" w:hAnsi="Times New Roman;serif"/>
          <w:b w:val="false"/>
          <w:color w:val="000000"/>
          <w:sz w:val="16"/>
        </w:rPr>
        <w:t xml:space="preserve">(4)Amount as of July 4, 2026 and January 3, 2026 includes liabilities under the deferred compensation plan. See Note 10, </w:t>
      </w:r>
      <w:r>
        <w:rPr>
          <w:rFonts w:ascii="Times New Roman;serif" w:hAnsi="Times New Roman;serif"/>
          <w:b w:val="false"/>
          <w:i/>
          <w:color w:val="000000"/>
          <w:sz w:val="16"/>
        </w:rPr>
        <w:t>Fair Value Measurements</w:t>
      </w:r>
      <w:r>
        <w:rPr>
          <w:rFonts w:ascii="Times New Roman;serif" w:hAnsi="Times New Roman;serif"/>
          <w:b w:val="false"/>
          <w:color w:val="000000"/>
          <w:sz w:val="16"/>
        </w:rPr>
        <w: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NOTE 5 – SUPPLY CHAIN FINANCE PROGRAM</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has established a voluntary supply chain finance (“SCF”) program through participating financial institutions. This SCF program enables participating suppliers to accelerate payments for receivables due from the Company by selling receivables directly to the participating financial institutions at their discretion. As of July 4, 2026, the SCF program has a $70.0 million revolving capacity. The Company is not a party to the agreements between the participating financial institutions and the suppliers in connection with the SCF program and has no economic interest in the supplier’s decision to sell a receivable. Payment terms for most of our suppliers are 60 days, regardless of participation in the SCF program. The Company settles obligations with the participating financial institutions in accordance with the original invoice due dates, and participation in the SCF program does not extend the Company’s payment terms. The Company does not provide any guarantees in connection with the SCF program and does not pledge collateral under the program.</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liability related to amounts payable to participating financial institutions for suppliers who voluntarily participate in the SCF program is included in Accounts payable on our condensed consolidated balance sheets. As of July 4, 2026, January 3, 2026, and June 28, 2025, amounts under the SCF program included in Accounts payable were $24.7 million, $13.5 million, and $27.6 million, respectively. Payments made in connection with the SCF program, like payments of other accounts payable, are reflected as a reduction to our operating cash flow.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NOTE 6 – LONG-TERM DEBT</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7527" w:type="dxa"/>
        <w:jc w:val="left"/>
        <w:tblInd w:w="0" w:type="dxa"/>
        <w:tblLayout w:type="fixed"/>
        <w:tblCellMar>
          <w:top w:w="28" w:type="dxa"/>
          <w:left w:w="28" w:type="dxa"/>
          <w:bottom w:w="28" w:type="dxa"/>
          <w:right w:w="28" w:type="dxa"/>
        </w:tblCellMar>
      </w:tblPr>
      <w:tblGrid>
        <w:gridCol w:w="1195"/>
        <w:gridCol w:w="1048"/>
        <w:gridCol w:w="1056"/>
        <w:gridCol w:w="196"/>
        <w:gridCol w:w="736"/>
        <w:gridCol w:w="109"/>
        <w:gridCol w:w="109"/>
        <w:gridCol w:w="109"/>
        <w:gridCol w:w="109"/>
        <w:gridCol w:w="251"/>
        <w:gridCol w:w="944"/>
        <w:gridCol w:w="139"/>
        <w:gridCol w:w="109"/>
        <w:gridCol w:w="109"/>
        <w:gridCol w:w="109"/>
        <w:gridCol w:w="216"/>
        <w:gridCol w:w="813"/>
        <w:gridCol w:w="170"/>
      </w:tblGrid>
      <w:tr>
        <w:trPr/>
        <w:tc>
          <w:tcPr>
            <w:tcW w:w="119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$575 million 7.375% Senior Notes due 2031</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575,000 </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$500 million 5.625% Senior Notes due 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issuance-related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notes, net</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567,808 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567,173 </w:t>
            </w:r>
          </w:p>
        </w:tc>
        <w:tc>
          <w:tcPr>
            <w:tcW w:w="13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498,531 </w:t>
            </w:r>
          </w:p>
        </w:tc>
        <w:tc>
          <w:tcPr>
            <w:tcW w:w="1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long-term debt, net </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567,808 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567,173 </w:t>
            </w:r>
          </w:p>
        </w:tc>
        <w:tc>
          <w:tcPr>
            <w:tcW w:w="1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498,531 </w:t>
            </w:r>
          </w:p>
        </w:tc>
        <w:tc>
          <w:tcPr>
            <w:tcW w:w="17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Secured Revolving Credit Facility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4, 2026 and January 3, 2026, the Company had no outstanding borrowings under its secured asset-based revolving credit facility (“ABL facility”), exclusive of $5.8 million and $6.3 million of outstanding letters of credit, respectively. As of June 28, 2025, the Company had no outstanding borrowings under its secured cash-flow-based revolving credit facility, exclusive of $6.9 million of outstanding letters of credit. As of July 4, 2026, January 3, 2026, and June 28, 2025, there was approximately $568.6 million, $743.7 million, and $843.1 million available for future borrowing, respectively. Any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borrowings under the Company’s ABL facility and secured cash-flow-based revolving credit facility are classified as non-current liabilities on the Company’s condensed consolidated balance sheets due to contractual repayment terms under the credit facility. However, these repayment terms also allow us to repay some or all of the outstanding borrowings at any time.</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ABL Facility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November 17, 2025, the Company, through its wholly owned subsidiary, The William Carter Company (“TWCC”), entered into a new five-year ABL facility of up to $750.0 million. The ABL facility replaced the Company’s existing $850.0 million secured cash-flow-based revolving credit facility due April 2027. Borrowings under the ABL facility will mature, and lending commitments thereunder will terminate, in November 2030.</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ABL facility contains various covenants, including those that restrict the Company’s ability and the ability of its restricted subsidiaries to incur certain indebtedness, pay dividends or make distributions or other restricted payments, or to grant certain liens on their respective property or assets, among other things. The ABL facility also includes a springing financial covenant, consisting of, if the excess availability falls below certain thresholds, a fixed charge coverage ratio not to be less than 1.00 to 1.00.</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availability under the ABL facility was $568.6 million and $743.7 million as of July 4, 2026 and January 3, 2026, respectively. Availability is determined using borrowing base calculations of eligible inventory, accounts receivable, and intellectual property balances, less availability reserves, current outstanding borrowings under the ABL facility, and outstanding letters of credit. Availability may fluctuate throughout the year principally based on changes in eligible inventory and accounts receivable balances. As of July 4, 2026, the borrowing rate for a term Secured Overnight Financing Rate (“SOFR”) loan would have been 4.92%, which includes an excess availability-based adjustment of 1.25%.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July 4, 2026, the Company was in compliance with its covenants and requirements under the ABL facility.</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November 13, 2025, TWCC issued $575.0 million principal amount of senior notes at par, bearing interest at a rate of 7.375% per annum, and maturing on February 15, 2031. TWCC received net proceeds from the offering of the senior notes of approximately $567.0 million, after deducting underwriting fees and other expenses, which TWCC used to redeem the senior notes discussed below and for other general corporate purposes. Approximately $8.0 million, including both bank fees and other third-party expenses, was capitalized in connection with the issuance and is being amortized over the term of the senior notes.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November 27, 2025, TWCC redeemed $500.0 million principal amount of senior notes, bearing interest at a rate of 5.625% per annum, and originally maturing on March 15, 2027. Pursuant to the optional redemption provisions described in the indenture dated as of March 14, 2019, TWCC paid the outstanding principal plus accrued and unpaid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NOTE 7 – COMMON STOCK</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Open Market Share Repurchases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Board of Directors (the “Board”) has authorized share repurchase programs providing for the repurchase of up to an aggregate of $1.00 billion of the Company’s common stock. As of July 4, 2026, the total remaining capacity under outstanding repurchase authorizations, based on settled repurchase transactions, was $599.0 million. The share repurchase authorizations have no expiration dates.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did not repurchase and retire any shares of its common stock through open market transactions during the first two quarters of fiscal 2026 and 2025.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Future repurchases may occur from time to time in the open market, in privately negotiated transactions, or otherwise. The timing and amount of any repurchases will be at the discretion of the Company subject to restrictions under the Company’s secured asset-based revolving credit facility and considerations given to market conditions, stock price, other investment priorities, excise taxes, and other factors.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In each of the first two quarters of fiscal 2026, the Company’s Board declared, and the Company paid, a cash dividend per common share of $0.25 (for an aggregate of $0.50 per common share for the first two quarters of fiscal 2026). In the first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second quarters of fiscal 2025, the Board declared, and the Company paid, a cash dividend per common share of $0.80 and $0.25, respectively (for an aggregate of $1.05 per common share for the first two quarters of fiscal 2025).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Board will evaluate future dividend declarations based on a number of factors, including restrictions under the Company’s secured asset-based revolving credit facility, business conditions, the Company’s financial performance, and other considerations.</w:t>
      </w:r>
    </w:p>
    <w:p>
      <w:pPr>
        <w:pStyle w:val="TextBody"/>
        <w:bidi w:val="0"/>
        <w:spacing w:lineRule="auto" w:line="288" w:before="0" w:after="200"/>
        <w:jc w:val="left"/>
        <w:rPr/>
      </w:pPr>
      <w:r>
        <w:rPr>
          <w:rFonts w:ascii="Times New Roman;serif" w:hAnsi="Times New Roman;serif"/>
          <w:b w:val="false"/>
          <w:color w:val="000000"/>
          <w:sz w:val="20"/>
        </w:rPr>
        <w:t xml:space="preserve">Provisions in the Company’s ABL facility could have the effect of restricting the Company’s ability to pay cash dividends on, or make future repurchases of, its common stock, as further described in Note 6, </w:t>
      </w:r>
      <w:r>
        <w:rPr>
          <w:rFonts w:ascii="Times New Roman;serif" w:hAnsi="Times New Roman;serif"/>
          <w:b w:val="false"/>
          <w:i/>
          <w:color w:val="000000"/>
          <w:sz w:val="20"/>
        </w:rPr>
        <w:t>Long-term Debt</w:t>
      </w:r>
      <w:r>
        <w:rPr>
          <w:rFonts w:ascii="Times New Roman;serif" w:hAnsi="Times New Roman;serif"/>
          <w:b w:val="false"/>
          <w:color w:val="000000"/>
          <w:sz w:val="20"/>
        </w:rPr>
        <w:t>, to the condensed consolidated financial statements</w:t>
      </w:r>
      <w:r>
        <w:rPr>
          <w:rFonts w:ascii="Times New Roman;serif" w:hAnsi="Times New Roman;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NOTE 8 – STOCK-BASED COMPENSATION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 recorded stock-based compensation expense as follows:</w:t>
      </w:r>
    </w:p>
    <w:tbl>
      <w:tblPr>
        <w:tblW w:w="7745" w:type="dxa"/>
        <w:jc w:val="center"/>
        <w:tblInd w:w="0" w:type="dxa"/>
        <w:tblLayout w:type="fixed"/>
        <w:tblCellMar>
          <w:top w:w="28" w:type="dxa"/>
          <w:left w:w="28" w:type="dxa"/>
          <w:bottom w:w="28" w:type="dxa"/>
          <w:right w:w="28" w:type="dxa"/>
        </w:tblCellMar>
      </w:tblPr>
      <w:tblGrid>
        <w:gridCol w:w="858"/>
        <w:gridCol w:w="753"/>
        <w:gridCol w:w="759"/>
        <w:gridCol w:w="232"/>
        <w:gridCol w:w="659"/>
        <w:gridCol w:w="129"/>
        <w:gridCol w:w="109"/>
        <w:gridCol w:w="109"/>
        <w:gridCol w:w="109"/>
        <w:gridCol w:w="263"/>
        <w:gridCol w:w="746"/>
        <w:gridCol w:w="146"/>
        <w:gridCol w:w="109"/>
        <w:gridCol w:w="109"/>
        <w:gridCol w:w="109"/>
        <w:gridCol w:w="232"/>
        <w:gridCol w:w="659"/>
        <w:gridCol w:w="129"/>
        <w:gridCol w:w="109"/>
        <w:gridCol w:w="109"/>
        <w:gridCol w:w="109"/>
        <w:gridCol w:w="236"/>
        <w:gridCol w:w="778"/>
        <w:gridCol w:w="185"/>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w:t>
            </w:r>
          </w:p>
        </w:tc>
        <w:tc>
          <w:tcPr>
            <w:tcW w:w="10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Time-based awards</w:t>
            </w:r>
            <w:r>
              <w:rPr>
                <w:rFonts w:ascii="Times New Roman;serif" w:hAnsi="Times New Roman;serif"/>
                <w:b w:val="false"/>
                <w:color w:val="000000"/>
                <w:sz w:val="12"/>
              </w:rPr>
              <w:t>(1)(2)</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Performance-based awards</w:t>
            </w:r>
            <w:r>
              <w:rPr>
                <w:rFonts w:ascii="Times New Roman;serif" w:hAnsi="Times New Roman;serif"/>
                <w:b w:val="false"/>
                <w:color w:val="000000"/>
                <w:sz w:val="12"/>
              </w:rPr>
              <w:t>(2)</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Market-based awards</w:t>
            </w:r>
            <w:r>
              <w:rPr>
                <w:rFonts w:ascii="Times New Roman;serif" w:hAnsi="Times New Roman;serif"/>
                <w:b w:val="false"/>
                <w:color w:val="000000"/>
                <w:sz w:val="12"/>
              </w:rPr>
              <w:t>(2)</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Stock awards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3,689 </w:t>
            </w:r>
          </w:p>
        </w:tc>
        <w:tc>
          <w:tcPr>
            <w:tcW w:w="1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5,188 </w:t>
            </w:r>
          </w:p>
        </w:tc>
        <w:tc>
          <w:tcPr>
            <w:tcW w:w="1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7,373 </w:t>
            </w:r>
          </w:p>
        </w:tc>
        <w:tc>
          <w:tcPr>
            <w:tcW w:w="1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14,941 </w:t>
            </w:r>
          </w:p>
        </w:tc>
        <w:tc>
          <w:tcPr>
            <w:tcW w:w="18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(1)First two quarters of fiscal 2025 include accelerated vesting of outstanding time-based restricted stock awards related to the retirement of Michael D. Casey, the Company’s former Chief Executive Officer, in the first quarter of fiscal 2025.</w:t>
      </w:r>
    </w:p>
    <w:p>
      <w:pPr>
        <w:pStyle w:val="TextBody"/>
        <w:bidi w:val="0"/>
        <w:spacing w:lineRule="auto" w:line="288" w:before="0" w:after="200"/>
        <w:ind w:left="0" w:right="0" w:hanging="360"/>
        <w:jc w:val="left"/>
        <w:rPr/>
      </w:pPr>
      <w:r>
        <w:rPr>
          <w:rFonts w:ascii="Times New Roman;serif" w:hAnsi="Times New Roman;serif"/>
          <w:b w:val="false"/>
          <w:color w:val="000000"/>
          <w:sz w:val="16"/>
        </w:rPr>
        <w:t>(2)Second</w:t>
      </w:r>
      <w:r>
        <w:rPr>
          <w:color w:val="000000"/>
        </w:rPr>
        <w:t xml:space="preserve"> </w:t>
      </w:r>
      <w:r>
        <w:rPr>
          <w:rFonts w:ascii="Times New Roman;serif" w:hAnsi="Times New Roman;serif"/>
          <w:b w:val="false"/>
          <w:color w:val="000000"/>
          <w:sz w:val="16"/>
        </w:rPr>
        <w:t>quarter and first two quarters of fiscal 2026 include forfeitures of outstanding time-based, performance-based, and market-based restricted stock awards related to the departure of Douglas C. Palladini, the Company’s former Chief Executive Officer, in the second quarter of fiscal 2026.</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recognizes compensation cost ratably over the applicable performance periods based on the estimated probability of achievement of its performance targets at the end of each period.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April 28, 2026, Douglas C. Palladini departed the Company as Chief Executive Officer (“CEO”) and President and resigned as a member of the Board. In connection with his departure, his outstanding restricted stock awards were forfeited, resulting in a reversal of previously recognized stock-based compensation expense of approximately $0.5 million, which is reflected in the table above for the second quarter and first two quarters of fiscal 2026.</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May 1, 2026, the Company announced the appointment of Sharon Price John as CEO and President of the Company and a member of the Board, effective June 15, 2026. On June 15, 2026, in connection with Ms. John’s appointment and the terms of her employment agreement, the Company granted Ms. John 62,204 shares of time-based restricted stock awards, 46,651 shares of performance-based restricted stock awards, and 46,651 shares of market-based restricted stock awards. The number of shares granted was based on the closing price of the Company’s stock on the grant date, which was $41.80, with the time-based and performance-based restricted stock awards having a grant-date fair value of $41.80 per share and the market-based restricted stock awards having a grant-date fair value of $69.05 per share.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market-based restricted stock awards cliff vest at the end of the three-year performance period ending December 30, 2028, subject to the performance of the Company’s total shareholder return (“TSR”) relative to a defined peer group over the three-year period. A Monte-Carlo simulation was utilized to determine the grant-date fair value of the market-based restricted stock awards in fiscal 2026, using the following assumptions: beginning TSR price of $32.14, grant-date share price of $41.80, simulation term of 2.5 years, expected volatility of 48.7%, and risk-free interest rate of 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NOTE 9 – ACCUMULATED OTHER COMPREHENSIVE LOSS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loss consisted of the following:</w:t>
      </w:r>
    </w:p>
    <w:tbl>
      <w:tblPr>
        <w:tblW w:w="8022" w:type="dxa"/>
        <w:jc w:val="center"/>
        <w:tblInd w:w="0" w:type="dxa"/>
        <w:tblLayout w:type="fixed"/>
        <w:tblCellMar>
          <w:top w:w="28" w:type="dxa"/>
          <w:left w:w="28" w:type="dxa"/>
          <w:bottom w:w="28" w:type="dxa"/>
          <w:right w:w="28" w:type="dxa"/>
        </w:tblCellMar>
      </w:tblPr>
      <w:tblGrid>
        <w:gridCol w:w="1380"/>
        <w:gridCol w:w="1210"/>
        <w:gridCol w:w="1219"/>
        <w:gridCol w:w="196"/>
        <w:gridCol w:w="721"/>
        <w:gridCol w:w="109"/>
        <w:gridCol w:w="109"/>
        <w:gridCol w:w="109"/>
        <w:gridCol w:w="109"/>
        <w:gridCol w:w="255"/>
        <w:gridCol w:w="938"/>
        <w:gridCol w:w="141"/>
        <w:gridCol w:w="109"/>
        <w:gridCol w:w="109"/>
        <w:gridCol w:w="109"/>
        <w:gridCol w:w="219"/>
        <w:gridCol w:w="808"/>
        <w:gridCol w:w="172"/>
      </w:tblGrid>
      <w:tr>
        <w:trPr/>
        <w:tc>
          <w:tcPr>
            <w:tcW w:w="138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Cumulative foreign currency translation adjustments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(27,981)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(25,428)</w:t>
            </w:r>
          </w:p>
        </w:tc>
        <w:tc>
          <w:tcPr>
            <w:tcW w:w="1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(28,861)</w:t>
            </w:r>
          </w:p>
        </w:tc>
        <w:tc>
          <w:tcPr>
            <w:tcW w:w="17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Pension and post-retirement obligations</w:t>
            </w:r>
            <w:r>
              <w:rPr>
                <w:rFonts w:ascii="Times New Roman;serif" w:hAnsi="Times New Roman;serif"/>
                <w:b w:val="false"/>
                <w:color w:val="000000"/>
                <w:sz w:val="12"/>
              </w:rPr>
              <w:t>(1)(2)(3)</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accumulated other comprehensive loss</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(27,349)</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(24,361)</w:t>
            </w:r>
          </w:p>
        </w:tc>
        <w:tc>
          <w:tcPr>
            <w:tcW w:w="1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(32,817)</w:t>
            </w:r>
          </w:p>
        </w:tc>
        <w:tc>
          <w:tcPr>
            <w:tcW w:w="1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(1)Net of income taxes of $0.2 million, $0.3 million, and $1.2 million for the periods ended July 4, 2026, January 3, 2026, and June 28, 2025, respectively.</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 fiscal 2025, the Company substantially completed the process of settling its pension obligations under the frozen OshKosh B’Gosh, Inc. Pension Plan. In the first quarter of fiscal 2026, the Company distributed the surplus plan assets, net of final plan expenses and adjustments, in accordance with the terms of the plan and regulatory requirements.</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(3)In the first quarter of fiscal 2026, the Company settled its post-retirement life insurance liabilities.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fiscal 2026, the Company made a lump-sum payment to a third-party insurance provider to assume all remaining premium obligations related to its post-retirement life insurance arrangement. In connection with this settlement, $0.4 million of deferred gains on post-retirement life obligations (net of income taxes of $0.1 million) were reclassified from Accumulated other comprehensive loss to Other expense (income), net within the condensed consolidated statement of operations. During the first two quarters of fiscal 2025, no amounts were reclassified from Accumulated other comprehensive loss to the condensed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NOTE 10 – FAIR VALUE MEASUREMENTS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Investments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support of The William Carter Company Deferred Compensation Plan (the “Deferred Compensation Plan”), the Company invests comparable amounts in marketable securities, principally equity-based mutual funds, to approximate the participants’ investment return on employee deferrals of compensation. These investments are held in an irrevocable Rabbi Trust established to fund the Company’s obligations under the Deferred Compensation Plan. The Rabbi Trust investments are restricted in their use to meet funding obligations to Plan participants.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fiscal 2025, the Board approved the termination of the Deferred Compensation Plan, effective as of September 20, 2025. In connection with the Deferred Compensation Plan’s termination, the Company expects to liquidate the Rabbi Trust investments to fund the settlement of the related Deferred Compensation Plan obligations, with final settlement expected to occur in the fourth quarter of fiscal 2026.</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All of the marketable securities are included in Prepaid expenses and other current assets on the Company’s condensed consolidated balance sheets as of July 4, 2026 and January 3, 2026, and their aggregate fair values were $23.0 million and $21.7 million, respectively. As of June 28, 2025, the aggregate fair value of the Rabbi Trust investments was $20.0 million and was included in Other assets. The change in classification reflects the Company’s expectation to liquidate the Rabbi Trust investments to fund the settlement of Deferred Compensation Plan obligations in the fourth quarter of fiscal 2026.</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These investments are classified as Level 1 within the fair value hierarchy. The change in the aggregate fair values of marketable securities is due to the net activity of gains and losses and any contributions and distributions during the period. Gains on the investments in marketable securities were $0.8 million and $1.2 million for the second quarter and the first two quarters of fiscal 2026, respectively. Gains on the investments in marketable securities were $0.1 million and $0.5 million for the second quarter and the first two quarters of fiscal 2025, respectively. These amounts are included in Other expense (income), net on the Company’s condensed consolidated statement of operations.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Borrowings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July 4, 2026, the Company had no outstanding borrowings under its ABL facility.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senior notes was $594.2 million, $592.9 million, and $497.4 million at July 4, 2026, January 3, 2026, and June 28, 2025, respectively. The fair value of these senior notes was estimated using observable market inputs, which incorporate quoted market prices of comparable borrowings, the Company’s credit risk, and current market conditions, and is therefore within Level 2 of the fair value hierarchy. The senior notes had a notional value and carrying value (gross of debt issuance costs) of $575.0 million, $575.0 million, and $500.0 million as of July 4, 2026, January 3, 2026, and June 28,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Goodwill, Intangible, and Long-Lived Tangible Assets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Some assets are not measured at fair value on a recurring basis but are subject to fair value adjustments only in certain circumstances. These assets can include goodwill, indefinite-lived intangible assets, and other long-lived assets that have been reduced to fair value when impaired. Assets that are written down to fair value when impaired are not subsequently adjusted to fair value unless further impairment occurs.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NOTE 11 – INCOME TAXES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Company’s income tax provision and effective tax rates for the fiscal periods indicated were as follows:</w:t>
      </w:r>
    </w:p>
    <w:tbl>
      <w:tblPr>
        <w:tblW w:w="7391" w:type="dxa"/>
        <w:jc w:val="left"/>
        <w:tblInd w:w="0" w:type="dxa"/>
        <w:tblLayout w:type="fixed"/>
        <w:tblCellMar>
          <w:top w:w="28" w:type="dxa"/>
          <w:left w:w="28" w:type="dxa"/>
          <w:bottom w:w="28" w:type="dxa"/>
          <w:right w:w="28" w:type="dxa"/>
        </w:tblCellMar>
      </w:tblPr>
      <w:tblGrid>
        <w:gridCol w:w="674"/>
        <w:gridCol w:w="591"/>
        <w:gridCol w:w="595"/>
        <w:gridCol w:w="196"/>
        <w:gridCol w:w="646"/>
        <w:gridCol w:w="256"/>
        <w:gridCol w:w="109"/>
        <w:gridCol w:w="109"/>
        <w:gridCol w:w="109"/>
        <w:gridCol w:w="224"/>
        <w:gridCol w:w="637"/>
        <w:gridCol w:w="293"/>
        <w:gridCol w:w="109"/>
        <w:gridCol w:w="109"/>
        <w:gridCol w:w="109"/>
        <w:gridCol w:w="196"/>
        <w:gridCol w:w="646"/>
        <w:gridCol w:w="256"/>
        <w:gridCol w:w="109"/>
        <w:gridCol w:w="109"/>
        <w:gridCol w:w="109"/>
        <w:gridCol w:w="223"/>
        <w:gridCol w:w="634"/>
        <w:gridCol w:w="343"/>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31,687 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37,207 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7,067 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income tax 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 was 23.2% for the second fiscal quarter ended July 4, 2026, compared to 73.8% for the second fiscal quarter ended June 28, 2025. The Company’s effective income tax rate was 23.8% for the first two fiscal quarters ended July 4, 2026, compared to 30.7% for the first two fiscal quarters ended June 28, 2025. The decrease in the effective tax rate for each period was driven by discrete tax items recognized in the prior-year periods, including incremental tax expense related to expiring stock-based compensation, which had a disproportionate impact on those rates given the lower level of pre-tax income in the prior year.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July 4, 2026, the Company had gross unrecognized income tax benefits of $6.0 million, of which $5.0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NOTE 12 – EARNINGS PER SHARE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basic common shares outstanding to diluted common and common equivalent shares outstanding:</w:t>
      </w:r>
    </w:p>
    <w:tbl>
      <w:tblPr>
        <w:tblW w:w="10205" w:type="dxa"/>
        <w:jc w:val="left"/>
        <w:tblInd w:w="0" w:type="dxa"/>
        <w:tblLayout w:type="fixed"/>
        <w:tblCellMar>
          <w:top w:w="28" w:type="dxa"/>
          <w:left w:w="28" w:type="dxa"/>
          <w:bottom w:w="28" w:type="dxa"/>
          <w:right w:w="28" w:type="dxa"/>
        </w:tblCellMar>
      </w:tblPr>
      <w:tblGrid>
        <w:gridCol w:w="1730"/>
        <w:gridCol w:w="1518"/>
        <w:gridCol w:w="1525"/>
        <w:gridCol w:w="202"/>
        <w:gridCol w:w="759"/>
        <w:gridCol w:w="109"/>
        <w:gridCol w:w="109"/>
        <w:gridCol w:w="109"/>
        <w:gridCol w:w="109"/>
        <w:gridCol w:w="293"/>
        <w:gridCol w:w="690"/>
        <w:gridCol w:w="148"/>
        <w:gridCol w:w="109"/>
        <w:gridCol w:w="109"/>
        <w:gridCol w:w="109"/>
        <w:gridCol w:w="202"/>
        <w:gridCol w:w="759"/>
        <w:gridCol w:w="109"/>
        <w:gridCol w:w="109"/>
        <w:gridCol w:w="109"/>
        <w:gridCol w:w="109"/>
        <w:gridCol w:w="236"/>
        <w:gridCol w:w="764"/>
        <w:gridCol w:w="180"/>
      </w:tblGrid>
      <w:tr>
        <w:trPr/>
        <w:tc>
          <w:tcPr>
            <w:tcW w:w="1730"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r>
      <w:tr>
        <w:trPr/>
        <w:tc>
          <w:tcPr>
            <w:tcW w:w="4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Weighted-average number of common and common equivalent shares outstanding:</w:t>
            </w:r>
          </w:p>
        </w:tc>
        <w:tc>
          <w:tcPr>
            <w:tcW w:w="107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Basic number of common shares outstanding</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35,409,988 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35,361,039 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number of common and common equivalent shares outstanding</w:t>
            </w:r>
          </w:p>
        </w:tc>
        <w:tc>
          <w:tcPr>
            <w:tcW w:w="9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35,600,160 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35,409,988 </w:t>
            </w:r>
          </w:p>
        </w:tc>
        <w:tc>
          <w:tcPr>
            <w:tcW w:w="14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35,547,455 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35,361,644 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Earnings per share:</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 except per share data)</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common share:</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allocated to participating securities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to common shareholders</w:t>
            </w:r>
          </w:p>
        </w:tc>
        <w:tc>
          <w:tcPr>
            <w:tcW w:w="2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102,112 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15,119 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common share</w:t>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allocated to participating securities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to common shareholders</w:t>
            </w:r>
          </w:p>
        </w:tc>
        <w:tc>
          <w:tcPr>
            <w:tcW w:w="2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15,119 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Anti-dilutive awards excluded from diluted earnings per share computation</w:t>
            </w:r>
            <w:r>
              <w:rPr>
                <w:rFonts w:ascii="Times New Roman;serif" w:hAnsi="Times New Roman;serif"/>
                <w:b w:val="false"/>
                <w:color w:val="000000"/>
                <w:sz w:val="12"/>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269,133 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316,202</w:t>
            </w:r>
          </w:p>
        </w:tc>
      </w:tr>
    </w:tbl>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(*)The anti-dilutive shares excluded from diluted net income per common share primarily relate to out-of-the-money stock options.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grants shares of its common stock in the form of restricted stock awards to certain key employees under the Company’s Amended and Restated Equity Incentive Plan. Prior to vesting of the restricted stock awards, the grant recipients are entitled to receive non-forfeitable cash dividends if the Company declares and pays dividends on the Company’s common stock. Accordingly, unvested shares of the Company’s restricted stock awards are deemed to be participating securities for purposes of computing earnings per share (“EPS”).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Beginning with restricted stock awards granted on or after May 13, 2026, grant recipients are entitled to receive forfeitable cash dividends if the Company declares and pays dividends on its common stock. Any such dividends accrue and are paid to the grant recipient only upon vesting of the underlying shares and are forfeited if the underlying award is forfeited. As a result, unvested restricted stock awards granted on or after May 13, 2026 are not deemed to be participating securities for purposes of computing EPS. Restricted stock awards granted prior to May 13, 2026 continue to be treated as participating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NOTE 13 – ORGANIZATIONAL RESTRUCTURING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fiscal 2025, the Company initiated an organizational restructuring of its offices-based workforce to right-size its cost structure and improve future profitability. In connection with this restructuring, the Company recorded charges of $9.8 million in Selling, general, and administrative expenses in fiscal 2025, primarily related to severance and other termination benefits.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January 3, 2026, the Company had an accrual of $8.8 million related to these actions recorded in Other current liabilities on the condensed consolidated balance sheets. During the first two quarters of fiscal 2026, the Company paid substantially all of the remaining severance and other termination benefits and completed the restructuring. The Company recorded no charges related to this restructuring during the second quarter or the first two quarters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NOTE 14 – SEGMENT INFORMATION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reports segment information based upon a “management approach.” The management approach refers to the internal reporting that is used by management for making operating decisions and assessing the performance of the Company’s reportable segments.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has three operating and reportable segments: U.S. Retail, U.S. Wholesale, and International. The U.S. Retail segment consists of revenue primarily from sales of products in the United States through our retail stores, eCommerce websites, and mobile app. Similarly, the U.S. Wholesale segment consists of revenue primarily from sales in the United States of products to our wholesale partners. The International segment consists of revenue primarily from sales of products outside the United States, largely through our retail stores and eCommerce websites in Canada and Mexico, and sales to our international wholesale customers and licensees. The Company sells similar products in each of its three segments.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is the Chief Executive Officer. The chief operating decision maker evaluates the operating performance of the segments based upon each segment’s net sales and segment operating income. Segment operating income includes net sales, royalty income, and related cost of goods sold and selling, general, and administrative expenses attributable to each segment. Segment operating income excludes unallocated corporate expenses and the impact of tariff refund recoveries, as well as specific charges that are not directly attributable to segment operations, including operating model improvement costs, restructuring costs, leadership transition costs, specific intellectual property litigation costs, and impairment charges related to goodwill and indefinite-lived intangible assets. The Company does not evaluate performance or allocate resources based on segment asset data, and therefore total segment assets are not presented.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Certain costs, including incentive compensation for certain employees, and various other general corporate costs that are not specifically allocable to segments, are included in unallocated corporate expenses below.</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Segment Performance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table below presents certain segment information for the Company’s reportable segments for the periods indicated:</w:t>
      </w:r>
    </w:p>
    <w:tbl>
      <w:tblPr>
        <w:tblW w:w="7488" w:type="dxa"/>
        <w:jc w:val="left"/>
        <w:tblInd w:w="0" w:type="dxa"/>
        <w:tblLayout w:type="fixed"/>
        <w:tblCellMar>
          <w:top w:w="28" w:type="dxa"/>
          <w:left w:w="28" w:type="dxa"/>
          <w:bottom w:w="28" w:type="dxa"/>
          <w:right w:w="28" w:type="dxa"/>
        </w:tblCellMar>
      </w:tblPr>
      <w:tblGrid>
        <w:gridCol w:w="722"/>
        <w:gridCol w:w="633"/>
        <w:gridCol w:w="639"/>
        <w:gridCol w:w="196"/>
        <w:gridCol w:w="736"/>
        <w:gridCol w:w="109"/>
        <w:gridCol w:w="109"/>
        <w:gridCol w:w="109"/>
        <w:gridCol w:w="109"/>
        <w:gridCol w:w="237"/>
        <w:gridCol w:w="891"/>
        <w:gridCol w:w="132"/>
        <w:gridCol w:w="109"/>
        <w:gridCol w:w="109"/>
        <w:gridCol w:w="109"/>
        <w:gridCol w:w="232"/>
        <w:gridCol w:w="764"/>
        <w:gridCol w:w="130"/>
        <w:gridCol w:w="109"/>
        <w:gridCol w:w="109"/>
        <w:gridCol w:w="109"/>
        <w:gridCol w:w="196"/>
        <w:gridCol w:w="736"/>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 July 4, 2026</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 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 Wholesale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215,552 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95,261 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615,490 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Cost of goods sold</w:t>
            </w:r>
            <w:r>
              <w:rPr>
                <w:rFonts w:ascii="Times New Roman;serif" w:hAnsi="Times New Roman;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Selling expenses</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Distribution expenses</w:t>
            </w:r>
            <w:r>
              <w:rPr>
                <w:rFonts w:ascii="Times New Roman;serif" w:hAnsi="Times New Roman;serif"/>
                <w:b w:val="false"/>
                <w:color w:val="000000"/>
                <w:sz w:val="12"/>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segment items</w:t>
            </w:r>
            <w:r>
              <w:rPr>
                <w:rFonts w:ascii="Times New Roman;serif" w:hAnsi="Times New Roman;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29,741 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(1)Tariff refund recoveries are excluded from segment operating income. </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(2)Selling expenses include the costs of operating our retail stores and eCommerce channels, as well as wholesale sales management costs.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(3)Distribution expenses include payments to third-party shippers and handling costs to process product through our distribution facilities, including eCommerce fulfillment costs, and delivery to our wholesale customers and to our retail stores.</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(4)Other segment items include royalty income and overhead costs that are attributable to our reportable segments and include allocated accounting, finance, human resources, and information technology expenses, occupancy costs, and other benefit and compensation programs, including performance-based compensation.</w:t>
      </w:r>
    </w:p>
    <w:tbl>
      <w:tblPr>
        <w:tblW w:w="7744" w:type="dxa"/>
        <w:jc w:val="left"/>
        <w:tblInd w:w="0" w:type="dxa"/>
        <w:tblLayout w:type="fixed"/>
        <w:tblCellMar>
          <w:top w:w="28" w:type="dxa"/>
          <w:left w:w="28" w:type="dxa"/>
          <w:bottom w:w="28" w:type="dxa"/>
          <w:right w:w="28" w:type="dxa"/>
        </w:tblCellMar>
      </w:tblPr>
      <w:tblGrid>
        <w:gridCol w:w="766"/>
        <w:gridCol w:w="672"/>
        <w:gridCol w:w="677"/>
        <w:gridCol w:w="196"/>
        <w:gridCol w:w="736"/>
        <w:gridCol w:w="109"/>
        <w:gridCol w:w="109"/>
        <w:gridCol w:w="109"/>
        <w:gridCol w:w="109"/>
        <w:gridCol w:w="237"/>
        <w:gridCol w:w="891"/>
        <w:gridCol w:w="132"/>
        <w:gridCol w:w="109"/>
        <w:gridCol w:w="109"/>
        <w:gridCol w:w="109"/>
        <w:gridCol w:w="212"/>
        <w:gridCol w:w="796"/>
        <w:gridCol w:w="118"/>
        <w:gridCol w:w="109"/>
        <w:gridCol w:w="109"/>
        <w:gridCol w:w="109"/>
        <w:gridCol w:w="196"/>
        <w:gridCol w:w="871"/>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9"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Two fiscal quarters ended July 4, 2026</w:t>
            </w:r>
          </w:p>
        </w:tc>
      </w:tr>
      <w:tr>
        <w:trPr/>
        <w:tc>
          <w:tcPr>
            <w:tcW w:w="21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U.S. 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U.S. Wholesale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636,925 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466,959 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192,719 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1,296,603 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268,302 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350,382 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99,116 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717,800 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Selling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250,618 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311,657 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Distribution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37,322 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28,916 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11,585 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77,823 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67,393 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16,296 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16,249 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99,938 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Times New Roman;serif" w:hAnsi="Times New Roman;serif"/>
                <w:b w:val="false"/>
                <w:color w:val="000000"/>
                <w:sz w:val="18"/>
              </w:rPr>
            </w:pPr>
            <w:r>
              <w:rPr>
                <w:rFonts w:ascii="Times New Roman;serif" w:hAnsi="Times New Roman;serif"/>
                <w:b w:val="false"/>
                <w:color w:val="000000"/>
                <w:sz w:val="18"/>
              </w:rPr>
              <w:t>Segment operating income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66,526 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9,569 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89,385 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i/>
          <w:color w:val="000000"/>
          <w:sz w:val="16"/>
        </w:rPr>
      </w:pPr>
      <w:r>
        <w:rPr>
          <w:rFonts w:ascii="Times New Roman;serif" w:hAnsi="Times New Roman;serif"/>
          <w:b w:val="false"/>
          <w:i/>
          <w:color w:val="000000"/>
          <w:sz w:val="16"/>
        </w:rPr>
        <w:t>Note: See footnotes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tbl>
      <w:tblPr>
        <w:tblW w:w="7609" w:type="dxa"/>
        <w:jc w:val="left"/>
        <w:tblInd w:w="0" w:type="dxa"/>
        <w:tblLayout w:type="fixed"/>
        <w:tblCellMar>
          <w:top w:w="28" w:type="dxa"/>
          <w:left w:w="28" w:type="dxa"/>
          <w:bottom w:w="28" w:type="dxa"/>
          <w:right w:w="28" w:type="dxa"/>
        </w:tblCellMar>
      </w:tblPr>
      <w:tblGrid>
        <w:gridCol w:w="766"/>
        <w:gridCol w:w="672"/>
        <w:gridCol w:w="677"/>
        <w:gridCol w:w="196"/>
        <w:gridCol w:w="736"/>
        <w:gridCol w:w="109"/>
        <w:gridCol w:w="109"/>
        <w:gridCol w:w="109"/>
        <w:gridCol w:w="109"/>
        <w:gridCol w:w="237"/>
        <w:gridCol w:w="891"/>
        <w:gridCol w:w="132"/>
        <w:gridCol w:w="109"/>
        <w:gridCol w:w="109"/>
        <w:gridCol w:w="109"/>
        <w:gridCol w:w="232"/>
        <w:gridCol w:w="764"/>
        <w:gridCol w:w="130"/>
        <w:gridCol w:w="109"/>
        <w:gridCol w:w="109"/>
        <w:gridCol w:w="109"/>
        <w:gridCol w:w="196"/>
        <w:gridCol w:w="736"/>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4"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Fiscal quarter ended June 28, 2025</w:t>
            </w:r>
          </w:p>
        </w:tc>
      </w:tr>
      <w:tr>
        <w:trPr/>
        <w:tc>
          <w:tcPr>
            <w:tcW w:w="21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U.S. 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U.S. Wholesale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299,549 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192,998 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92,766 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585,313 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116,495 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138,068 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48,990 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303,553 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Selling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127,246 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155,893 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Distribution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15,184 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5,022 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38,416 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10,264 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8,920 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53,014 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Times New Roman;serif" w:hAnsi="Times New Roman;serif"/>
                <w:b w:val="false"/>
                <w:color w:val="000000"/>
                <w:sz w:val="18"/>
              </w:rPr>
            </w:pPr>
            <w:r>
              <w:rPr>
                <w:rFonts w:ascii="Times New Roman;serif" w:hAnsi="Times New Roman;serif"/>
                <w:b w:val="false"/>
                <w:color w:val="000000"/>
                <w:sz w:val="18"/>
              </w:rPr>
              <w:t>Segment operating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3,768 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27,062 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3,607 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34,437 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i/>
          <w:color w:val="000000"/>
          <w:sz w:val="16"/>
        </w:rPr>
      </w:pPr>
      <w:r>
        <w:rPr>
          <w:rFonts w:ascii="Times New Roman;serif" w:hAnsi="Times New Roman;serif"/>
          <w:b w:val="false"/>
          <w:i/>
          <w:color w:val="000000"/>
          <w:sz w:val="16"/>
        </w:rPr>
        <w:t>Note: See footnotes above.</w:t>
      </w:r>
    </w:p>
    <w:tbl>
      <w:tblPr>
        <w:tblW w:w="7744" w:type="dxa"/>
        <w:jc w:val="left"/>
        <w:tblInd w:w="0" w:type="dxa"/>
        <w:tblLayout w:type="fixed"/>
        <w:tblCellMar>
          <w:top w:w="28" w:type="dxa"/>
          <w:left w:w="28" w:type="dxa"/>
          <w:bottom w:w="28" w:type="dxa"/>
          <w:right w:w="28" w:type="dxa"/>
        </w:tblCellMar>
      </w:tblPr>
      <w:tblGrid>
        <w:gridCol w:w="766"/>
        <w:gridCol w:w="672"/>
        <w:gridCol w:w="677"/>
        <w:gridCol w:w="196"/>
        <w:gridCol w:w="736"/>
        <w:gridCol w:w="109"/>
        <w:gridCol w:w="109"/>
        <w:gridCol w:w="109"/>
        <w:gridCol w:w="109"/>
        <w:gridCol w:w="237"/>
        <w:gridCol w:w="891"/>
        <w:gridCol w:w="132"/>
        <w:gridCol w:w="109"/>
        <w:gridCol w:w="109"/>
        <w:gridCol w:w="109"/>
        <w:gridCol w:w="212"/>
        <w:gridCol w:w="796"/>
        <w:gridCol w:w="118"/>
        <w:gridCol w:w="109"/>
        <w:gridCol w:w="109"/>
        <w:gridCol w:w="109"/>
        <w:gridCol w:w="196"/>
        <w:gridCol w:w="871"/>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9"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Two fiscal quarters ended June 28, 2025</w:t>
            </w:r>
          </w:p>
        </w:tc>
      </w:tr>
      <w:tr>
        <w:trPr/>
        <w:tc>
          <w:tcPr>
            <w:tcW w:w="211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U.S. 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U.S. Wholesale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593,980 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443,094 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178,065 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1,215,139 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237,144 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308,676 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96,469 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642,289 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Selling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248,768 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304,059 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Distribution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37,460 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30,411 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11,138 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79,009 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Other segment items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64,532 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16,825 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16,586 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97,943 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Times New Roman;serif" w:hAnsi="Times New Roman;serif"/>
                <w:b w:val="false"/>
                <w:color w:val="000000"/>
                <w:sz w:val="18"/>
              </w:rPr>
            </w:pPr>
            <w:r>
              <w:rPr>
                <w:rFonts w:ascii="Times New Roman;serif" w:hAnsi="Times New Roman;serif"/>
                <w:b w:val="false"/>
                <w:color w:val="000000"/>
                <w:sz w:val="18"/>
              </w:rPr>
              <w:t>Segment operating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6,076 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82,372 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3,391 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91,839 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i/>
          <w:color w:val="000000"/>
          <w:sz w:val="16"/>
        </w:rPr>
      </w:pPr>
      <w:r>
        <w:rPr>
          <w:rFonts w:ascii="Times New Roman;serif" w:hAnsi="Times New Roman;serif"/>
          <w:b w:val="false"/>
          <w:i/>
          <w:color w:val="000000"/>
          <w:sz w:val="16"/>
        </w:rPr>
        <w:t>Note: See footnotes above.</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table below presents a reconciliation of reportable segment operating income to Income before income taxes:</w:t>
      </w:r>
    </w:p>
    <w:tbl>
      <w:tblPr>
        <w:tblW w:w="9077" w:type="dxa"/>
        <w:jc w:val="left"/>
        <w:tblInd w:w="0" w:type="dxa"/>
        <w:tblLayout w:type="fixed"/>
        <w:tblCellMar>
          <w:top w:w="28" w:type="dxa"/>
          <w:left w:w="28" w:type="dxa"/>
          <w:bottom w:w="28" w:type="dxa"/>
          <w:right w:w="28" w:type="dxa"/>
        </w:tblCellMar>
      </w:tblPr>
      <w:tblGrid>
        <w:gridCol w:w="1283"/>
        <w:gridCol w:w="1124"/>
        <w:gridCol w:w="1133"/>
        <w:gridCol w:w="196"/>
        <w:gridCol w:w="736"/>
        <w:gridCol w:w="109"/>
        <w:gridCol w:w="109"/>
        <w:gridCol w:w="109"/>
        <w:gridCol w:w="109"/>
        <w:gridCol w:w="238"/>
        <w:gridCol w:w="785"/>
        <w:gridCol w:w="132"/>
        <w:gridCol w:w="109"/>
        <w:gridCol w:w="109"/>
        <w:gridCol w:w="109"/>
        <w:gridCol w:w="196"/>
        <w:gridCol w:w="736"/>
        <w:gridCol w:w="109"/>
        <w:gridCol w:w="109"/>
        <w:gridCol w:w="109"/>
        <w:gridCol w:w="109"/>
        <w:gridCol w:w="236"/>
        <w:gridCol w:w="780"/>
        <w:gridCol w:w="303"/>
      </w:tblGrid>
      <w:tr>
        <w:trPr/>
        <w:tc>
          <w:tcPr>
            <w:tcW w:w="128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Fiscal quarter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ind w:left="0" w:right="0" w:firstLine="120"/>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operating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39,404 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34,437 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89,385 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91,839 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Items not included in segment operating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20"/>
              <w:jc w:val="left"/>
              <w:rPr/>
            </w:pPr>
            <w:r>
              <w:rPr>
                <w:rFonts w:ascii="Times New Roman;serif" w:hAnsi="Times New Roman;serif"/>
                <w:b w:val="false"/>
                <w:color w:val="000000"/>
                <w:sz w:val="18"/>
              </w:rPr>
              <w:t>Tariff refund recovery</w:t>
            </w:r>
            <w:r>
              <w:rPr>
                <w:rFonts w:ascii="Times New Roman;serif" w:hAnsi="Times New Roman;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20"/>
              <w:jc w:val="left"/>
              <w:rPr/>
            </w:pPr>
            <w:r>
              <w:rPr>
                <w:rFonts w:ascii="Times New Roman;serif" w:hAnsi="Times New Roman;serif"/>
                <w:b w:val="false"/>
                <w:color w:val="000000"/>
                <w:sz w:val="18"/>
              </w:rPr>
              <w:t>Unallocated corporate expenses</w:t>
            </w:r>
            <w:r>
              <w:rPr>
                <w:rFonts w:ascii="Times New Roman;serif" w:hAnsi="Times New Roman;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(21,304)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(22,687)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(42,842)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(44,699)</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20"/>
              <w:jc w:val="left"/>
              <w:rPr/>
            </w:pPr>
            <w:r>
              <w:rPr>
                <w:rFonts w:ascii="Times New Roman;serif" w:hAnsi="Times New Roman;serif"/>
                <w:b w:val="false"/>
                <w:color w:val="000000"/>
                <w:sz w:val="18"/>
              </w:rPr>
              <w:t>Leadership transition costs</w:t>
            </w:r>
            <w:r>
              <w:rPr>
                <w:rFonts w:ascii="Times New Roman;serif" w:hAnsi="Times New Roman;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(1,068)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(7,194)</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20"/>
              <w:jc w:val="left"/>
              <w:rPr/>
            </w:pPr>
            <w:r>
              <w:rPr>
                <w:rFonts w:ascii="Times New Roman;serif" w:hAnsi="Times New Roman;serif"/>
                <w:b w:val="false"/>
                <w:color w:val="000000"/>
                <w:sz w:val="18"/>
              </w:rPr>
              <w:t>IP litigation costs</w:t>
            </w:r>
            <w:r>
              <w:rPr>
                <w:rFonts w:ascii="Times New Roman;serif" w:hAnsi="Times New Roman;serif"/>
                <w:b w:val="false"/>
                <w:color w:val="000000"/>
                <w:sz w:val="12"/>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20"/>
              <w:jc w:val="left"/>
              <w:rPr/>
            </w:pPr>
            <w:r>
              <w:rPr>
                <w:rFonts w:ascii="Times New Roman;serif" w:hAnsi="Times New Roman;serif"/>
                <w:b w:val="false"/>
                <w:color w:val="000000"/>
                <w:sz w:val="18"/>
              </w:rPr>
              <w:t>Operating model improvement costs</w:t>
            </w:r>
            <w:r>
              <w:rPr>
                <w:rFonts w:ascii="Times New Roman;serif" w:hAnsi="Times New Roman;serif"/>
                <w:b w:val="false"/>
                <w:color w:val="000000"/>
                <w:sz w:val="12"/>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(6,638)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(9,800)</w:t>
            </w:r>
          </w:p>
        </w:tc>
        <w:tc>
          <w:tcPr>
            <w:tcW w:w="303" w:type="dxa"/>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18"/>
              </w:rPr>
              <w:t>Consolidated operating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139,826 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4,044 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168,269 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30,146 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7,857 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15,676 </w:t>
            </w:r>
          </w:p>
        </w:tc>
        <w:tc>
          <w:tcPr>
            <w:tcW w:w="303" w:type="dxa"/>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(4,292)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(7,434)</w:t>
            </w:r>
          </w:p>
        </w:tc>
        <w:tc>
          <w:tcPr>
            <w:tcW w:w="303" w:type="dxa"/>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(1,224)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(1,148)</w:t>
            </w:r>
          </w:p>
        </w:tc>
        <w:tc>
          <w:tcPr>
            <w:tcW w:w="303" w:type="dxa"/>
            <w:tcBorders/>
            <w:shd w:fill="CCEE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18"/>
              </w:rPr>
              <w:t>Income before income taxes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136,645 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1,703 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156,501 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23,052 </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(1)Related to $128 million of IEEPA tariff recoveries, excluding interest received, which are reflected as a reduction of Cost of goods sold in our condensed consolidated statement of operations.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(3)Related to costs associated with the retirement of Michael D. Casey, the Company’s former Chief Executive Officer, in the first quarter of fiscal 2025 and costs related to the departure of Douglas C. Palladini, the Company’s former Chief Executive Officer, in the second quarter of fiscal 2026. Amounts are reflected within Selling, general, and administrative expenses in our condensed consolidated statement of operations.</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(4)Reflects third-party legal defense costs incurred in connection with a specific intellectual property litigation matter not in the ordinary course of business described in Note 15, </w:t>
      </w:r>
      <w:r>
        <w:rPr>
          <w:rFonts w:ascii="Times New Roman;serif" w:hAnsi="Times New Roman;serif"/>
          <w:b w:val="false"/>
          <w:i/>
          <w:color w:val="000000"/>
          <w:sz w:val="16"/>
        </w:rPr>
        <w:t>Commitments and Contingencies</w:t>
      </w:r>
      <w:r>
        <w:rPr>
          <w:color w:val="000000"/>
        </w:rPr>
        <w:t xml:space="preserve"> </w:t>
      </w:r>
      <w:r>
        <w:rPr>
          <w:rFonts w:ascii="Times New Roman;serif" w:hAnsi="Times New Roman;serif"/>
          <w:b w:val="false"/>
          <w:color w:val="000000"/>
          <w:sz w:val="16"/>
        </w:rPr>
        <w:t>to the condensed consolidated financial statements. Amounts are reflected within Selling, general, and administrative expenses in our condensed consolidated statement of operations.</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(5)Primarily related to third-party consulting costs to support operating model improvements. Amounts are reflected within Selling, general, and administrative expenses in our condensed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Additional Data by Segment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table below presents additional information for our reportable segments for the periods presented:</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Depreciation and amortization expense</w:t>
      </w:r>
    </w:p>
    <w:tbl>
      <w:tblPr>
        <w:tblW w:w="7160" w:type="dxa"/>
        <w:jc w:val="left"/>
        <w:tblInd w:w="0" w:type="dxa"/>
        <w:tblLayout w:type="fixed"/>
        <w:tblCellMar>
          <w:top w:w="28" w:type="dxa"/>
          <w:left w:w="28" w:type="dxa"/>
          <w:bottom w:w="28" w:type="dxa"/>
          <w:right w:w="28" w:type="dxa"/>
        </w:tblCellMar>
      </w:tblPr>
      <w:tblGrid>
        <w:gridCol w:w="646"/>
        <w:gridCol w:w="569"/>
        <w:gridCol w:w="570"/>
        <w:gridCol w:w="210"/>
        <w:gridCol w:w="693"/>
        <w:gridCol w:w="117"/>
        <w:gridCol w:w="109"/>
        <w:gridCol w:w="109"/>
        <w:gridCol w:w="109"/>
        <w:gridCol w:w="238"/>
        <w:gridCol w:w="785"/>
        <w:gridCol w:w="132"/>
        <w:gridCol w:w="109"/>
        <w:gridCol w:w="109"/>
        <w:gridCol w:w="109"/>
        <w:gridCol w:w="210"/>
        <w:gridCol w:w="693"/>
        <w:gridCol w:w="117"/>
        <w:gridCol w:w="109"/>
        <w:gridCol w:w="109"/>
        <w:gridCol w:w="109"/>
        <w:gridCol w:w="236"/>
        <w:gridCol w:w="778"/>
        <w:gridCol w:w="185"/>
      </w:tblGrid>
      <w:tr>
        <w:trPr/>
        <w:tc>
          <w:tcPr>
            <w:tcW w:w="6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Fiscal quarter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June 28, 2025</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Times New Roman;serif" w:hAnsi="Times New Roman;serif"/>
                <w:b w:val="false"/>
                <w:color w:val="000000"/>
                <w:sz w:val="18"/>
              </w:rPr>
            </w:pPr>
            <w:r>
              <w:rPr>
                <w:rFonts w:ascii="Times New Roman;serif" w:hAnsi="Times New Roman;serif"/>
                <w:b w:val="false"/>
                <w:color w:val="000000"/>
                <w:sz w:val="18"/>
              </w:rPr>
              <w:t>U.S. Wholesale</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1,865 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3,823 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4,359 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Times New Roman;serif" w:hAnsi="Times New Roman;serif"/>
                <w:b w:val="false"/>
                <w:color w:val="000000"/>
                <w:sz w:val="18"/>
              </w:rPr>
            </w:pPr>
            <w:r>
              <w:rPr>
                <w:rFonts w:ascii="Times New Roman;serif" w:hAnsi="Times New Roman;serif"/>
                <w:b w:val="false"/>
                <w:color w:val="000000"/>
                <w:sz w:val="18"/>
              </w:rPr>
              <w:t>U.S. Retail</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8,006 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8,459 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16,476 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16,759 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2,472 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5,406 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Times New Roman;serif" w:hAnsi="Times New Roman;serif"/>
                <w:b w:val="false"/>
                <w:color w:val="000000"/>
                <w:sz w:val="18"/>
              </w:rPr>
            </w:pPr>
            <w:r>
              <w:rPr>
                <w:rFonts w:ascii="Times New Roman;serif" w:hAnsi="Times New Roman;serif"/>
                <w:b w:val="false"/>
                <w:color w:val="000000"/>
                <w:sz w:val="18"/>
              </w:rPr>
              <w:t>Unallocated corporate</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13,023 </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13,559 </w:t>
            </w:r>
          </w:p>
        </w:tc>
        <w:tc>
          <w:tcPr>
            <w:tcW w:w="1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26,648 </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26,813 </w:t>
            </w:r>
          </w:p>
        </w:tc>
        <w:tc>
          <w:tcPr>
            <w:tcW w:w="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NOTE 15 – COMMITMENTS AND CONTINGENCIES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is subject to various claims and pending or threatened lawsuits in the normal course of business. The Company is a defendant in a legal matter related to allegations of intellectual property infringement. Given the inherent uncertainty of litigation, it is reasonably possible that we may incur a loss; however, the Company is unable to estimate the likelihood of a loss or the range of possible loss at this time. The ultimate outcome of this matter, including our estimate that it is reasonably possible a loss could be incurred, is inherently uncertain and the ultimate outcome of the litigation could be materially different from our current estimates.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contractual obligations and commitments include obligations associated with leases, the secured revolving credit agreement, senior notes, and employee benefit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810"/>
        <w:jc w:val="center"/>
        <w:rPr/>
      </w:pPr>
      <w:r>
        <w:rPr/>
      </w:r>
    </w:p>
    <w:p>
      <w:pPr>
        <w:pStyle w:val="TextBody"/>
        <w:bidi w:val="0"/>
        <w:spacing w:lineRule="auto" w:line="288" w:before="0" w:after="0"/>
        <w:ind w:left="0" w:right="0" w:hanging="810"/>
        <w:jc w:val="center"/>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w:t>
      </w:r>
    </w:p>
    <w:p>
      <w:pPr>
        <w:pStyle w:val="TextBody"/>
        <w:bidi w:val="0"/>
        <w:spacing w:lineRule="auto" w:line="288" w:before="0" w:after="200"/>
        <w:ind w:left="0" w:right="0" w:hanging="810"/>
        <w:jc w:val="center"/>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Statements in this Quarterly Report on Form 10-Q that are not historical fact and use predictive words such as “estimates”, “outlook”, “guidance”, “expect”, “believe”, “intend”, “designed”, “target”, “plans”, “may”, “will”, “are confident” and similar words are forward-looking statements (as such term is defined in the Private Securities Litigation Reform Act of 1995). These forward-looking statements and related assumptions involve risks and uncertainties that could cause actual results and outcomes to differ materially from any forward-looking statements or views expressed in this Form 10-Q. These risks and uncertainties include, but are not limited to, those disclosed in Part II, Item 1A. “Risk Factors” of the Company’s Quarterly Report on Form 10-Q for the fiscal quarter ended July 4, 2026 and Part I, Item 1A. “Risk Factors” of the Company’s Annual Report on Form 10-K for the fiscal year ended January 3, 2026, and otherwise in our reports and filings with the Securities and Exchange Commission, as well as the following factors: changes in global economic and financial conditions, and the resulting impact on consumer confidence and consumer spending, as well as other changes in consumer discretionary spending habits; risks related to public health crises; risks related to the organizational restructuring plan, including, but not limited to, our ability to achieve the expected savings from the plan and to fully implement the plan; risks related to consumer tastes and preferences, as well as fashion trends; the failure to protect our intellectual property; the diminished value of our brands, potentially as a result of negative publicity or unsuccessful branding and marketing efforts; delays, product recalls, or loss of revenue due to a failure to meet our quality standards; risks related to uncertainty regarding the future of international trade agreements and the United States’ position on international trade, as well as significant political, trade, and regulatory developments and other circumstances beyond our control; the roll-back of incremental tariffs imposed under the International Emergency Economic Powers Act (the “incremental tariffs”) and any additional actions taken in response to their roll-back, including, but not limited to, tariffs imposed pursuant to Section 122 of the Trade Act of 1974 and tariffs imposed under Section 301 of the Trade Act of 1974; our ability to recover refunds of incremental tariff amounts or other tariff amounts paid; increased competition in the marketplace; financial difficulties for one or more of our major customers; identification of locations and negotiation of appropriate lease terms for our retail stores; distinct risks facing our eCommerce business; failure to forecast demand for our products and our failure to manage our inventory; increased margin pressures, including increased cost of materials and labor and our inability to successfully increase prices to offset these increased costs; continued inflationary pressures with respect to labor and raw materials and global supply chain constraints that have, and could continue, to affect freight, transit, and other costs; fluctuations in foreign currency exchange rates; unseasonable or extreme weather conditions; risks associated with corporate responsibility issues; our foreign sourcing arrangements; a relatively small number of vendors supply a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ind w:left="0" w:right="0" w:hanging="810"/>
        <w:jc w:val="left"/>
        <w:rPr/>
      </w:pPr>
      <w:r>
        <w:rPr/>
      </w:r>
    </w:p>
    <w:p>
      <w:pPr>
        <w:pStyle w:val="TextBody"/>
        <w:bidi w:val="0"/>
        <w:spacing w:lineRule="auto" w:line="288" w:before="0" w:after="20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amount of our products; disruptions in our supply chain, including increased transportation and freight costs; our ability to effectively source and manage inventory; problems with our Braselton, Georgia distribution facility; pending and threatened lawsuits; a breach of our information technology systems and the loss of personal data or a failure to implement new information technology systems successfully; unsuccessful expansion into international markets; failure to comply with various laws and regulations; failure to properly manage strategic initiatives; retention of key individuals; acquisition and integration of other brands and businesses; failure to achieve sales growth plans and profitability objectives to support the carrying value of our intangible assets; our continued ability to meet obligations related to our debt; changes in our tax obligations, including additional customs, duties or tariffs; our continued ability to declare and pay a dividend; volatility in the market price of our common stock; and the cost or effort required for our shareholders to bring certain claims or actions against us, as a result of our designation of the Court of Chancery of the State of Delaware as the sole and exclusive forum for certain types of actions and proceedings. Except for any ongoing obligations to disclose material information as required by federal securities laws, the Company does not undertake any obligation to publicly update or revise any forward-looking statements, whether as a result of new information, future events, or otherwise. The inclusion of any statement in this Quarterly Report on Form 10-Q does not constitute an admission by the Company or any other person that the events or circumstances described in such statement are material.</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jc w:val="left"/>
        <w:rPr/>
      </w:pPr>
      <w:r>
        <w:rPr>
          <w:rFonts w:ascii="Times New Roman;serif" w:hAnsi="Times New Roman;serif"/>
          <w:b w:val="false"/>
          <w:color w:val="000000"/>
          <w:sz w:val="20"/>
        </w:rPr>
        <w:t xml:space="preserve">We are North America’s largest and most enduring apparel company exclusively for babies and young children. Our core brands are </w:t>
      </w:r>
      <w:r>
        <w:rPr>
          <w:rFonts w:ascii="Times New Roman;serif" w:hAnsi="Times New Roman;serif"/>
          <w:b w:val="false"/>
          <w:i/>
          <w:color w:val="000000"/>
          <w:sz w:val="20"/>
        </w:rPr>
        <w:t>Carter’s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OshKosh B’gosh</w:t>
      </w:r>
      <w:r>
        <w:rPr>
          <w:color w:val="000000"/>
        </w:rPr>
        <w:t xml:space="preserve"> </w:t>
      </w:r>
      <w:r>
        <w:rPr>
          <w:rFonts w:ascii="Times New Roman;serif" w:hAnsi="Times New Roman;serif"/>
          <w:b w:val="false"/>
          <w:color w:val="000000"/>
          <w:sz w:val="20"/>
        </w:rPr>
        <w:t>(or “</w:t>
      </w:r>
      <w:r>
        <w:rPr>
          <w:rFonts w:ascii="Times New Roman;serif" w:hAnsi="Times New Roman;serif"/>
          <w:b w:val="false"/>
          <w:i/>
          <w:color w:val="000000"/>
          <w:sz w:val="20"/>
        </w:rPr>
        <w:t>OshKosh</w:t>
      </w:r>
      <w:r>
        <w:rPr>
          <w:color w:val="000000"/>
        </w:rPr>
        <w:t>”</w:t>
      </w:r>
      <w:r>
        <w:rPr>
          <w:rFonts w:ascii="Times New Roman;serif" w:hAnsi="Times New Roman;serif"/>
          <w:b w:val="false"/>
          <w:color w:val="000000"/>
          <w:sz w:val="20"/>
        </w:rPr>
        <w:t xml:space="preserve">), iconic and among the sector’s most trusted names. Our exclusive </w:t>
      </w:r>
      <w:r>
        <w:rPr>
          <w:rFonts w:ascii="Times New Roman;serif" w:hAnsi="Times New Roman;serif"/>
          <w:b w:val="false"/>
          <w:i/>
          <w:color w:val="000000"/>
          <w:sz w:val="20"/>
        </w:rPr>
        <w:t>Carter’s</w:t>
      </w:r>
      <w:r>
        <w:rPr>
          <w:color w:val="000000"/>
        </w:rPr>
        <w:t xml:space="preserve"> </w:t>
      </w:r>
      <w:r>
        <w:rPr>
          <w:rFonts w:ascii="Times New Roman;serif" w:hAnsi="Times New Roman;serif"/>
          <w:b w:val="false"/>
          <w:color w:val="000000"/>
          <w:sz w:val="20"/>
        </w:rPr>
        <w:t xml:space="preserve">brands, which consist of </w:t>
      </w:r>
      <w:r>
        <w:rPr>
          <w:rFonts w:ascii="Times New Roman;serif" w:hAnsi="Times New Roman;serif"/>
          <w:b w:val="false"/>
          <w:i/>
          <w:color w:val="000000"/>
          <w:sz w:val="20"/>
        </w:rPr>
        <w:t>Child of Mine</w:t>
      </w:r>
      <w:r>
        <w:rPr>
          <w:rFonts w:ascii="Times New Roman;serif" w:hAnsi="Times New Roman;serif"/>
          <w:b w:val="false"/>
          <w:color w:val="000000"/>
          <w:sz w:val="20"/>
        </w:rPr>
        <w:t xml:space="preserve">, </w:t>
      </w:r>
      <w:r>
        <w:rPr>
          <w:rFonts w:ascii="Times New Roman;serif" w:hAnsi="Times New Roman;serif"/>
          <w:b w:val="false"/>
          <w:i/>
          <w:color w:val="000000"/>
          <w:sz w:val="20"/>
        </w:rPr>
        <w:t>Just One You</w:t>
      </w:r>
      <w:r>
        <w:rPr>
          <w:rFonts w:ascii="Times New Roman;serif" w:hAnsi="Times New Roman;serif"/>
          <w:b w:val="false"/>
          <w:color w:val="000000"/>
          <w:sz w:val="20"/>
        </w:rPr>
        <w:t xml:space="preserve">, and </w:t>
      </w:r>
      <w:r>
        <w:rPr>
          <w:rFonts w:ascii="Times New Roman;serif" w:hAnsi="Times New Roman;serif"/>
          <w:b w:val="false"/>
          <w:i/>
          <w:color w:val="000000"/>
          <w:sz w:val="20"/>
        </w:rPr>
        <w:t>Simple Joys</w:t>
      </w:r>
      <w:r>
        <w:rPr>
          <w:rFonts w:ascii="Times New Roman;serif" w:hAnsi="Times New Roman;serif"/>
          <w:b w:val="false"/>
          <w:color w:val="000000"/>
          <w:sz w:val="20"/>
        </w:rPr>
        <w:t xml:space="preserve">, are developed for Walmart, Target, and Amazon. Our emerging brands include </w:t>
      </w:r>
      <w:r>
        <w:rPr>
          <w:rFonts w:ascii="Times New Roman;serif" w:hAnsi="Times New Roman;serif"/>
          <w:b w:val="false"/>
          <w:i/>
          <w:color w:val="000000"/>
          <w:sz w:val="20"/>
        </w:rPr>
        <w:t>Little Planet</w:t>
      </w:r>
      <w:r>
        <w:rPr>
          <w:rFonts w:ascii="Times New Roman;serif" w:hAnsi="Times New Roman;serif"/>
          <w:b w:val="false"/>
          <w:color w:val="000000"/>
          <w:sz w:val="20"/>
        </w:rPr>
        <w:t xml:space="preserve">, crafted with organic fabrics and sustainable materials, </w:t>
      </w:r>
      <w:r>
        <w:rPr>
          <w:rFonts w:ascii="Times New Roman;serif" w:hAnsi="Times New Roman;serif"/>
          <w:b w:val="false"/>
          <w:i/>
          <w:color w:val="000000"/>
          <w:sz w:val="20"/>
        </w:rPr>
        <w:t>Otter Avenue</w:t>
      </w:r>
      <w:r>
        <w:rPr>
          <w:rFonts w:ascii="Times New Roman;serif" w:hAnsi="Times New Roman;serif"/>
          <w:b w:val="false"/>
          <w:color w:val="000000"/>
          <w:sz w:val="20"/>
        </w:rPr>
        <w:t xml:space="preserve">, a toddler-focused apparel brand, and </w:t>
      </w:r>
      <w:r>
        <w:rPr>
          <w:rFonts w:ascii="Times New Roman;serif" w:hAnsi="Times New Roman;serif"/>
          <w:b w:val="false"/>
          <w:i/>
          <w:color w:val="000000"/>
          <w:sz w:val="20"/>
        </w:rPr>
        <w:t>Skip Hop</w:t>
      </w:r>
      <w:r>
        <w:rPr>
          <w:rFonts w:ascii="Times New Roman;serif" w:hAnsi="Times New Roman;serif"/>
          <w:b w:val="false"/>
          <w:color w:val="000000"/>
          <w:sz w:val="20"/>
        </w:rPr>
        <w:t>, baby essentials from tubs to toys.</w:t>
      </w:r>
    </w:p>
    <w:p>
      <w:pPr>
        <w:pStyle w:val="TextBody"/>
        <w:bidi w:val="0"/>
        <w:spacing w:before="0" w:after="200"/>
        <w:jc w:val="left"/>
        <w:rPr/>
      </w:pPr>
      <w:r>
        <w:rPr/>
        <w:drawing>
          <wp:inline distT="0" distB="0" distL="0" distR="0">
            <wp:extent cx="6943725" cy="1247775"/>
            <wp:effectExtent l="0" t="0" r="0" b="0"/>
            <wp:docPr id="2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 descr=""/>
                    <pic:cNvPicPr>
                      <a:picLocks noChangeAspect="1" noChangeArrowheads="1"/>
                    </pic:cNvPicPr>
                  </pic:nvPicPr>
                  <pic:blipFill>
                    <a:blip r:embed="rId2"/>
                    <a:stretch>
                      <a:fillRect/>
                    </a:stretch>
                  </pic:blipFill>
                  <pic:spPr bwMode="auto">
                    <a:xfrm>
                      <a:off x="0" y="0"/>
                      <a:ext cx="6943725" cy="1247775"/>
                    </a:xfrm>
                    <a:prstGeom prst="rect">
                      <a:avLst/>
                    </a:prstGeom>
                  </pic:spPr>
                </pic:pic>
              </a:graphicData>
            </a:graphic>
          </wp:inline>
        </w:drawing>
      </w:r>
      <w:bookmarkStart w:id="0" w:name="i-1"/>
      <w:bookmarkEnd w:id="0"/>
    </w:p>
    <w:p>
      <w:pPr>
        <w:pStyle w:val="TextBody"/>
        <w:bidi w:val="0"/>
        <w:spacing w:lineRule="auto" w:line="288" w:before="0" w:after="200"/>
        <w:jc w:val="left"/>
        <w:rPr/>
      </w:pPr>
      <w:r>
        <w:rPr>
          <w:rFonts w:ascii="Times New Roman;serif" w:hAnsi="Times New Roman;serif"/>
          <w:b w:val="false"/>
          <w:color w:val="000000"/>
          <w:sz w:val="20"/>
        </w:rPr>
        <w:t xml:space="preserve">Established in 1865, our </w:t>
      </w:r>
      <w:r>
        <w:rPr>
          <w:rFonts w:ascii="Times New Roman;serif" w:hAnsi="Times New Roman;serif"/>
          <w:b w:val="false"/>
          <w:i/>
          <w:color w:val="000000"/>
          <w:sz w:val="20"/>
        </w:rPr>
        <w:t>Carter’s</w:t>
      </w:r>
      <w:r>
        <w:rPr>
          <w:color w:val="000000"/>
        </w:rPr>
        <w:t xml:space="preserve"> </w:t>
      </w:r>
      <w:r>
        <w:rPr>
          <w:rFonts w:ascii="Times New Roman;serif" w:hAnsi="Times New Roman;serif"/>
          <w:b w:val="false"/>
          <w:color w:val="000000"/>
          <w:sz w:val="20"/>
        </w:rPr>
        <w:t>brand is recognized and trusted by consumers for high-quality apparel and accessories for children in sizes newborn to 14.</w:t>
      </w:r>
    </w:p>
    <w:p>
      <w:pPr>
        <w:pStyle w:val="TextBody"/>
        <w:bidi w:val="0"/>
        <w:spacing w:lineRule="auto" w:line="288" w:before="0" w:after="200"/>
        <w:jc w:val="left"/>
        <w:rPr/>
      </w:pPr>
      <w:r>
        <w:rPr>
          <w:rFonts w:ascii="Times New Roman;serif" w:hAnsi="Times New Roman;serif"/>
          <w:b w:val="false"/>
          <w:color w:val="000000"/>
          <w:sz w:val="20"/>
        </w:rPr>
        <w:t xml:space="preserve">Established in 1895, </w:t>
      </w:r>
      <w:r>
        <w:rPr>
          <w:rFonts w:ascii="Times New Roman;serif" w:hAnsi="Times New Roman;serif"/>
          <w:b w:val="false"/>
          <w:i/>
          <w:color w:val="000000"/>
          <w:sz w:val="20"/>
        </w:rPr>
        <w:t>OshKosh</w:t>
      </w:r>
      <w:r>
        <w:rPr>
          <w:color w:val="000000"/>
        </w:rPr>
        <w:t xml:space="preserve"> </w:t>
      </w:r>
      <w:r>
        <w:rPr>
          <w:rFonts w:ascii="Times New Roman;serif" w:hAnsi="Times New Roman;serif"/>
          <w:b w:val="false"/>
          <w:color w:val="000000"/>
          <w:sz w:val="20"/>
        </w:rPr>
        <w:t xml:space="preserve">is a well-known brand, trusted by consumers for high-quality apparel and accessories for children in sizes newborn to 14, with a focus on playclothes for toddlers and young children. We acquired </w:t>
      </w:r>
      <w:r>
        <w:rPr>
          <w:rFonts w:ascii="Times New Roman;serif" w:hAnsi="Times New Roman;serif"/>
          <w:b w:val="false"/>
          <w:i/>
          <w:color w:val="000000"/>
          <w:sz w:val="20"/>
        </w:rPr>
        <w:t>OshKosh</w:t>
      </w:r>
      <w:r>
        <w:rPr>
          <w:color w:val="000000"/>
        </w:rPr>
        <w:t xml:space="preserve"> </w:t>
      </w:r>
      <w:r>
        <w:rPr>
          <w:rFonts w:ascii="Times New Roman;serif" w:hAnsi="Times New Roman;serif"/>
          <w:b w:val="false"/>
          <w:color w:val="000000"/>
          <w:sz w:val="20"/>
        </w:rPr>
        <w:t>in 2005.</w:t>
      </w:r>
    </w:p>
    <w:p>
      <w:pPr>
        <w:pStyle w:val="TextBody"/>
        <w:bidi w:val="0"/>
        <w:spacing w:lineRule="auto" w:line="288" w:before="0" w:after="200"/>
        <w:jc w:val="left"/>
        <w:rPr/>
      </w:pPr>
      <w:r>
        <w:rPr>
          <w:rFonts w:ascii="Times New Roman;serif" w:hAnsi="Times New Roman;serif"/>
          <w:b w:val="false"/>
          <w:color w:val="000000"/>
          <w:sz w:val="20"/>
        </w:rPr>
        <w:t xml:space="preserve">Established in 2003, the </w:t>
      </w:r>
      <w:r>
        <w:rPr>
          <w:rFonts w:ascii="Times New Roman;serif" w:hAnsi="Times New Roman;serif"/>
          <w:b w:val="false"/>
          <w:i/>
          <w:color w:val="000000"/>
          <w:sz w:val="20"/>
        </w:rPr>
        <w:t>Skip Hop</w:t>
      </w:r>
      <w:r>
        <w:rPr>
          <w:color w:val="000000"/>
        </w:rPr>
        <w:t xml:space="preserve"> </w:t>
      </w:r>
      <w:r>
        <w:rPr>
          <w:rFonts w:ascii="Times New Roman;serif" w:hAnsi="Times New Roman;serif"/>
          <w:b w:val="false"/>
          <w:color w:val="000000"/>
          <w:sz w:val="20"/>
        </w:rPr>
        <w:t xml:space="preserve">brand rethinks, reenergizes, and reimagines durable necessities to create higher value, superior quality, and award-winning products for parents, babies, and toddlers. We acquired </w:t>
      </w:r>
      <w:r>
        <w:rPr>
          <w:rFonts w:ascii="Times New Roman;serif" w:hAnsi="Times New Roman;serif"/>
          <w:b w:val="false"/>
          <w:i/>
          <w:color w:val="000000"/>
          <w:sz w:val="20"/>
        </w:rPr>
        <w:t>Skip Hop</w:t>
      </w:r>
      <w:r>
        <w:rPr>
          <w:color w:val="000000"/>
        </w:rPr>
        <w:t xml:space="preserve"> </w:t>
      </w:r>
      <w:r>
        <w:rPr>
          <w:rFonts w:ascii="Times New Roman;serif" w:hAnsi="Times New Roman;serif"/>
          <w:b w:val="false"/>
          <w:color w:val="000000"/>
          <w:sz w:val="20"/>
        </w:rPr>
        <w:t>in 2017.</w:t>
      </w:r>
    </w:p>
    <w:p>
      <w:pPr>
        <w:pStyle w:val="TextBody"/>
        <w:bidi w:val="0"/>
        <w:spacing w:lineRule="auto" w:line="288" w:before="0" w:after="200"/>
        <w:jc w:val="left"/>
        <w:rPr/>
      </w:pPr>
      <w:r>
        <w:rPr>
          <w:rFonts w:ascii="Times New Roman;serif" w:hAnsi="Times New Roman;serif"/>
          <w:b w:val="false"/>
          <w:color w:val="000000"/>
          <w:sz w:val="20"/>
        </w:rPr>
        <w:t xml:space="preserve">Launched in 2021, the </w:t>
      </w:r>
      <w:r>
        <w:rPr>
          <w:rFonts w:ascii="Times New Roman;serif" w:hAnsi="Times New Roman;serif"/>
          <w:b w:val="false"/>
          <w:i/>
          <w:color w:val="000000"/>
          <w:sz w:val="20"/>
        </w:rPr>
        <w:t>Little Planet</w:t>
      </w:r>
      <w:r>
        <w:rPr>
          <w:color w:val="000000"/>
        </w:rPr>
        <w:t xml:space="preserve"> </w:t>
      </w:r>
      <w:r>
        <w:rPr>
          <w:rFonts w:ascii="Times New Roman;serif" w:hAnsi="Times New Roman;serif"/>
          <w:b w:val="false"/>
          <w:color w:val="000000"/>
          <w:sz w:val="20"/>
        </w:rPr>
        <w:t>brand focuses on sustainable clothing through the sourcing of mostly organic cotton as certified under the Global Organic Textile Standard (“GOTS”), a global textile processing standard for organic fibers. This brand includes a wide assortment of baby and toddler apparel, accessories, and sleepwear.</w:t>
      </w:r>
    </w:p>
    <w:p>
      <w:pPr>
        <w:pStyle w:val="TextBody"/>
        <w:bidi w:val="0"/>
        <w:spacing w:lineRule="auto" w:line="288" w:before="0" w:after="200"/>
        <w:jc w:val="left"/>
        <w:rPr/>
      </w:pPr>
      <w:r>
        <w:rPr>
          <w:rFonts w:ascii="Times New Roman;serif" w:hAnsi="Times New Roman;serif"/>
          <w:b w:val="false"/>
          <w:color w:val="000000"/>
          <w:sz w:val="20"/>
        </w:rPr>
        <w:t xml:space="preserve">Launched in 2025, </w:t>
      </w:r>
      <w:r>
        <w:rPr>
          <w:rFonts w:ascii="Times New Roman;serif" w:hAnsi="Times New Roman;serif"/>
          <w:b w:val="false"/>
          <w:i/>
          <w:color w:val="000000"/>
          <w:sz w:val="20"/>
        </w:rPr>
        <w:t>Otter Avenue</w:t>
      </w:r>
      <w:r>
        <w:rPr>
          <w:color w:val="000000"/>
        </w:rPr>
        <w:t xml:space="preserve"> </w:t>
      </w:r>
      <w:r>
        <w:rPr>
          <w:rFonts w:ascii="Times New Roman;serif" w:hAnsi="Times New Roman;serif"/>
          <w:b w:val="false"/>
          <w:color w:val="000000"/>
          <w:sz w:val="20"/>
        </w:rPr>
        <w:t>is a toddler brand that focuses on functionality designed to encourage independence, while combining fun, sophistication, and fashion-forward styles. This brand includes a curated assortment of toddler apparel and accessories.</w:t>
      </w:r>
    </w:p>
    <w:p>
      <w:pPr>
        <w:pStyle w:val="TextBody"/>
        <w:bidi w:val="0"/>
        <w:spacing w:lineRule="auto" w:line="288" w:before="0" w:after="200"/>
        <w:jc w:val="left"/>
        <w:rPr/>
      </w:pPr>
      <w:r>
        <w:rPr>
          <w:rFonts w:ascii="Times New Roman;serif" w:hAnsi="Times New Roman;serif"/>
          <w:b w:val="false"/>
          <w:color w:val="000000"/>
          <w:sz w:val="20"/>
        </w:rPr>
        <w:t xml:space="preserve">Additionally, </w:t>
      </w:r>
      <w:r>
        <w:rPr>
          <w:rFonts w:ascii="Times New Roman;serif" w:hAnsi="Times New Roman;serif"/>
          <w:b w:val="false"/>
          <w:i/>
          <w:color w:val="000000"/>
          <w:sz w:val="20"/>
        </w:rPr>
        <w:t>Child of Mine</w:t>
      </w:r>
      <w:r>
        <w:rPr>
          <w:rFonts w:ascii="Times New Roman;serif" w:hAnsi="Times New Roman;serif"/>
          <w:b w:val="false"/>
          <w:color w:val="000000"/>
          <w:sz w:val="20"/>
        </w:rPr>
        <w:t>, an</w:t>
      </w:r>
      <w:r>
        <w:rPr>
          <w:color w:val="000000"/>
        </w:rPr>
        <w:t xml:space="preserve"> </w:t>
      </w:r>
      <w:r>
        <w:rPr>
          <w:rFonts w:ascii="Times New Roman;serif" w:hAnsi="Times New Roman;serif"/>
          <w:b w:val="false"/>
          <w:color w:val="000000"/>
          <w:sz w:val="20"/>
        </w:rPr>
        <w:t xml:space="preserve">exclusive </w:t>
      </w:r>
      <w:r>
        <w:rPr>
          <w:rFonts w:ascii="Times New Roman;serif" w:hAnsi="Times New Roman;serif"/>
          <w:b w:val="false"/>
          <w:i/>
          <w:color w:val="000000"/>
          <w:sz w:val="20"/>
        </w:rPr>
        <w:t>Carter’s</w:t>
      </w:r>
      <w:r>
        <w:rPr>
          <w:color w:val="000000"/>
        </w:rPr>
        <w:t xml:space="preserve"> </w:t>
      </w:r>
      <w:r>
        <w:rPr>
          <w:rFonts w:ascii="Times New Roman;serif" w:hAnsi="Times New Roman;serif"/>
          <w:b w:val="false"/>
          <w:color w:val="000000"/>
          <w:sz w:val="20"/>
        </w:rPr>
        <w:t xml:space="preserve">brand, is sold at Walmart, </w:t>
      </w:r>
      <w:r>
        <w:rPr>
          <w:rFonts w:ascii="Times New Roman;serif" w:hAnsi="Times New Roman;serif"/>
          <w:b w:val="false"/>
          <w:i/>
          <w:color w:val="000000"/>
          <w:sz w:val="20"/>
        </w:rPr>
        <w:t>Just One You</w:t>
      </w:r>
      <w:r>
        <w:rPr>
          <w:rFonts w:ascii="Times New Roman;serif" w:hAnsi="Times New Roman;serif"/>
          <w:b w:val="false"/>
          <w:color w:val="000000"/>
          <w:sz w:val="20"/>
        </w:rPr>
        <w:t xml:space="preserve">, an exclusive </w:t>
      </w:r>
      <w:r>
        <w:rPr>
          <w:rFonts w:ascii="Times New Roman;serif" w:hAnsi="Times New Roman;serif"/>
          <w:b w:val="false"/>
          <w:i/>
          <w:color w:val="000000"/>
          <w:sz w:val="20"/>
        </w:rPr>
        <w:t>Carter’s</w:t>
      </w:r>
      <w:r>
        <w:rPr>
          <w:color w:val="000000"/>
        </w:rPr>
        <w:t xml:space="preserve"> </w:t>
      </w:r>
      <w:r>
        <w:rPr>
          <w:rFonts w:ascii="Times New Roman;serif" w:hAnsi="Times New Roman;serif"/>
          <w:b w:val="false"/>
          <w:color w:val="000000"/>
          <w:sz w:val="20"/>
        </w:rPr>
        <w:t xml:space="preserve">brand, is sold at Target, and </w:t>
      </w:r>
      <w:r>
        <w:rPr>
          <w:rFonts w:ascii="Times New Roman;serif" w:hAnsi="Times New Roman;serif"/>
          <w:b w:val="false"/>
          <w:i/>
          <w:color w:val="000000"/>
          <w:sz w:val="20"/>
        </w:rPr>
        <w:t>Simple Joys</w:t>
      </w:r>
      <w:r>
        <w:rPr>
          <w:rFonts w:ascii="Times New Roman;serif" w:hAnsi="Times New Roman;serif"/>
          <w:b w:val="false"/>
          <w:color w:val="000000"/>
          <w:sz w:val="20"/>
        </w:rPr>
        <w:t xml:space="preserve">, an exclusive </w:t>
      </w:r>
      <w:r>
        <w:rPr>
          <w:rFonts w:ascii="Times New Roman;serif" w:hAnsi="Times New Roman;serif"/>
          <w:b w:val="false"/>
          <w:i/>
          <w:color w:val="000000"/>
          <w:sz w:val="20"/>
        </w:rPr>
        <w:t>Carter’s</w:t>
      </w:r>
      <w:r>
        <w:rPr>
          <w:color w:val="000000"/>
        </w:rPr>
        <w:t xml:space="preserve"> </w:t>
      </w:r>
      <w:r>
        <w:rPr>
          <w:rFonts w:ascii="Times New Roman;serif" w:hAnsi="Times New Roman;serif"/>
          <w:b w:val="false"/>
          <w:color w:val="000000"/>
          <w:sz w:val="20"/>
        </w:rPr>
        <w:t>brand, is available on Amazon.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purpose is to embrace the wonder of childhood and uplift those shaping the future. We believe our brands are complementary to one another in product offering and aesthetic. Each brand is uniquely positioned in the marketplace and offers great value to families with young children. Our multichannel, global business model, which includes retail stores, eCommerce, mobile app, and wholesale distribution channels, as well as omni-channel capabilities in the United States and Canada, enables us to reach a broad range of consumers around the world.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ind w:left="0" w:right="0" w:hanging="810"/>
        <w:jc w:val="left"/>
        <w:rPr/>
      </w:pPr>
      <w:r>
        <w:rPr/>
      </w:r>
    </w:p>
    <w:p>
      <w:pPr>
        <w:pStyle w:val="TextBody"/>
        <w:bidi w:val="0"/>
        <w:spacing w:lineRule="auto" w:line="288" w:before="0" w:after="20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July 4, 2026, our channels included 1,042 company-operated retail stores in North America, eCommerce websites, approximately 19,500 wholesale locations in North America, as well as our international wholesale accounts and licensees who operate in over 1,100 locations outside of North America in over 90 countries.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2025 fiscal year ended January 3, 2026.</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Fiscal Periods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operates on a 52 or 53 week fiscal calendar. Fiscal 2026 will end on January 2, 2027 and includes 52 weeks. Fiscal 2025 ended on January 3, 2026 and included 53 weeks. The fiscal quarters ended July 4, 2026 and June 28, 2025 each included 13 weeks.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have three operating and reportable segments: U.S. Retail, U.S. Wholesale, and International. Our U.S. Retail segment consists of revenue primarily from sales of products in the United States through our retail stores, eCommerce websites, and mobile app. Our U.S. Wholesale segment consists of revenue primarily from sales in the United States of products to our wholesale customers. Our International segment consists of revenue primarily from sales of products outside the United States, largely through our retail stores and eCommerce websites in Canada and Mexico, and sales to our international wholesale customers and licensees. The Company sells similar products in each of its three segments.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is the Chief Executive Officer. The chief operating decision maker evaluates the operating performance of the segments based upon each segment’s net sales and segment operating income. Segment operating income includes net sales, royalty income, and related cost of goods sold and selling, general, and administrative expenses attributable to each segment. Segment operating income excludes unallocated corporate expenses and the impact of tariff refund recoveries, as well as specific charges that are not directly attributable to segment operations, including operating model improvement costs, restructuring costs, leadership transition costs, specific intellectual property litigation costs, and impairment charges related to goodwill and indefinite-lived intangible assets.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Gross Profit and Gross Margin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Gross profit represents consolidated net sales less cost of goods sold. Gross margin is calculated as gross profit divided by consolidated net sales. Cost of goods sold includes the cost of products, as well as changes in inventory reserves and expenses related to the merchandising, design, and procurement of product, including inbound freight costs, purchasing and receiving costs, and inspection costs. Cost of goods sold also includes the costs of shipping eCommerce orders directly to end consumers. For omni-channel transactions, Cost of goods sold includes the costs of shipping product to end consumers or to retail stores. Our gross profit and gross margin may not be comparable to those of other entities that define their metrics differently.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Retail store occupancy costs, distribution expenses, and generally all other expenses other than interest and income taxes are included in Selling, general, and administrative (“SG&amp;A”) expenses. Distribution expenses included in SG&amp;A primarily consist of payments to third-party shippers and handling costs to process product through the Company’s distribution facilities, including eCommerce fulfillment costs, and delivery of product to wholesale customers and to our retail stores.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Comparable Sales Metrics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present comparable sales metrics because we consider them an important supplemental measure of our U.S. Retail and International performance, and the Company uses such information to assess the performance of the U.S. Retail and International segments. Additionally, we believe they are frequently used by securities analysts, investors, and other interested parties in the evaluation of our business.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Our comparable sales metrics include sales for all stores and eCommerce sites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more than five miles away, or there is a material change in square footage, such store is treated as a new store. Stores that are closed during the relevant fiscal period are included in the comparable store sales metrics up to the last full fiscal month of operations. In fiscal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ind w:left="0" w:right="0" w:hanging="810"/>
        <w:jc w:val="left"/>
        <w:rPr/>
      </w:pPr>
      <w:r>
        <w:rPr/>
      </w:r>
    </w:p>
    <w:p>
      <w:pPr>
        <w:pStyle w:val="TextBody"/>
        <w:bidi w:val="0"/>
        <w:spacing w:lineRule="auto" w:line="288" w:before="0" w:after="20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years that include a 53rd week, we adjust the prior year comparable period to include a 53rd week so comparable sales reflect an equivalent number of weeks in each period.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method of calculating sales metrics varies across the retail industry. As a result, our comparable sales metrics may not be comparable to those of other retailers.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00"/>
        <w:jc w:val="both"/>
        <w:rPr>
          <w:rFonts w:ascii="Times New Roman;serif" w:hAnsi="Times New Roman;serif"/>
          <w:b/>
          <w:i/>
          <w:color w:val="000000"/>
          <w:sz w:val="20"/>
        </w:rPr>
      </w:pPr>
      <w:r>
        <w:rPr>
          <w:rFonts w:ascii="Times New Roman;serif" w:hAnsi="Times New Roman;serif"/>
          <w:b/>
          <w:i/>
          <w:color w:val="000000"/>
          <w:sz w:val="20"/>
        </w:rPr>
        <w:t>Executive Leadership Transition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May 1, 2026, the Company announced that the Board of Directors (the “Board”) appointed Sharon Price John as Chief Executive Officer &amp; President of the Company and a member of the Board effective June 15, 2026. In connection with the appointment of Ms. John, Douglas C. Palladini departed the Company as Chief Executive Officer &amp; President and resigned as a member of the Board effective April 28, 2026. Additional information regarding these management changes and related arrangements is included in the Company’s Current Report on Form 8-K filed with the SEC on May 1, 2026.</w:t>
      </w:r>
    </w:p>
    <w:p>
      <w:pPr>
        <w:pStyle w:val="TextBody"/>
        <w:bidi w:val="0"/>
        <w:spacing w:lineRule="auto" w:line="288" w:before="0" w:after="100"/>
        <w:jc w:val="both"/>
        <w:rPr>
          <w:rFonts w:ascii="Times New Roman;serif" w:hAnsi="Times New Roman;serif"/>
          <w:b/>
          <w:i/>
          <w:color w:val="000000"/>
          <w:sz w:val="20"/>
        </w:rPr>
      </w:pPr>
      <w:r>
        <w:rPr>
          <w:rFonts w:ascii="Times New Roman;serif" w:hAnsi="Times New Roman;serif"/>
          <w:b/>
          <w:i/>
          <w:color w:val="000000"/>
          <w:sz w:val="20"/>
        </w:rPr>
        <w:t>Trade Policy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fiscal 2026, the U.S. Supreme Court ruled that tariffs imposed under the International Emergency Economic Powers Act (“IEEPA”) were unlawful. During the second quarter of fiscal 2026, following the April 20, 2026 launch of U.S. Customs and Border Protection’s Consolidated Administration and Processing of Entries (“CAPE”) process, the Company submitted claims seeking approximately $130 million of refunds of previously paid IEEPA tariffs through the CAPE system.</w:t>
      </w:r>
    </w:p>
    <w:p>
      <w:pPr>
        <w:pStyle w:val="TextBody"/>
        <w:bidi w:val="0"/>
        <w:spacing w:lineRule="auto" w:line="288" w:before="0" w:after="200"/>
        <w:jc w:val="left"/>
        <w:rPr/>
      </w:pPr>
      <w:r>
        <w:rPr>
          <w:rFonts w:ascii="Times New Roman;serif" w:hAnsi="Times New Roman;serif"/>
          <w:b w:val="false"/>
          <w:color w:val="000000"/>
          <w:sz w:val="20"/>
        </w:rPr>
        <w:t xml:space="preserve">The Company has elected to apply a gain contingency model in accordance with ASC 450-30, </w:t>
      </w:r>
      <w:r>
        <w:rPr>
          <w:color w:val="000000"/>
        </w:rPr>
        <w:t>“</w:t>
      </w:r>
      <w:r>
        <w:rPr>
          <w:rFonts w:ascii="Times New Roman;serif" w:hAnsi="Times New Roman;serif"/>
          <w:b w:val="false"/>
          <w:i/>
          <w:color w:val="000000"/>
          <w:sz w:val="20"/>
        </w:rPr>
        <w:t>Gain Contingencies”</w:t>
      </w:r>
      <w:r>
        <w:rPr>
          <w:color w:val="000000"/>
        </w:rPr>
        <w:t xml:space="preserve"> </w:t>
      </w:r>
      <w:r>
        <w:rPr>
          <w:rFonts w:ascii="Times New Roman;serif" w:hAnsi="Times New Roman;serif"/>
          <w:b w:val="false"/>
          <w:color w:val="000000"/>
          <w:sz w:val="20"/>
        </w:rPr>
        <w:t xml:space="preserve">to account for recoveries of previously paid IEEPA tariffs. Under this model, a gain contingency is not recognized in the financial statements until the gain is realized or realizable. Any recovery, when recognized, is reflected as a reduction of Cost of goods sold for amounts related to goods already sold, or as a reduction of inventory to the extent the related goods remain on hand.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fiscal 2026, the Company received refund payments from U.S. Customs and Border Protection totaling approximately $132 million, including interest, in connection with various adjudicated claims, and the related recovery has been recognized. The Company recorded approximately $128 million of the recovery as a reduction of Cost of goods sold and $4 million in Interest income. As of July 4, 2026, the Company’s remaining unadjudicated IEEPA refund claims, which continue to be accounted for as gain contingencies, were approximately $2 million. Uncertainty remains regarding the timing, amount, and ultimate receipt of any further refunds, and accordingly no additional amounts have been recognized in the condensed consolidated financial statements for these remaining claims.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response to the ruling on IEEPA tariffs, the U.S. Administration imposed a new 10% global tariff under Section 122 of the Trade Act of 1974 (“Section 122”), effective February 24, 2026. In May 2026, the U.S. Court of International Trade issued a ruling finding the Section 122 tariffs unlawful, although this ruling is currently stayed pending appeal. During the first two quarters of fiscal 2026, the Company paid approximately $26 million of incremental Section 122 tariffs related to imports from Vietnam, India, Bangladesh, Cambodia, and other countries. As of July 4, 2026, approximately $18 million of these tariffs remained capitalized within the Company’s inventory balances.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Section 122 tariffs imposed effective February 24, 2026 expired on July 24, 2026. Effective July 24, 2026, the U.S. Administration imposed additional tariffs under Section 301(b) of the Trade Act of 1974 (“Section 301”) as a result of the Administration’s investigations into forced labor practices of various foreign countries. These tariffs range from 10% to 12.5% and apply to imports from approximately 60 countries and territories. In addition, the U.S. Administration is continuing its separate investigation, under Section 301(b), into excess capacity and production in manufacturing sectors in foreign countries, signaling its intent to maintain tariff levels comparable to those previously in effect under the IEEPA tariffs. As of the date of this filing, no proposed tariffs have been imposed as a result of the excess capacity investigation. Because the Company sources substantially all of its apparel and other products from a global network of third-party suppliers, primarily located in Asia, any new or increased tariffs, quotas, embargoes, or other trade barriers have the potential to adversely affect its supply chain, cost structure, margins, and competitiveness. Retaliatory actions taken by impacted countries could further disrupt global trade and create additional inflationary pressures in raw materials and logistics.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Second Fiscal Quarter 2026 Financial Highlights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Unless otherwise stated, comparisons below are to the second quarter of fiscal 2025. References below to adjusted operating income, adjusted net income, and adjusted diluted net income per common share are non-GAAP financial measures; see “Reconciliation of Non-GAAP Financial Measures to GAAP Measures.”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Consolidated net sales increased $30.2 million, or 5.2%, to $615.5 million.</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U.S. Retail sales increased $5.1 million driven by higher unit volume. Comparable net sales, including retail stores and eCommerce, increased 5.1% for the period, reflecting a fifth consecutive quarter of positive comparable net sales growth.</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 xml:space="preserve">U.S. Wholesale sales increased $22.6 million, driven by growth in our core and exclusive </w:t>
      </w:r>
      <w:r>
        <w:rPr>
          <w:rFonts w:ascii="Times New Roman;serif" w:hAnsi="Times New Roman;serif"/>
          <w:b w:val="false"/>
          <w:i/>
          <w:color w:val="000000"/>
          <w:sz w:val="20"/>
        </w:rPr>
        <w:t>Carter’s</w:t>
      </w:r>
      <w:r>
        <w:rPr>
          <w:color w:val="000000"/>
        </w:rPr>
        <w:t xml:space="preserve"> </w:t>
      </w:r>
      <w:r>
        <w:rPr>
          <w:rFonts w:ascii="Times New Roman;serif" w:hAnsi="Times New Roman;serif"/>
          <w:b w:val="false"/>
          <w:color w:val="000000"/>
          <w:sz w:val="20"/>
        </w:rPr>
        <w:t xml:space="preserve">brands, as well as in </w:t>
      </w:r>
      <w:r>
        <w:rPr>
          <w:rFonts w:ascii="Times New Roman;serif" w:hAnsi="Times New Roman;serif"/>
          <w:b w:val="false"/>
          <w:i/>
          <w:color w:val="000000"/>
          <w:sz w:val="20"/>
        </w:rPr>
        <w:t>Skip Hop</w:t>
      </w:r>
      <w:r>
        <w:rPr>
          <w:rFonts w:ascii="Times New Roman;serif" w:hAnsi="Times New Roman;serif"/>
          <w:b w:val="false"/>
          <w:color w:val="000000"/>
          <w:sz w:val="20"/>
        </w:rPr>
        <w:t>, and strong demand for Fall product, which was partially offset by lower sales to our off-price wholesale channel customers.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International sales increased $2.5 million, driven by growth in Mexico and Canada, partially offset by unfavorable timing of shipments to our international partners.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Consolidated gross profit increased $130.8 million, or 46.4%, to $412.6 million, and consolidated gross margin increased 1,890 bps to 67.0%, primarily due to $128 million of IEEPA tariff refund recoveries and higher average unit retail (“AUR”), partially offset by higher average unit cost (“AUC”) driven by incremental tariff-related costs, investment in product make, and channel mix.</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Consolidated SG&amp;A expenses decreased $4.8 million, or 1.7%, to $276.1 million. SG&amp;A as a percentage of consolidated net sales (“SG&amp;A rate”) decreased 310 bps to 44.9%, driven by fixed cost leverage on higher net sales, costs related to operating model improvements in the second quarter of fiscal 2025 that did not reoccur in the second quarter of fiscal 2026, reduced costs resulting from previously implemented restructuring actions, lower performance-based compensation, and lower distribution costs, partially offset by higher leadership transition costs, incremental marketing investments, and inflationary pressure in retail store-related expenses.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Consolidated operating income increased $135.8 million to $139.8 million and adjusted operating income increased $6.4 million, or 54.1%, to $18.1 million. Operating margin increased 2,200 bps to 22.7%, primarily due to the factors discussed in detail below, including $128 million of IEEPA tariff refund recoveries.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Consolidated net income increased $104.5 million to $105.0 million, primarily due to the factors discussed in detail below. Adjusted net income increased $3.1 million, or 49.3%, to $9.4 million.</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Diluted net income per common share increased $2.86 to $2.87 and adjusted diluted net income per common share increased $0.09, or 52.9%, to $0.26.</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During the first two quarters of fiscal 2026, we opened 4 stores and closed 29 stores in the United States.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As a result of our strong financial position and available liquidity, we returned $9.1 million in cash dividends to our shareholders in the second quarter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SECOND FISCAL QUARTER ENDED JULY 4, 2026 COMPARED TO SECOND FISCAL QUARTER ENDED JUNE 28, 2025</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w:t>
      </w:r>
    </w:p>
    <w:tbl>
      <w:tblPr>
        <w:tblW w:w="9392" w:type="dxa"/>
        <w:jc w:val="left"/>
        <w:tblInd w:w="0" w:type="dxa"/>
        <w:tblLayout w:type="fixed"/>
        <w:tblCellMar>
          <w:top w:w="28" w:type="dxa"/>
          <w:left w:w="28" w:type="dxa"/>
          <w:bottom w:w="28" w:type="dxa"/>
          <w:right w:w="28" w:type="dxa"/>
        </w:tblCellMar>
      </w:tblPr>
      <w:tblGrid>
        <w:gridCol w:w="1303"/>
        <w:gridCol w:w="1147"/>
        <w:gridCol w:w="1150"/>
        <w:gridCol w:w="196"/>
        <w:gridCol w:w="736"/>
        <w:gridCol w:w="256"/>
        <w:gridCol w:w="109"/>
        <w:gridCol w:w="109"/>
        <w:gridCol w:w="109"/>
        <w:gridCol w:w="196"/>
        <w:gridCol w:w="736"/>
        <w:gridCol w:w="256"/>
        <w:gridCol w:w="109"/>
        <w:gridCol w:w="109"/>
        <w:gridCol w:w="109"/>
        <w:gridCol w:w="196"/>
        <w:gridCol w:w="736"/>
        <w:gridCol w:w="109"/>
        <w:gridCol w:w="109"/>
        <w:gridCol w:w="109"/>
        <w:gridCol w:w="109"/>
        <w:gridCol w:w="291"/>
        <w:gridCol w:w="291"/>
        <w:gridCol w:w="812"/>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Fiscal quarter ended</w:t>
            </w:r>
          </w:p>
        </w:tc>
        <w:tc>
          <w:tcPr>
            <w:tcW w:w="308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 except per share data)</w:t>
            </w:r>
          </w:p>
        </w:tc>
        <w:tc>
          <w:tcPr>
            <w:tcW w:w="11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 bps Change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615,490 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585,313 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8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303,553 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412,599 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281,760 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130,839 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8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profit as % of consolidated net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67.0 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48.1 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1,890 bps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Royalty income as % of consolidated net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(10) bps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SG&amp;A expenses as % of consolidated net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(310) bps</w:t>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139,826 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4,044 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Operating income as % of consolidated net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2,200 bps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136,645 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134,942 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Effective tax rate</w:t>
            </w:r>
            <w:r>
              <w:rPr>
                <w:rFonts w:ascii="Times New Roman;serif" w:hAnsi="Times New Roman;serif"/>
                <w:b w:val="false"/>
                <w:i/>
                <w:color w:val="000000"/>
                <w:sz w:val="12"/>
              </w:rPr>
              <w:t>(*)</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23.2 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73.8 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104,958 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104,512 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declared and paid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(*)Effective tax rate is calculated by dividing the provision for income taxes by income before income taxes.</w:t>
      </w:r>
    </w:p>
    <w:p>
      <w:pPr>
        <w:pStyle w:val="TextBody"/>
        <w:bidi w:val="0"/>
        <w:spacing w:lineRule="auto" w:line="288" w:before="0" w:after="200"/>
        <w:jc w:val="left"/>
        <w:rPr>
          <w:rFonts w:ascii="Times New Roman;serif" w:hAnsi="Times New Roman;serif"/>
          <w:b w:val="false"/>
          <w:i/>
          <w:color w:val="000000"/>
          <w:sz w:val="16"/>
        </w:rPr>
      </w:pPr>
      <w:r>
        <w:rPr>
          <w:rFonts w:ascii="Times New Roman;serif" w:hAnsi="Times New Roman;serif"/>
          <w:b w:val="false"/>
          <w:i/>
          <w:color w:val="000000"/>
          <w:sz w:val="16"/>
        </w:rPr>
        <w:t>Note: Results may not be additive due to rounding. If applicable, percentage changes that are not considered meaningful are denoted with “nm”.</w:t>
      </w:r>
    </w:p>
    <w:p>
      <w:pPr>
        <w:pStyle w:val="TextBody"/>
        <w:bidi w:val="0"/>
        <w:spacing w:lineRule="auto" w:line="288" w:before="0" w:after="100"/>
        <w:jc w:val="both"/>
        <w:rPr>
          <w:rFonts w:ascii="Times New Roman;serif" w:hAnsi="Times New Roman;serif"/>
          <w:b/>
          <w:color w:val="000000"/>
          <w:sz w:val="20"/>
        </w:rPr>
      </w:pPr>
      <w:r>
        <w:rPr>
          <w:rFonts w:ascii="Times New Roman;serif" w:hAnsi="Times New Roman;serif"/>
          <w:b/>
          <w:color w:val="000000"/>
          <w:sz w:val="20"/>
        </w:rPr>
        <w:t>Consolidated Net Sales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Consolidated net sales increased $30.2 million, or 5.2%, to $615.5 million. The increase in net sales was driven by increased net sales in each of our U.S. Wholesale, U.S. Retail, and International segments. AUR increased by a mid-single digit percentage, primarily reflecting higher realized pricing and sales leverage in U.S. Wholesale, as well as the favorable impact of changes in foreign currency exchange rates used for translation. Unit volume increased by a low-single digit percentage driven by growth in U.S. Wholesale and U.S. Retail, partially offset by unit volume decline in our International segment. Changes in foreign currency exchange rates used for translation had a favorable effect on our consolidated net sales of $2.4 million.</w:t>
      </w:r>
    </w:p>
    <w:p>
      <w:pPr>
        <w:pStyle w:val="TextBody"/>
        <w:bidi w:val="0"/>
        <w:spacing w:lineRule="auto" w:line="288" w:before="0" w:after="100"/>
        <w:jc w:val="both"/>
        <w:rPr>
          <w:rFonts w:ascii="Times New Roman;serif" w:hAnsi="Times New Roman;serif"/>
          <w:b/>
          <w:color w:val="000000"/>
          <w:sz w:val="20"/>
        </w:rPr>
      </w:pPr>
      <w:r>
        <w:rPr>
          <w:rFonts w:ascii="Times New Roman;serif" w:hAnsi="Times New Roman;serif"/>
          <w:b/>
          <w:color w:val="000000"/>
          <w:sz w:val="20"/>
        </w:rPr>
        <w:t>Gross Profit and Gross Margin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Consolidated gross profit increased $130.8 million, or 46.4%, to $412.6 million and consolidated gross margin increased 1,890 bps to 67.0%. The increase in consolidated gross profit and gross margin was driven by approximately $128 million of IEEPA tariff refund recoveries and higher AUR, partially offset by higher AUC and channel mix. AUC, which excludes the impact of tariff refund recoveries, increased by a low-double digit percentage, driven by incremental domestic and international tariff-related costs and investments in product make. Incremental tariff-related costs, which represent tariff costs in excess of the duty rates in effect prior to the tariff actions initiated in fiscal 2025, unfavorably impacted Cost of goods sold by approximately $28 million.</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SG&amp;A expenses decreased $4.8 million, or 1.7%, to $276.1 million and decreased as a percentage of consolidated net sales by 310 bps to 44.9%. This decrease in SG&amp;A rate was driven by fixed cost leverage on higher net sales, costs related to operating model improvements in the second quarter of fiscal 2025 that did not reoccur in the second quarter of fiscal 2026, reduced costs resulting from previously implemented restructuring actions, lower performance-based compensation, and lower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distribution costs. This was partially offset by increased leadership transition costs, incremental marketing investments, and inflationary pressure in retail store-related expenses.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 increased $135.8 million to $139.8 million and increased as a percentage of net sales by 2,200 bps to 22.7%, primarily due to the factors previously discussed.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Consolidated interest expense increased $3.5 million, or 44.0%, to $11.3 million, reflecting the impact of the Company’s fourth quarter of fiscal 2025 issuance of $575.0 million principal amount of 7.375% senior notes due 2031 and redemption of $500.0 million principal amount of 5.625% senior notes due 2027.</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Interest Income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Consolidated interest income increased $4.2 million to $8.5 million, primarily driven by approximately $4 million of interest recognized on IEEPA tariff refund recoveries.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Other Expense (Income), Net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Consolidated other expense was $0.4 million in the second quarter of fiscal 2026 compared to consolidated other income of $1.2 million in the second quarter of fiscal 2025, which was primarily driven by changes in foreign currency exchange rates during the period.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Consolidated income tax provision increased $30.4 million to $31.7 million and the effective tax rate decreased to 23.2% from 73.8% in the prior period. The increase in the consolidated income tax provision was driven by higher pre-tax income, while the decrease in the effective tax rate was primarily attributable to discrete tax items recognized in the prior comparable period, including incremental tax expense related to expiring stock-based compensation, which had a disproportionate impact on the effective tax rate given the lower level of pre-tax income in that period.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Net Income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Consolidated net income increased $104.5 million to $105.0 million, driven by the factors previously discussed.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 xml:space="preserve">Results by Segment - Second Quarter of Fiscal 2026 compared to Second Quarter of Fiscal 2025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net sales by segment and segment operating income for the second quarter of fiscal 2026 and the second quarter of fiscal 2025:</w:t>
      </w:r>
    </w:p>
    <w:tbl>
      <w:tblPr>
        <w:tblW w:w="10205" w:type="dxa"/>
        <w:jc w:val="center"/>
        <w:tblInd w:w="0" w:type="dxa"/>
        <w:tblLayout w:type="fixed"/>
        <w:tblCellMar>
          <w:top w:w="28" w:type="dxa"/>
          <w:left w:w="28" w:type="dxa"/>
          <w:bottom w:w="28" w:type="dxa"/>
          <w:right w:w="28" w:type="dxa"/>
        </w:tblCellMar>
      </w:tblPr>
      <w:tblGrid>
        <w:gridCol w:w="664"/>
        <w:gridCol w:w="446"/>
        <w:gridCol w:w="450"/>
        <w:gridCol w:w="196"/>
        <w:gridCol w:w="736"/>
        <w:gridCol w:w="109"/>
        <w:gridCol w:w="109"/>
        <w:gridCol w:w="109"/>
        <w:gridCol w:w="109"/>
        <w:gridCol w:w="365"/>
        <w:gridCol w:w="312"/>
        <w:gridCol w:w="735"/>
        <w:gridCol w:w="109"/>
        <w:gridCol w:w="109"/>
        <w:gridCol w:w="109"/>
        <w:gridCol w:w="200"/>
        <w:gridCol w:w="752"/>
        <w:gridCol w:w="111"/>
        <w:gridCol w:w="109"/>
        <w:gridCol w:w="109"/>
        <w:gridCol w:w="109"/>
        <w:gridCol w:w="365"/>
        <w:gridCol w:w="312"/>
        <w:gridCol w:w="735"/>
        <w:gridCol w:w="109"/>
        <w:gridCol w:w="109"/>
        <w:gridCol w:w="109"/>
        <w:gridCol w:w="196"/>
        <w:gridCol w:w="736"/>
        <w:gridCol w:w="109"/>
        <w:gridCol w:w="109"/>
        <w:gridCol w:w="109"/>
        <w:gridCol w:w="109"/>
        <w:gridCol w:w="233"/>
        <w:gridCol w:w="233"/>
        <w:gridCol w:w="575"/>
      </w:tblGrid>
      <w:tr>
        <w:trPr/>
        <w:tc>
          <w:tcPr>
            <w:tcW w:w="66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consolidated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consolidated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Retail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Wholesale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615,490 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585,313 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7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operating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Retail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7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73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Wholesale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operating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34,437 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Items not included in segment operating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Tariff refund recovery</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Unallocated corporate expenses</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Leadership transition costs</w:t>
            </w:r>
            <w:r>
              <w:rPr>
                <w:rFonts w:ascii="Times New Roman;serif" w:hAnsi="Times New Roman;serif"/>
                <w:b w:val="false"/>
                <w:color w:val="000000"/>
                <w:sz w:val="12"/>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IP litigation costs</w:t>
            </w:r>
            <w:r>
              <w:rPr>
                <w:rFonts w:ascii="Times New Roman;serif" w:hAnsi="Times New Roman;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model improvement costs</w:t>
            </w:r>
            <w:r>
              <w:rPr>
                <w:rFonts w:ascii="Times New Roman;serif" w:hAnsi="Times New Roman;serif"/>
                <w:b w:val="false"/>
                <w:color w:val="000000"/>
                <w:sz w:val="12"/>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operating income</w:t>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(1)Related to $128 million of IEEPA tariff recoveries, excluding interest received, which are reflected as a reduction of Cost of goods sold in our condensed consolidated statement of operations.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(3)Related to costs associated with the retirement of Michael D. Casey, the Company’s former Chief Executive Officer, in the first quarter of fiscal 2025 and costs related to the departure of Douglas C. Palladini, the Company’s former Chief Executive Officer, in the second quarter of fiscal 2026. Amounts are reflected within Selling, general, and administrative expenses in our condensed consolidated statement of operations.</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(4)Reflects third-party legal defense costs incurred in connection with a specific intellectual property litigation matter not in the ordinary course of business described in Note 15, </w:t>
      </w:r>
      <w:r>
        <w:rPr>
          <w:rFonts w:ascii="Times New Roman;serif" w:hAnsi="Times New Roman;serif"/>
          <w:b w:val="false"/>
          <w:i/>
          <w:color w:val="000000"/>
          <w:sz w:val="16"/>
        </w:rPr>
        <w:t>Commitments and Contingencies</w:t>
      </w:r>
      <w:r>
        <w:rPr>
          <w:color w:val="000000"/>
        </w:rPr>
        <w:t xml:space="preserve"> </w:t>
      </w:r>
      <w:r>
        <w:rPr>
          <w:rFonts w:ascii="Times New Roman;serif" w:hAnsi="Times New Roman;serif"/>
          <w:b w:val="false"/>
          <w:color w:val="000000"/>
          <w:sz w:val="16"/>
        </w:rPr>
        <w:t>to the condensed consolidated financial statements. Amounts are reflected within Selling, general, and administrative expenses in our condensed consolidated statement of operations.</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(5)Primarily related to third-party consulting costs to support operating model improvements. Amounts are reflected within Selling, general, and administrative expenses in our condensed consolidated statement of operations.</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U.S. Retail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U.S. Retail segment net sales increased $5.1 million, or 1.7%, to $304.7 million, driven by higher unit volume. Unit volume increased by a low-single digit percentage driven by improved traffic and transactions in eCommerce, partially offset by the sales impact of net store closures and the timing of the Easter holiday. AUR was consistent with the prior comparable period.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Comparable net sales, including retail stores and eCommerce, increased 5.1%, reflecting a fifth consecutive quarter of positive comparable net sales growth. Comparable net sales grew in both retail stores and eCommerce, driven by higher average transaction size. As of July 4, 2026, we operated 779 retail stores in the U.S. compared to 804 as of January 3, 2026, and 809 as of June 28, 2025.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U.S. Retail segment operating income increased $0.5 million, or 12.9%, to $4.3 million, primarily driven by a decrease in SG&amp;A expenses of $2.3 million, partially offset by a decrease in gross profit of $2.1 million. Segment operating margin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increased 10 bps to 1.4%, primarily driven by a 180 bps decrease in SG&amp;A rate, partially offset by a 170 bps decrease in gross margin. The decrease in gross margin was driven by a high-single digit percentage increase in AUC, reflecting incremental tariff-related costs. The decrease in SG&amp;A rate reflected fixed cost leverage on higher net sales, reduced costs resulting from previously implemented restructuring actions and lower store count, and lower distribution and performance-based compensation costs, partially offset by incremental marketing investments and inflationary pressure in store-related expenses.</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U.S. Wholesale</w:t>
      </w:r>
    </w:p>
    <w:p>
      <w:pPr>
        <w:pStyle w:val="TextBody"/>
        <w:bidi w:val="0"/>
        <w:spacing w:lineRule="auto" w:line="288" w:before="0" w:after="200"/>
        <w:jc w:val="left"/>
        <w:rPr/>
      </w:pPr>
      <w:r>
        <w:rPr>
          <w:rFonts w:ascii="Times New Roman;serif" w:hAnsi="Times New Roman;serif"/>
          <w:b w:val="false"/>
          <w:color w:val="000000"/>
          <w:sz w:val="20"/>
        </w:rPr>
        <w:t xml:space="preserve">U.S. Wholesale segment net sales increased $22.6 million, or 11.7%, to $215.6 million, driven by growth in our core and exclusive </w:t>
      </w:r>
      <w:r>
        <w:rPr>
          <w:rFonts w:ascii="Times New Roman;serif" w:hAnsi="Times New Roman;serif"/>
          <w:b w:val="false"/>
          <w:i/>
          <w:color w:val="000000"/>
          <w:sz w:val="20"/>
        </w:rPr>
        <w:t>Carter’s</w:t>
      </w:r>
      <w:r>
        <w:rPr>
          <w:color w:val="000000"/>
        </w:rPr>
        <w:t xml:space="preserve"> </w:t>
      </w:r>
      <w:r>
        <w:rPr>
          <w:rFonts w:ascii="Times New Roman;serif" w:hAnsi="Times New Roman;serif"/>
          <w:b w:val="false"/>
          <w:color w:val="000000"/>
          <w:sz w:val="20"/>
        </w:rPr>
        <w:t xml:space="preserve">brands, as well as in </w:t>
      </w:r>
      <w:r>
        <w:rPr>
          <w:rFonts w:ascii="Times New Roman;serif" w:hAnsi="Times New Roman;serif"/>
          <w:b w:val="false"/>
          <w:i/>
          <w:color w:val="000000"/>
          <w:sz w:val="20"/>
        </w:rPr>
        <w:t>Skip Hop</w:t>
      </w:r>
      <w:r>
        <w:rPr>
          <w:rFonts w:ascii="Times New Roman;serif" w:hAnsi="Times New Roman;serif"/>
          <w:b w:val="false"/>
          <w:color w:val="000000"/>
          <w:sz w:val="20"/>
        </w:rPr>
        <w:t xml:space="preserve">, and the earlier demand for Fall product as compared to the prior comparable period, which was partially offset by lower sales to our off-price wholesale channel customers. AUR increased by a low-double digit percentage, primarily reflecting higher realized pricing and sales leverage. Unit volume increased by a low-single digit percentage primarily driven by our exclusive </w:t>
      </w:r>
      <w:r>
        <w:rPr>
          <w:rFonts w:ascii="Times New Roman;serif" w:hAnsi="Times New Roman;serif"/>
          <w:b w:val="false"/>
          <w:i/>
          <w:color w:val="000000"/>
          <w:sz w:val="20"/>
        </w:rPr>
        <w:t>Carter’s</w:t>
      </w:r>
      <w:r>
        <w:rPr>
          <w:color w:val="000000"/>
        </w:rPr>
        <w:t xml:space="preserve"> </w:t>
      </w:r>
      <w:r>
        <w:rPr>
          <w:rFonts w:ascii="Times New Roman;serif" w:hAnsi="Times New Roman;serif"/>
          <w:b w:val="false"/>
          <w:color w:val="000000"/>
          <w:sz w:val="20"/>
        </w:rPr>
        <w:t>brands, partially offset by off-price wholesale channel customers.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U.S. Wholesale segment operating income increased $2.7 million, or 9.9%, to $29.7 million, primarily due to an increase in gross profit of $2.0 million and a decrease in SG&amp;A expenses of $1.0 million. Segment operating margin decreased 20 bps to 13.8%, primarily driven by a 210 bps decrease in gross margin and a 20 bps decrease in royalty income as a percentage of net sales, partially offset by a 210 bps decrease in SG&amp;A rate. The decrease in gross margin was driven by higher AUC, partially offset by higher AUR and decreased sales to low-margin off-price wholesale channel customers. AUC increased by a mid-teens percentage primarily driven by incremental tariff-related costs and investments in product make. The decrease in the SG&amp;A rate reflected fixed cost leverage on higher net sales and lower distribution and performance-based compensation costs, partially offset by incremental marketing investments.</w:t>
      </w:r>
    </w:p>
    <w:p>
      <w:pPr>
        <w:pStyle w:val="TextBody"/>
        <w:bidi w:val="0"/>
        <w:spacing w:lineRule="auto" w:line="288" w:before="0" w:after="100"/>
        <w:jc w:val="both"/>
        <w:rPr>
          <w:rFonts w:ascii="Times New Roman;serif" w:hAnsi="Times New Roman;serif"/>
          <w:b/>
          <w:i/>
          <w:color w:val="000000"/>
          <w:sz w:val="20"/>
        </w:rPr>
      </w:pPr>
      <w:r>
        <w:rPr>
          <w:rFonts w:ascii="Times New Roman;serif" w:hAnsi="Times New Roman;serif"/>
          <w:b/>
          <w:i/>
          <w:color w:val="000000"/>
          <w:sz w:val="20"/>
        </w:rPr>
        <w:t>International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International segment net sales increased $2.5 million, or 2.7%, to $95.3 million, driven by growth in Mexico and Canada, partially offset by unfavorable timing of shipments to our international partners. In Mexico, net sales growth reflected higher AUR and the contribution from new retail stores, partially offset by the timing of the Easter holiday. Canada net sales growth reflected higher comparable net sales, which increased 1.3%, driven by increased AUR.</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AUR increased by a mid-single digit percentage, driven by the favorable impact of foreign currency exchange rates and pricing. International segment unit volume decreased by a low-single digit percentage driven by lower shipments to our international partners. Changes in foreign currency exchange rates used for translation had a $2.4 million favorable effect on International segment net sales.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July 4, 2026, we operated 190 stores and 73 stores in Canada and Mexico, respectively. As of January 3, 2026, we operated 192 and 72 stores in Canada and Mexico, respectively. As of June 28, 2025, we operated 192 and 64 stores in Canada and Mexico, respectively.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International segment operating income increased $1.8 million, or 50.0%, to $5.4 million, primarily due to an increase in gross profit of $3.3 million, partially offset by an increase in SG&amp;A expenses of $1.6 million. Segment operating margin increased 180 bps to 5.7%, driven by a 230 bps increase in gross margin, partially offset by a 50 bps increase in the SG&amp;A rate. The increase in gross margin was driven by higher AUR and channel mix, partially offset by a low-single digit percentage increase in AUC driven by incremental tariff-related costs and channel mix. The increase in the SG&amp;A rate was driven by higher retail store rent and retail store employee costs, partially offset by fixed cost leverage on increased net sales and lower performance-based compensation.</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Unallocated Corporate Expenses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 decreased $1.4 million, or 6.1%, to $21.3 million. Unallocated corporate expenses, as a percentage of consolidated net sales, decreased 40 bps to 3.5%, driven by lower performance-based compensation and reduced costs resulting from previously implemented restructuring 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TWO FISCAL QUARTERS ENDED JULY 4, 2026 COMPARED TO TWO FISCAL QUARTERS ENDED JUNE 28, 2025</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w:t>
      </w:r>
    </w:p>
    <w:tbl>
      <w:tblPr>
        <w:tblW w:w="9647" w:type="dxa"/>
        <w:jc w:val="left"/>
        <w:tblInd w:w="0" w:type="dxa"/>
        <w:tblLayout w:type="fixed"/>
        <w:tblCellMar>
          <w:top w:w="28" w:type="dxa"/>
          <w:left w:w="28" w:type="dxa"/>
          <w:bottom w:w="28" w:type="dxa"/>
          <w:right w:w="28" w:type="dxa"/>
        </w:tblCellMar>
      </w:tblPr>
      <w:tblGrid>
        <w:gridCol w:w="1335"/>
        <w:gridCol w:w="1176"/>
        <w:gridCol w:w="1179"/>
        <w:gridCol w:w="196"/>
        <w:gridCol w:w="871"/>
        <w:gridCol w:w="256"/>
        <w:gridCol w:w="109"/>
        <w:gridCol w:w="109"/>
        <w:gridCol w:w="109"/>
        <w:gridCol w:w="196"/>
        <w:gridCol w:w="871"/>
        <w:gridCol w:w="256"/>
        <w:gridCol w:w="109"/>
        <w:gridCol w:w="109"/>
        <w:gridCol w:w="109"/>
        <w:gridCol w:w="196"/>
        <w:gridCol w:w="736"/>
        <w:gridCol w:w="109"/>
        <w:gridCol w:w="109"/>
        <w:gridCol w:w="109"/>
        <w:gridCol w:w="109"/>
        <w:gridCol w:w="270"/>
        <w:gridCol w:w="270"/>
        <w:gridCol w:w="749"/>
      </w:tblGrid>
      <w:tr>
        <w:trPr/>
        <w:tc>
          <w:tcPr>
            <w:tcW w:w="133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c>
          <w:tcPr>
            <w:tcW w:w="298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 except per share data)</w:t>
            </w:r>
          </w:p>
        </w:tc>
        <w:tc>
          <w:tcPr>
            <w:tcW w:w="13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 bps Change</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1,296,603 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1,215,139 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81,464 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7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590,131 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642,289 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706,472 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572,850 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133,622 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7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profit as % of consolidated net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54.5 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47.1 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740 bps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Royalty income, net as % of consolidated net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0.7 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(10) bps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546,184 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551,284 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SG&amp;A expenses as % of consolidated net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45.4 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(330) bps</w:t>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168,269 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30,146 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Operating income as % of consolidated net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13.0 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1,050 bps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156,501 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Effective tax rate</w:t>
            </w:r>
            <w:r>
              <w:rPr>
                <w:rFonts w:ascii="Times New Roman;serif" w:hAnsi="Times New Roman;serif"/>
                <w:b w:val="false"/>
                <w:i/>
                <w:color w:val="000000"/>
                <w:sz w:val="12"/>
              </w:rPr>
              <w:t>(*)</w:t>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23.8 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30.7 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(690) bps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119,294 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15,985 </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103,309 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declared and paid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(*)Effective tax rate is calculated by dividing the provision for income taxes by income before income taxes.</w:t>
      </w:r>
    </w:p>
    <w:p>
      <w:pPr>
        <w:pStyle w:val="TextBody"/>
        <w:bidi w:val="0"/>
        <w:spacing w:lineRule="auto" w:line="288" w:before="0" w:after="200"/>
        <w:jc w:val="left"/>
        <w:rPr>
          <w:rFonts w:ascii="Times New Roman;serif" w:hAnsi="Times New Roman;serif"/>
          <w:b w:val="false"/>
          <w:i/>
          <w:color w:val="000000"/>
          <w:sz w:val="16"/>
        </w:rPr>
      </w:pPr>
      <w:r>
        <w:rPr>
          <w:rFonts w:ascii="Times New Roman;serif" w:hAnsi="Times New Roman;serif"/>
          <w:b w:val="false"/>
          <w:i/>
          <w:color w:val="000000"/>
          <w:sz w:val="16"/>
        </w:rPr>
        <w:t>Note: Results may not be additive due to rounding. Percentage changes that are not considered meaningful are denoted with “nm”.</w:t>
      </w:r>
    </w:p>
    <w:p>
      <w:pPr>
        <w:pStyle w:val="TextBody"/>
        <w:bidi w:val="0"/>
        <w:spacing w:lineRule="auto" w:line="288" w:before="0" w:after="100"/>
        <w:jc w:val="both"/>
        <w:rPr>
          <w:rFonts w:ascii="Times New Roman;serif" w:hAnsi="Times New Roman;serif"/>
          <w:b/>
          <w:color w:val="000000"/>
          <w:sz w:val="20"/>
        </w:rPr>
      </w:pPr>
      <w:r>
        <w:rPr>
          <w:rFonts w:ascii="Times New Roman;serif" w:hAnsi="Times New Roman;serif"/>
          <w:b/>
          <w:color w:val="000000"/>
          <w:sz w:val="20"/>
        </w:rPr>
        <w:t>Consolidated Net Sales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Consolidated net sales increased $81.5 million, or 6.7%, to $1.30 billion. The increase in net sales was driven by increased net sales in each of our U.S. Retail, U.S. Wholesale, and International segments. AUR increased by a mid-single digit percentage, primarily reflecting higher realized pricing and sales leverage in U.S. Wholesale, as well as the favorable impact of changes in foreign currency exchange rates used for translation. Unit volume increased by a low-single digit percentage driven by growth in our U.S. Retail and International segments, partially offset by unit volume decline in our U.S. Wholesale segment. Changes in foreign currency exchange rates used for translation had a favorable effect on our consolidated net sales of $8.0 million.</w:t>
      </w:r>
    </w:p>
    <w:p>
      <w:pPr>
        <w:pStyle w:val="TextBody"/>
        <w:bidi w:val="0"/>
        <w:spacing w:lineRule="auto" w:line="288" w:before="0" w:after="100"/>
        <w:jc w:val="both"/>
        <w:rPr>
          <w:rFonts w:ascii="Times New Roman;serif" w:hAnsi="Times New Roman;serif"/>
          <w:b/>
          <w:color w:val="000000"/>
          <w:sz w:val="20"/>
        </w:rPr>
      </w:pPr>
      <w:r>
        <w:rPr>
          <w:rFonts w:ascii="Times New Roman;serif" w:hAnsi="Times New Roman;serif"/>
          <w:b/>
          <w:color w:val="000000"/>
          <w:sz w:val="20"/>
        </w:rPr>
        <w:t>Gross Profit and Gross Margin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Consolidated gross profit increased $133.6 million, or 23.3%, to $706.5 million and consolidated gross margin increased 740 bps to 54.5%. The increase in consolidated gross profit and gross margin was driven by $128 million of IEEPA tariff refund recoveries, higher AUR, and channel mix, partially offset by higher AUC. AUC, which excludes the impact of tariff refund recoveries, increased by a low-teens percentage, driven by incremental domestic and international tariff-related costs and investments in product make. Incremental tariff-related costs unfavorably impacted Cost of goods sold by approximately $78 million.</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Consolidated SG&amp;A expenses decreased $5.1 million, or 0.9%, to $546.2 million and decreased as a percentage of consolidated net sales by 330 bps to 42.1%. The decrease in SG&amp;A rate was driven by fixed cost leverage on higher net sales, costs related to operating model improvements in the first two quarters of fiscal 2025 that did not reoccur in the first two quarters of fiscal 2026, reduced costs resulting from previously implemented restructuring actions, lower leadership transition costs, and lower distribution costs. This was partially offset by incremental marketing investments and inflationary pressure in retail store-related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 increased $138.1 million to $168.3 million and increased as a percentage of net sales by 1,050 bps to 13.0%, primarily due to the factors previously discussed.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Consolidated interest expense increased $7.4 million, or 47.2%, to $23.1 million, reflecting the impact of the Company’s fourth quarter of fiscal 2025 issuance of $575.0 million principal amount of 7.375% senior notes due 2031 and redemption of $500.0 million principal amount of 5.625% senior notes due 2027.</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Interest Income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Consolidated interest income increased $4.3 million to $11.7 million, primarily driven by $4 million interest recognized on IEEPA tariff refund recoveries.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Other Expense (Income), Net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Consolidated other expense was $0.4 million in the first two quarters of fiscal 2026 compared to consolidated other income of $1.1 million in the first two quarters of fiscal 2025, which was primarily driven by changes in foreign currency exchange rates during the period.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Consolidated income tax provision increased $30.1 million to $37.2 million, and the effective tax rate decreased 690 bps to 23.8%. The increase in the consolidated income tax provision was driven by higher pre-tax income, while the decrease in the effective tax rate was primarily attributable to discrete tax items recognized in the prior comparable period, including incremental tax expense related to expiring stock-based compensation, which had a disproportionate impact on the effective tax rate given the lower level of pre-tax income in that period.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Net Income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Consolidated net income increased $103.3 million to $119.3 million, primarily due to the factors previously discussed.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Results by Segment - First Two Quarters of Fiscal 2026 compared to First Two Quarters of Fiscal 2025</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net sales and segment operating income, by segment, for the first two quarters of fiscal 2026 and fiscal 2025:</w:t>
      </w:r>
    </w:p>
    <w:tbl>
      <w:tblPr>
        <w:tblW w:w="10205" w:type="dxa"/>
        <w:jc w:val="center"/>
        <w:tblInd w:w="0" w:type="dxa"/>
        <w:tblLayout w:type="fixed"/>
        <w:tblCellMar>
          <w:top w:w="28" w:type="dxa"/>
          <w:left w:w="28" w:type="dxa"/>
          <w:bottom w:w="28" w:type="dxa"/>
          <w:right w:w="28" w:type="dxa"/>
        </w:tblCellMar>
      </w:tblPr>
      <w:tblGrid>
        <w:gridCol w:w="614"/>
        <w:gridCol w:w="391"/>
        <w:gridCol w:w="395"/>
        <w:gridCol w:w="196"/>
        <w:gridCol w:w="871"/>
        <w:gridCol w:w="109"/>
        <w:gridCol w:w="109"/>
        <w:gridCol w:w="109"/>
        <w:gridCol w:w="109"/>
        <w:gridCol w:w="348"/>
        <w:gridCol w:w="291"/>
        <w:gridCol w:w="685"/>
        <w:gridCol w:w="109"/>
        <w:gridCol w:w="109"/>
        <w:gridCol w:w="109"/>
        <w:gridCol w:w="196"/>
        <w:gridCol w:w="871"/>
        <w:gridCol w:w="109"/>
        <w:gridCol w:w="109"/>
        <w:gridCol w:w="109"/>
        <w:gridCol w:w="109"/>
        <w:gridCol w:w="348"/>
        <w:gridCol w:w="291"/>
        <w:gridCol w:w="685"/>
        <w:gridCol w:w="109"/>
        <w:gridCol w:w="109"/>
        <w:gridCol w:w="109"/>
        <w:gridCol w:w="196"/>
        <w:gridCol w:w="736"/>
        <w:gridCol w:w="109"/>
        <w:gridCol w:w="109"/>
        <w:gridCol w:w="109"/>
        <w:gridCol w:w="109"/>
        <w:gridCol w:w="278"/>
        <w:gridCol w:w="278"/>
        <w:gridCol w:w="573"/>
      </w:tblGrid>
      <w:tr>
        <w:trPr/>
        <w:tc>
          <w:tcPr>
            <w:tcW w:w="6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consolidated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consolidated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Retail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Wholesale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1,296,603 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1,215,139 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81,464 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operating income: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Segment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Retail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68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68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Wholesale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operating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Items not included in segment operating income: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Tariff refund recovery</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Unallocated corporate expenses</w:t>
            </w:r>
            <w:r>
              <w:rPr>
                <w:rFonts w:ascii="Times New Roman;serif" w:hAnsi="Times New Roman;serif"/>
                <w:b w:val="false"/>
                <w:color w:val="000000"/>
                <w:sz w:val="10"/>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Leadership transition costs</w:t>
            </w:r>
            <w:r>
              <w:rPr>
                <w:rFonts w:ascii="Times New Roman;serif" w:hAnsi="Times New Roman;serif"/>
                <w:b w:val="false"/>
                <w:color w:val="000000"/>
                <w:sz w:val="12"/>
              </w:rPr>
              <w:t>(3)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IP litigation costs</w:t>
            </w:r>
            <w:r>
              <w:rPr>
                <w:rFonts w:ascii="Times New Roman;serif" w:hAnsi="Times New Roman;serif"/>
                <w:b w:val="false"/>
                <w:color w:val="000000"/>
                <w:sz w:val="12"/>
              </w:rPr>
              <w:t>(4)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model improvement costs</w:t>
            </w:r>
            <w:r>
              <w:rPr>
                <w:rFonts w:ascii="Times New Roman;serif" w:hAnsi="Times New Roman;serif"/>
                <w:b w:val="false"/>
                <w:color w:val="000000"/>
                <w:sz w:val="12"/>
              </w:rPr>
              <w:t>(5)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operating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458.2 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(1)Related to $128 million of IEEPA tariff recoveries, excluding interest received, which are reflected as a reduction of Cost of goods sold in our condensed consolidated statement of operations.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(3)Related to costs associated with the retirement of Michael D. Casey, the Company’s former Chief Executive Officer, in the first quarter of fiscal 2025 and costs related to the departure of Douglas C. Palladini, the Company’s former Chief Executive Officer, in the second quarter of fiscal 2026. Amounts are reflected within Selling, general, and administrative expenses in our condensed consolidated statement of operations.</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(4)Reflects third-party legal defense costs incurred in connection with a specific intellectual property litigation matter not in the ordinary course of business described in Note 15, </w:t>
      </w:r>
      <w:r>
        <w:rPr>
          <w:rFonts w:ascii="Times New Roman;serif" w:hAnsi="Times New Roman;serif"/>
          <w:b w:val="false"/>
          <w:i/>
          <w:color w:val="000000"/>
          <w:sz w:val="16"/>
        </w:rPr>
        <w:t>Commitments and Contingencies</w:t>
      </w:r>
      <w:r>
        <w:rPr>
          <w:color w:val="000000"/>
        </w:rPr>
        <w:t xml:space="preserve"> </w:t>
      </w:r>
      <w:r>
        <w:rPr>
          <w:rFonts w:ascii="Times New Roman;serif" w:hAnsi="Times New Roman;serif"/>
          <w:b w:val="false"/>
          <w:color w:val="000000"/>
          <w:sz w:val="16"/>
        </w:rPr>
        <w:t>to the condensed consolidated financial statements. Amounts are reflected within Selling, general, and administrative expenses in our condensed consolidated statement of operations.</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(5)Primarily related to third-party consulting costs to support operating model improvements. Amounts are reflected within Selling, general, and administrative expenses in our condensed consolidated statement of operations.</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U.S. Retail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U.S. Retail segment net sales increased $42.9 million, or 7.2%, to $636.9 million. The increase in net sales was driven by higher unit volume. Unit volume increased by a mid-single digit percentage driven by higher traffic, transactions, and units per transaction in both stores and eCommerce, partially offset by the sales impact of net store closures. AUR increased by a low-single digit percentage, reflecting higher pricing, partially offset by product mix, which reflects a higher proportion of opening price point product, and increased promotional activity. Comparable net sales, including retail stores and eCommerce, increased 7.8% driven by the factors mentioned above, as well as improved average transaction size in both stores and eCommerce.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U.S. Retail segment operating income increased $7.2 million, or 118.7%, to $13.3 million, primarily due to an increase in gross profit of $11.8 million, partially offset by an increase in SG&amp;A expenses of $4.8 million. Segment operating margin increased 110 bps to 2.1%, driven by a 330 bps decrease in the SG&amp;A rate, partially offset by a 220 bps decrease in gross margin. The decrease in gross margin was driven by a high-single digit percentage increase in AUC as a result of incremental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tariff-related costs. The decrease in the SG&amp;A rate was driven by fixed cost leverage on higher net sales, reduced costs resulting from previously implemented restructuring actions, and lower distribution costs, partially offset by incremental marketing investments and inflationary pressure in retail store-related expenses.</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U.S. Wholesale</w:t>
      </w:r>
    </w:p>
    <w:p>
      <w:pPr>
        <w:pStyle w:val="TextBody"/>
        <w:bidi w:val="0"/>
        <w:spacing w:lineRule="auto" w:line="288" w:before="0" w:after="200"/>
        <w:jc w:val="left"/>
        <w:rPr/>
      </w:pPr>
      <w:r>
        <w:rPr>
          <w:rFonts w:ascii="Times New Roman;serif" w:hAnsi="Times New Roman;serif"/>
          <w:b w:val="false"/>
          <w:color w:val="000000"/>
          <w:sz w:val="20"/>
        </w:rPr>
        <w:t xml:space="preserve">U.S. Wholesale segment net sales increased $23.9 million, or 5.4%, to $467.0 million, driven by growth in our exclusive </w:t>
      </w:r>
      <w:r>
        <w:rPr>
          <w:rFonts w:ascii="Times New Roman;serif" w:hAnsi="Times New Roman;serif"/>
          <w:b w:val="false"/>
          <w:i/>
          <w:color w:val="000000"/>
          <w:sz w:val="20"/>
        </w:rPr>
        <w:t>Carter’s</w:t>
      </w:r>
      <w:r>
        <w:rPr>
          <w:color w:val="000000"/>
        </w:rPr>
        <w:t xml:space="preserve"> </w:t>
      </w:r>
      <w:r>
        <w:rPr>
          <w:rFonts w:ascii="Times New Roman;serif" w:hAnsi="Times New Roman;serif"/>
          <w:b w:val="false"/>
          <w:color w:val="000000"/>
          <w:sz w:val="20"/>
        </w:rPr>
        <w:t>brands and the earlier demand for Fall product as compared to the prior comparable period, partially offset by decreased demand with certain customers and lower sales to our off-price wholesale channel customers. AUR increased by a high-single digit percentage, primarily reflecting higher realized pricing and sales leverage. Units sold decreased by a low-single digit percentage, primarily driven by lower unit volume with certain customers and with our off-price wholesale channel customers.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U.S. Wholesale segment operating income decreased $15.8 million, or 19.2%, to $66.5 million, primarily due to a decrease in gross profit of $17.8 million, partially offset by a decrease in SG&amp;A expenses of $2.8 million. Segment operating margin decreased 440 bps to 14.2%. The drivers of the decrease in operating margin were a 530 bps decrease in gross margin, partially offset by a 130 bps decrease in SG&amp;A rate. The decrease in gross margin was driven by a high-teens percentage increase in AUC as a result of incremental tariff-related costs and investments in product make, partially offset by increased AUR and decreased sales to low-margin off-price wholesale customers. The decrease in the SG&amp;A rate was driven by fixed cost leverage on increased net sales, lower distribution costs, and lower bad debt expense, partially offset by incremental marketing investments.</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International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International segment net sales increased $14.7 million, or 8.2%, to $192.7 million, driven by growth in Mexico and Canada, partially offset by lower sales to international partners. In Mexico, net sales growth reflected higher AUR and the contribution from new retail stores. Canadian comparable net sales, including retail stores and eCommerce, increased 2.7% driven by higher unit volume and the favorable impact of foreign currency exchange rates. International segment AUR increased by a mid-single digit percentage driven by pricing and the favorable impact of foreign currency exchange rates. International segment units sold increased by a low-single digit percentage. Changes in foreign currency exchange rates used for translation had an $8.0 million favorable effect on International segment net sales.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International segment operating income increased $6.2 million, or 182.2%, to $9.6 million, primarily due to an increase in gross profit of $12.0 million, partially offset by an increase in SG&amp;A expenses of $5.7 million. Segment operating margin increased 310 bps to 5.0%, driven by a 280 bps increase in gross margin and a 40 bps decrease in the SG&amp;A rate. The increase in gross margin was driven by higher AUR and channel mix, partially offset by increased AUC. AUC increased by a low-single digit percentage due to incremental tariff-related costs. The decrease in the SG&amp;A rate was driven by fixed cost leverage on increased net sales and reduced costs resulting from previously implemented restructuring actions, partially offset by increased retail store rent and retail store employee costs.</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Unallocated Corporate Expenses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 decreased $1.9 million, or 4.2%, to $42.8 million. Unallocated corporate expenses, as a percentage of consolidated net sales, decreased 40 bps to 3.3% driven by reduced costs resulting from previously implemented restructuring actions and lower consulting costs.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RECONCILIATION OF NON-GAAP FINANCIAL MEASURES TO GAAP MEASURES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have provided non-GAAP adjusted cost of goods sold, gross profit, SG&amp;A expenses, operating income, interest income, income tax provision, net income, and diluted net income per common share measures, which exclude certain items presented below. We believe that this information provides a meaningful comparison of our results and affords investors a view of what management considers to be our core performance, and we also, from time to time, use some of these non-GAAP measures, such as adjusted operating income, as performance metrics in awards under our annual and long-term incentive compensation plans. These measures are not in accordance with, or an alternative to, generally accepted accounting principles in the U.S. (GAAP). The most comparable GAAP measures are cost of goods sold, gross profit, SG&amp;A expenses, operating income, interest income, income tax provision, net income, and diluted net income per common share, respectively. Adjusted cost of goods sold, gross profit, SG&amp;A expenses, operating income, interest income, income tax provision, net income, and diluted net income per common share should not be considered in isolation or as a substitute for analysis of our results as reported in accordance with GAAP. Other companies may calculate adjusted cost of goods sold, gross profit, SG&amp;A expenses, operating income, interest income, income tax provision, net income, and diluted net income per common share differently than we do, limiting the usefulness of the measure for comparisons with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before="0" w:after="60"/>
        <w:jc w:val="left"/>
        <w:rPr/>
      </w:pPr>
      <w:r>
        <w:rPr/>
      </w:r>
    </w:p>
    <w:tbl>
      <w:tblPr>
        <w:tblW w:w="11647" w:type="dxa"/>
        <w:jc w:val="left"/>
        <w:tblInd w:w="0" w:type="dxa"/>
        <w:tblLayout w:type="fixed"/>
        <w:tblCellMar>
          <w:top w:w="28" w:type="dxa"/>
          <w:left w:w="28" w:type="dxa"/>
          <w:bottom w:w="28" w:type="dxa"/>
          <w:right w:w="28" w:type="dxa"/>
        </w:tblCellMar>
      </w:tblPr>
      <w:tblGrid>
        <w:gridCol w:w="426"/>
        <w:gridCol w:w="229"/>
        <w:gridCol w:w="231"/>
        <w:gridCol w:w="196"/>
        <w:gridCol w:w="571"/>
        <w:gridCol w:w="109"/>
        <w:gridCol w:w="109"/>
        <w:gridCol w:w="109"/>
        <w:gridCol w:w="109"/>
        <w:gridCol w:w="109"/>
        <w:gridCol w:w="109"/>
        <w:gridCol w:w="196"/>
        <w:gridCol w:w="571"/>
        <w:gridCol w:w="109"/>
        <w:gridCol w:w="109"/>
        <w:gridCol w:w="109"/>
        <w:gridCol w:w="109"/>
        <w:gridCol w:w="109"/>
        <w:gridCol w:w="109"/>
        <w:gridCol w:w="196"/>
        <w:gridCol w:w="571"/>
        <w:gridCol w:w="109"/>
        <w:gridCol w:w="109"/>
        <w:gridCol w:w="109"/>
        <w:gridCol w:w="109"/>
        <w:gridCol w:w="109"/>
        <w:gridCol w:w="109"/>
        <w:gridCol w:w="196"/>
        <w:gridCol w:w="571"/>
        <w:gridCol w:w="109"/>
        <w:gridCol w:w="109"/>
        <w:gridCol w:w="109"/>
        <w:gridCol w:w="109"/>
        <w:gridCol w:w="240"/>
        <w:gridCol w:w="241"/>
        <w:gridCol w:w="317"/>
        <w:gridCol w:w="109"/>
        <w:gridCol w:w="109"/>
        <w:gridCol w:w="109"/>
        <w:gridCol w:w="196"/>
        <w:gridCol w:w="391"/>
        <w:gridCol w:w="109"/>
        <w:gridCol w:w="109"/>
        <w:gridCol w:w="109"/>
        <w:gridCol w:w="109"/>
        <w:gridCol w:w="196"/>
        <w:gridCol w:w="481"/>
        <w:gridCol w:w="109"/>
        <w:gridCol w:w="109"/>
        <w:gridCol w:w="109"/>
        <w:gridCol w:w="109"/>
        <w:gridCol w:w="196"/>
        <w:gridCol w:w="571"/>
        <w:gridCol w:w="109"/>
        <w:gridCol w:w="109"/>
        <w:gridCol w:w="109"/>
        <w:gridCol w:w="109"/>
        <w:gridCol w:w="196"/>
        <w:gridCol w:w="481"/>
        <w:gridCol w:w="154"/>
      </w:tblGrid>
      <w:tr>
        <w:trPr/>
        <w:tc>
          <w:tcPr>
            <w:tcW w:w="4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 July 4, 2026</w:t>
            </w:r>
          </w:p>
        </w:tc>
        <w:tc>
          <w:tcPr>
            <w:tcW w:w="3474" w:type="dxa"/>
            <w:gridSpan w:val="18"/>
            <w:tcBorders/>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 except earnings per share)</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SG&amp;A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Net Income per Common Share</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reported (GAAP)</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202.9</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412.6</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276.1</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139.8</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22.7</w:t>
            </w:r>
            <w:r>
              <w:rPr>
                <w:color w:val="000000"/>
              </w:rPr>
              <w:t> </w:t>
            </w:r>
          </w:p>
        </w:tc>
        <w:tc>
          <w:tcPr>
            <w:tcW w:w="3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31.7</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105.0</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2.87</w:t>
            </w: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Tariff refund recovery</w:t>
            </w:r>
            <w:r>
              <w:rPr>
                <w:rFonts w:ascii="Times New Roman;serif" w:hAnsi="Times New Roman;serif"/>
                <w:b w:val="false"/>
                <w:color w:val="000000"/>
                <w:sz w:val="10"/>
              </w:rPr>
              <w:t>(1)</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Leadership transition costs</w:t>
            </w:r>
            <w:r>
              <w:rPr>
                <w:rFonts w:ascii="Times New Roman;serif" w:hAnsi="Times New Roman;serif"/>
                <w:b w:val="false"/>
                <w:color w:val="000000"/>
                <w:sz w:val="10"/>
              </w:rPr>
              <w:t>(2)</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IP litigation costs</w:t>
            </w:r>
            <w:r>
              <w:rPr>
                <w:rFonts w:ascii="Times New Roman;serif" w:hAnsi="Times New Roman;serif"/>
                <w:b w:val="false"/>
                <w:color w:val="000000"/>
                <w:sz w:val="10"/>
              </w:rPr>
              <w:t>(3)</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adjusted</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330.6</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284.9</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270.2</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9.4</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0.26</w:t>
            </w:r>
            <w:r>
              <w:rPr>
                <w:color w:val="000000"/>
              </w:rPr>
              <w:t>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737" w:type="dxa"/>
        <w:jc w:val="left"/>
        <w:tblInd w:w="0" w:type="dxa"/>
        <w:tblLayout w:type="fixed"/>
        <w:tblCellMar>
          <w:top w:w="28" w:type="dxa"/>
          <w:left w:w="28" w:type="dxa"/>
          <w:bottom w:w="28" w:type="dxa"/>
          <w:right w:w="28" w:type="dxa"/>
        </w:tblCellMar>
      </w:tblPr>
      <w:tblGrid>
        <w:gridCol w:w="426"/>
        <w:gridCol w:w="229"/>
        <w:gridCol w:w="231"/>
        <w:gridCol w:w="196"/>
        <w:gridCol w:w="571"/>
        <w:gridCol w:w="109"/>
        <w:gridCol w:w="109"/>
        <w:gridCol w:w="109"/>
        <w:gridCol w:w="109"/>
        <w:gridCol w:w="109"/>
        <w:gridCol w:w="109"/>
        <w:gridCol w:w="196"/>
        <w:gridCol w:w="571"/>
        <w:gridCol w:w="109"/>
        <w:gridCol w:w="109"/>
        <w:gridCol w:w="109"/>
        <w:gridCol w:w="109"/>
        <w:gridCol w:w="109"/>
        <w:gridCol w:w="109"/>
        <w:gridCol w:w="196"/>
        <w:gridCol w:w="571"/>
        <w:gridCol w:w="109"/>
        <w:gridCol w:w="109"/>
        <w:gridCol w:w="109"/>
        <w:gridCol w:w="109"/>
        <w:gridCol w:w="109"/>
        <w:gridCol w:w="109"/>
        <w:gridCol w:w="196"/>
        <w:gridCol w:w="571"/>
        <w:gridCol w:w="109"/>
        <w:gridCol w:w="109"/>
        <w:gridCol w:w="109"/>
        <w:gridCol w:w="109"/>
        <w:gridCol w:w="240"/>
        <w:gridCol w:w="241"/>
        <w:gridCol w:w="317"/>
        <w:gridCol w:w="109"/>
        <w:gridCol w:w="109"/>
        <w:gridCol w:w="109"/>
        <w:gridCol w:w="196"/>
        <w:gridCol w:w="481"/>
        <w:gridCol w:w="109"/>
        <w:gridCol w:w="109"/>
        <w:gridCol w:w="109"/>
        <w:gridCol w:w="109"/>
        <w:gridCol w:w="196"/>
        <w:gridCol w:w="481"/>
        <w:gridCol w:w="109"/>
        <w:gridCol w:w="109"/>
        <w:gridCol w:w="109"/>
        <w:gridCol w:w="109"/>
        <w:gridCol w:w="196"/>
        <w:gridCol w:w="571"/>
        <w:gridCol w:w="109"/>
        <w:gridCol w:w="109"/>
        <w:gridCol w:w="109"/>
        <w:gridCol w:w="109"/>
        <w:gridCol w:w="196"/>
        <w:gridCol w:w="481"/>
        <w:gridCol w:w="154"/>
      </w:tblGrid>
      <w:tr>
        <w:trPr/>
        <w:tc>
          <w:tcPr>
            <w:tcW w:w="4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 July 4, 2026</w:t>
            </w:r>
          </w:p>
        </w:tc>
        <w:tc>
          <w:tcPr>
            <w:tcW w:w="3474" w:type="dxa"/>
            <w:gridSpan w:val="18"/>
            <w:tcBorders/>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 except earnings per share)</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SG&amp;A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Net Income per Common Share</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reported (GAAP)</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590.1</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706.5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546.2</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168.3</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w:t>
            </w:r>
            <w:r>
              <w:rPr>
                <w:color w:val="000000"/>
              </w:rPr>
              <w:t> </w:t>
            </w:r>
          </w:p>
        </w:tc>
        <w:tc>
          <w:tcPr>
            <w:tcW w:w="3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37.2</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119.3</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3.26</w:t>
            </w: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Tariff refund recovery</w:t>
            </w:r>
            <w:r>
              <w:rPr>
                <w:rFonts w:ascii="Times New Roman;serif" w:hAnsi="Times New Roman;serif"/>
                <w:b w:val="false"/>
                <w:color w:val="000000"/>
                <w:sz w:val="10"/>
              </w:rPr>
              <w:t>(1)</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Leadership transition costs</w:t>
            </w:r>
            <w:r>
              <w:rPr>
                <w:rFonts w:ascii="Times New Roman;serif" w:hAnsi="Times New Roman;serif"/>
                <w:b w:val="false"/>
                <w:color w:val="000000"/>
                <w:sz w:val="10"/>
              </w:rPr>
              <w:t>(2)</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IP litigation costs</w:t>
            </w:r>
            <w:r>
              <w:rPr>
                <w:rFonts w:ascii="Times New Roman;serif" w:hAnsi="Times New Roman;serif"/>
                <w:b w:val="false"/>
                <w:color w:val="000000"/>
                <w:sz w:val="10"/>
              </w:rPr>
              <w:t>(3)</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adjusted</w:t>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717.8</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578.8</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540.2</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46.5</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w:t>
            </w: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23.7</w:t>
            </w: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0.65</w:t>
            </w:r>
            <w:r>
              <w:rPr>
                <w:color w:val="000000"/>
              </w:rPr>
              <w:t>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(1)Related to $132 million of IEEPA tariff recoveries, including $4 million of interest received.</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(2)Related to the departure of Douglas C. Palladini, the Company’s former Chief Executive Officer, in the second quarter of fiscal 2026.</w:t>
      </w:r>
    </w:p>
    <w:p>
      <w:pPr>
        <w:pStyle w:val="TextBody"/>
        <w:bidi w:val="0"/>
        <w:spacing w:lineRule="auto" w:line="288" w:before="0" w:after="200"/>
        <w:ind w:left="0" w:right="0" w:hanging="360"/>
        <w:jc w:val="left"/>
        <w:rPr/>
      </w:pPr>
      <w:r>
        <w:rPr>
          <w:rFonts w:ascii="Times New Roman;serif" w:hAnsi="Times New Roman;serif"/>
          <w:b w:val="false"/>
          <w:color w:val="000000"/>
          <w:sz w:val="16"/>
        </w:rPr>
        <w:t xml:space="preserve">(3)Reflects third-party legal defense costs incurred in connection with a specific intellectual property litigation matter not in the ordinary course of business described in Note 15, </w:t>
      </w:r>
      <w:r>
        <w:rPr>
          <w:rFonts w:ascii="Times New Roman;serif" w:hAnsi="Times New Roman;serif"/>
          <w:b w:val="false"/>
          <w:i/>
          <w:color w:val="000000"/>
          <w:sz w:val="16"/>
        </w:rPr>
        <w:t>Commitments and Contingencies</w:t>
      </w:r>
      <w:r>
        <w:rPr>
          <w:color w:val="000000"/>
        </w:rPr>
        <w:t xml:space="preserve"> </w:t>
      </w:r>
      <w:r>
        <w:rPr>
          <w:rFonts w:ascii="Times New Roman;serif" w:hAnsi="Times New Roman;serif"/>
          <w:b w:val="false"/>
          <w:color w:val="000000"/>
          <w:sz w:val="16"/>
        </w:rPr>
        <w:t>to the condensed consolidated financial statements.</w:t>
      </w:r>
    </w:p>
    <w:tbl>
      <w:tblPr>
        <w:tblW w:w="11432" w:type="dxa"/>
        <w:jc w:val="left"/>
        <w:tblInd w:w="0" w:type="dxa"/>
        <w:tblLayout w:type="fixed"/>
        <w:tblCellMar>
          <w:top w:w="28" w:type="dxa"/>
          <w:left w:w="28" w:type="dxa"/>
          <w:bottom w:w="28" w:type="dxa"/>
          <w:right w:w="28" w:type="dxa"/>
        </w:tblCellMar>
      </w:tblPr>
      <w:tblGrid>
        <w:gridCol w:w="591"/>
        <w:gridCol w:w="229"/>
        <w:gridCol w:w="231"/>
        <w:gridCol w:w="196"/>
        <w:gridCol w:w="571"/>
        <w:gridCol w:w="109"/>
        <w:gridCol w:w="109"/>
        <w:gridCol w:w="109"/>
        <w:gridCol w:w="109"/>
        <w:gridCol w:w="109"/>
        <w:gridCol w:w="109"/>
        <w:gridCol w:w="196"/>
        <w:gridCol w:w="571"/>
        <w:gridCol w:w="109"/>
        <w:gridCol w:w="109"/>
        <w:gridCol w:w="109"/>
        <w:gridCol w:w="109"/>
        <w:gridCol w:w="109"/>
        <w:gridCol w:w="109"/>
        <w:gridCol w:w="196"/>
        <w:gridCol w:w="571"/>
        <w:gridCol w:w="109"/>
        <w:gridCol w:w="109"/>
        <w:gridCol w:w="109"/>
        <w:gridCol w:w="109"/>
        <w:gridCol w:w="109"/>
        <w:gridCol w:w="109"/>
        <w:gridCol w:w="213"/>
        <w:gridCol w:w="523"/>
        <w:gridCol w:w="120"/>
        <w:gridCol w:w="109"/>
        <w:gridCol w:w="109"/>
        <w:gridCol w:w="109"/>
        <w:gridCol w:w="217"/>
        <w:gridCol w:w="174"/>
        <w:gridCol w:w="317"/>
        <w:gridCol w:w="109"/>
        <w:gridCol w:w="109"/>
        <w:gridCol w:w="109"/>
        <w:gridCol w:w="196"/>
        <w:gridCol w:w="391"/>
        <w:gridCol w:w="109"/>
        <w:gridCol w:w="109"/>
        <w:gridCol w:w="109"/>
        <w:gridCol w:w="109"/>
        <w:gridCol w:w="196"/>
        <w:gridCol w:w="391"/>
        <w:gridCol w:w="109"/>
        <w:gridCol w:w="109"/>
        <w:gridCol w:w="109"/>
        <w:gridCol w:w="109"/>
        <w:gridCol w:w="196"/>
        <w:gridCol w:w="391"/>
        <w:gridCol w:w="109"/>
        <w:gridCol w:w="109"/>
        <w:gridCol w:w="109"/>
        <w:gridCol w:w="109"/>
        <w:gridCol w:w="196"/>
        <w:gridCol w:w="481"/>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quarter ended June 28, 2025</w:t>
            </w:r>
          </w:p>
        </w:tc>
        <w:tc>
          <w:tcPr>
            <w:tcW w:w="3204" w:type="dxa"/>
            <w:gridSpan w:val="18"/>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 except earnings per share)</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SG&amp;A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Net Income per Common Share</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reported (GAAP)</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303.6</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281.8</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281.0</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w:t>
            </w:r>
            <w:r>
              <w:rPr>
                <w:color w:val="000000"/>
              </w:rPr>
              <w:t>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0.7</w:t>
            </w:r>
            <w:r>
              <w:rPr>
                <w:color w:val="000000"/>
              </w:rPr>
              <w:t> </w:t>
            </w:r>
          </w:p>
        </w:tc>
        <w:tc>
          <w:tcPr>
            <w:tcW w:w="3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0.4</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0.01</w:t>
            </w: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Operating model improvement costs</w:t>
            </w:r>
            <w:r>
              <w:rPr>
                <w:rFonts w:ascii="Times New Roman;serif" w:hAnsi="Times New Roman;serif"/>
                <w:b w:val="false"/>
                <w:color w:val="000000"/>
                <w:sz w:val="10"/>
              </w:rPr>
              <w:t>(1)</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Leadership transition costs</w:t>
            </w:r>
            <w:r>
              <w:rPr>
                <w:rFonts w:ascii="Times New Roman;serif" w:hAnsi="Times New Roman;serif"/>
                <w:b w:val="false"/>
                <w:color w:val="000000"/>
                <w:sz w:val="10"/>
              </w:rPr>
              <w:t>(2)</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adjusted</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303.6</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281.8</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273.3</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1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0.17</w:t>
            </w:r>
            <w:r>
              <w:rPr>
                <w:color w:val="000000"/>
              </w:rPr>
              <w:t>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1612" w:type="dxa"/>
        <w:jc w:val="left"/>
        <w:tblInd w:w="0" w:type="dxa"/>
        <w:tblLayout w:type="fixed"/>
        <w:tblCellMar>
          <w:top w:w="28" w:type="dxa"/>
          <w:left w:w="28" w:type="dxa"/>
          <w:bottom w:w="28" w:type="dxa"/>
          <w:right w:w="28" w:type="dxa"/>
        </w:tblCellMar>
      </w:tblPr>
      <w:tblGrid>
        <w:gridCol w:w="591"/>
        <w:gridCol w:w="229"/>
        <w:gridCol w:w="231"/>
        <w:gridCol w:w="196"/>
        <w:gridCol w:w="571"/>
        <w:gridCol w:w="109"/>
        <w:gridCol w:w="109"/>
        <w:gridCol w:w="109"/>
        <w:gridCol w:w="109"/>
        <w:gridCol w:w="109"/>
        <w:gridCol w:w="109"/>
        <w:gridCol w:w="196"/>
        <w:gridCol w:w="571"/>
        <w:gridCol w:w="109"/>
        <w:gridCol w:w="109"/>
        <w:gridCol w:w="109"/>
        <w:gridCol w:w="109"/>
        <w:gridCol w:w="109"/>
        <w:gridCol w:w="109"/>
        <w:gridCol w:w="196"/>
        <w:gridCol w:w="571"/>
        <w:gridCol w:w="109"/>
        <w:gridCol w:w="109"/>
        <w:gridCol w:w="109"/>
        <w:gridCol w:w="109"/>
        <w:gridCol w:w="109"/>
        <w:gridCol w:w="109"/>
        <w:gridCol w:w="213"/>
        <w:gridCol w:w="523"/>
        <w:gridCol w:w="120"/>
        <w:gridCol w:w="109"/>
        <w:gridCol w:w="109"/>
        <w:gridCol w:w="109"/>
        <w:gridCol w:w="217"/>
        <w:gridCol w:w="174"/>
        <w:gridCol w:w="317"/>
        <w:gridCol w:w="109"/>
        <w:gridCol w:w="109"/>
        <w:gridCol w:w="109"/>
        <w:gridCol w:w="196"/>
        <w:gridCol w:w="391"/>
        <w:gridCol w:w="109"/>
        <w:gridCol w:w="109"/>
        <w:gridCol w:w="109"/>
        <w:gridCol w:w="109"/>
        <w:gridCol w:w="196"/>
        <w:gridCol w:w="481"/>
        <w:gridCol w:w="109"/>
        <w:gridCol w:w="109"/>
        <w:gridCol w:w="109"/>
        <w:gridCol w:w="109"/>
        <w:gridCol w:w="196"/>
        <w:gridCol w:w="481"/>
        <w:gridCol w:w="109"/>
        <w:gridCol w:w="109"/>
        <w:gridCol w:w="109"/>
        <w:gridCol w:w="109"/>
        <w:gridCol w:w="196"/>
        <w:gridCol w:w="481"/>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Two fiscal quarters ended June 28, 2025</w:t>
            </w:r>
          </w:p>
        </w:tc>
        <w:tc>
          <w:tcPr>
            <w:tcW w:w="3384" w:type="dxa"/>
            <w:gridSpan w:val="18"/>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 except earnings per share)</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SG&amp;A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Diluted Net Income per Common Share</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reported (GAAP)</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642.3</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572.9</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551.3</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30.1</w:t>
            </w:r>
            <w:r>
              <w:rPr>
                <w:color w:val="000000"/>
              </w:rPr>
              <w:t>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w:t>
            </w:r>
            <w:r>
              <w:rPr>
                <w:color w:val="000000"/>
              </w:rPr>
              <w:t> </w:t>
            </w:r>
          </w:p>
        </w:tc>
        <w:tc>
          <w:tcPr>
            <w:tcW w:w="3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16.0</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0.43</w:t>
            </w: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Operating model improvement costs</w:t>
            </w:r>
            <w:r>
              <w:rPr>
                <w:rFonts w:ascii="Times New Roman;serif" w:hAnsi="Times New Roman;serif"/>
                <w:b w:val="false"/>
                <w:color w:val="000000"/>
                <w:sz w:val="10"/>
              </w:rPr>
              <w:t>(1)</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Leadership transition costs</w:t>
            </w:r>
            <w:r>
              <w:rPr>
                <w:rFonts w:ascii="Times New Roman;serif" w:hAnsi="Times New Roman;serif"/>
                <w:b w:val="false"/>
                <w:color w:val="000000"/>
                <w:sz w:val="10"/>
              </w:rPr>
              <w:t>(2)</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adjusted</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642.3</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572.9</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534.3</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47.1</w:t>
            </w:r>
            <w:r>
              <w:rPr>
                <w:color w:val="000000"/>
              </w:rPr>
              <w:t> </w:t>
            </w:r>
          </w:p>
        </w:tc>
        <w:tc>
          <w:tcPr>
            <w:tcW w:w="1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10.0</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30.1</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0.83</w:t>
            </w:r>
            <w:r>
              <w:rPr>
                <w:color w:val="000000"/>
              </w:rPr>
              <w:t>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(1)Primarily related to third-party consulting costs to support operating model improvements.</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(2)Related to costs associated with the retirement of Michael D. Casey, the Company’s former Chief Executive Officer, in the first quarter of fiscal 2025.</w:t>
      </w:r>
    </w:p>
    <w:p>
      <w:pPr>
        <w:pStyle w:val="TextBody"/>
        <w:bidi w:val="0"/>
        <w:spacing w:lineRule="auto" w:line="288" w:before="0" w:after="60"/>
        <w:jc w:val="left"/>
        <w:rPr>
          <w:rFonts w:ascii="Times New Roman;serif" w:hAnsi="Times New Roman;serif"/>
          <w:b w:val="false"/>
          <w:i/>
          <w:color w:val="000000"/>
          <w:sz w:val="16"/>
        </w:rPr>
      </w:pPr>
      <w:r>
        <w:rPr>
          <w:rFonts w:ascii="Times New Roman;serif" w:hAnsi="Times New Roman;serif"/>
          <w:b w:val="false"/>
          <w:i/>
          <w:color w:val="000000"/>
          <w:sz w:val="16"/>
        </w:rPr>
        <w:t>Note: Results may not be additive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ongoing cash needs are primarily for working capital (consisting primarily of inventory), capital expenditures, employee compensation, interest on debt, the return of capital to our shareholders, and other general corporate purposes. We expect that our primary sources of liquidity will be cash and cash equivalents on hand, cash flow from operations, and available borrowing capacity under our secured asset-based revolving credit facility. We believe that our sources of liquidity are sufficient to meet our cash requirements for at least the next twelve months. However, these sources of liquidity may be affected by events described in the “Forward-Looking Statements” section of this Form 10-Q, including, but not limited to, our risk factors discussed under the heading “Risk Factors” in Part II, Item 1A. of this Quarterly Report on Form 10-Q, the risk factors discussed under the heading “Risk Factors” in our most recently filed Annual Report on Form 10-K, and in other reports filed with the Securities and Exchange Commission from time to time.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discussed under the heading “Known or Anticipated Trends” in our most recently filed Annual Report on Form 10-K, the impacts of new tariffs and other trade measures have had and may continue to have an adverse impact on our cost structure and supply chain, which may impact our working capital needs in the near term. While recent developments, including a decision by the U.S. Supreme Court that invalidated certain incremental tariffs, may affect our future exposure to these tariffs, the trade policy environment remains dynamic and the ultimate impacts are uncertain. We continue to evaluate and mitigate these impacts and may experience volatility in cash flows in the near term. However, we believe our sources of liquidity, including cash and available borrowing capacity under our secured asset-based revolving credit facility, will be sufficient to manage these developments.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July 4, 2026, we had $653.6 million of cash and cash equivalents held at major financial institutions, including $67.9 million held at financial institutions located outside of the United States. We do not expect any material restrictions on our ability to access or use cash held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 as having acceptable risk profiles.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Balance Sheet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Net accounts receivable at July 4, 2026 were $167.9 million compared to $140.4 million at June 28, 2025 and $178.6 million at January 3, 2026. The increase of $27.5 million, or 19.6%, at July 4, 2026 compared to June 28, 2025 primarily reflects the timing of wholesale customer shipments. Due to the seasonal nature of our operations, the net accounts receivable balance at July 4, 2026 is not comparable to the net accounts receivable balance at January 3, 2026.</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Inventories at July 4, 2026 were $577.7 million compared to $619.1 million at June 28, 2025 and $544.6 million at January 3, 2026. The decrease of $41.3 million, or 6.7%, at July 4, 2026 compared to June 28, 2025 was driven by lower days of supply and the timing of inbound inventory receipts, partially offset by increased product costs. Due to the seasonal nature of our operations, the inventory balance at July 4, 2026 is not comparable to the inventory balance at January 3, 2026.</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at July 4, 2026 were $73.4 million compared to $60.6 million at June 28, 2025 and $60.5 million at January 3, 2026. The increase of $12.7 million, or 21.0%, at July 4, 2026 compared to June 28, 2025 was driven by the reclassification of Rabbi Trust assets from long-term to current to align with the anticipated settlement of associated deferred compensation liabilities in fiscal 2026.</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Accounts payable at July 4, 2026 were $323.6 million compared to $306.4 million at June 28, 2025 and $235.7 million at January 3, 2026. The increase of $17.2 million, or 5.6%, at July 4, 2026 compared to June 28, 2025 was driven by the timing of vendor payments. Due to the seasonal nature of our operations, the accounts payable balance at July 4, 2026 is not comparable to the accounts payable balance at January 3, 2026.</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Other current liabilities at July 4, 2026 were $139.9 million compared to $95.3 million at June 28, 2025 and $133.8 million at January 3, 2026. The increase of $44.6 million, or 46.8%, at July 4, 2026 compared to June 28, 2025 was primarily driven by additional income taxes accrued for the receipt of IEEPA tariff refunds, the timing of interest payments on long-term debt, and the reclassification of deferred compensation liabilities from long-term to current to reflect the anticipated settlement of plan participant balances.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Other long-term liabilities at July 4, 2026 were $14.2 million compared to $33.4 million at June 28, 2025 and $19.4 million at January 3, 2026. The decrease of $19.2 million, or 57.6%, at July 4, 2026 compared to June 28, 2025 was primarily driven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reclassification of deferred compensation liabilities from long-term to current to reflect the anticipated settlement of plan participant balances.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Cash Flow</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Net Cash Provided by (Used in) Operating Activities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$202.3 million for the first two quarters of fiscal 2026 compared to net cash used in operating activities of $8.3 million in the first two quarters of fiscal 2025. Our cash flow provided by operating activities is driven by net income and changes in our working capital. The increase in operating cash flow was primarily driven by $132 million in IEEPA tariff refund recoveries, including interest, lower days of supply and the timing of inbound inventory receipts, and favorable timing of interest payments on our senior notes as compared to the prior period. The income taxes associated with the tariff refund recoveries are expected to be paid in the third quarter of fiscal 2026.</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 xml:space="preserve">Net Cash Used in Investing Activities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$12.8 million for the first two quarters of fiscal 2026 compared to $26.5 million in the first two quarters of fiscal 2025. The decrease in net cash used in investing activities was driven by decreased capital expenditures. Capital expenditures in the first two quarters of fiscal 2026 were driven by U.S. and international retail store openings and remodels and investments in our distribution facilities. We plan to invest approximately $50 million in capital expenditures in fiscal 2026, primarily for our distribution facilities and strategic information technology initiatives.</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Net Cash Used in Financing Activities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$21.4 million in the first two quarters of fiscal 2026 compared to $42.8 million in the first two quarters of fiscal 2025. This change in cash flow from financing activities was primarily driven by lower cash dividends distributed to shareholders during the period.</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Share Repurchases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did not repurchase and retire any shares of its common stock through open market transactions during the first two quarters of fiscal 2026 and 2025. The total remaining capacity under outstanding repurchase authorizations as of July 4, 2026 was approximately $599.0 million, based on settled repurchase transactions. The share repurchase authorizations have no expiration dates.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Future repurchases may occur from time to time in the open market, in privately negotiated transactions, or otherwise. The timing and amount of any repurchases will be at the discretion of the Company subject to restrictions under the Company’s secured asset-based revolving credit facility and considerations given to market conditions, stock price, other investment priorities, excise taxes, and other factors.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each of the first two quarters of fiscal 2026, the Company’s Board declared, and the Company paid, a cash dividend per common share of $0.25 (for an aggregate cash dividend per common share of $0.50 for the first two quarters of fiscal 2026). Additionally, in the first and second quarters of fiscal 2025, the Board declared, and the Company paid, a cash dividend per common share of $0.80 and $0.25, respectively (for an aggregate cash dividend per common share of $1.05 for the first two quarters of fiscal 2025). Our Board will evaluate future dividend declarations based on a number of factors, including restrictions under our secured asset-based revolving credit facility (“ABL facility”), business conditions, our financial performance, and other considerations.</w:t>
      </w:r>
    </w:p>
    <w:p>
      <w:pPr>
        <w:pStyle w:val="TextBody"/>
        <w:bidi w:val="0"/>
        <w:spacing w:lineRule="auto" w:line="288" w:before="0" w:after="200"/>
        <w:jc w:val="left"/>
        <w:rPr/>
      </w:pPr>
      <w:r>
        <w:rPr>
          <w:rFonts w:ascii="Times New Roman;serif" w:hAnsi="Times New Roman;serif"/>
          <w:b w:val="false"/>
          <w:color w:val="000000"/>
          <w:sz w:val="20"/>
        </w:rPr>
        <w:t xml:space="preserve">Provisions in our ABL facility could have the effect of restricting our ability to pay cash dividends on, or make future repurchases of, our common stock, as further described in Note 6, </w:t>
      </w:r>
      <w:r>
        <w:rPr>
          <w:rFonts w:ascii="Times New Roman;serif" w:hAnsi="Times New Roman;serif"/>
          <w:b w:val="false"/>
          <w:i/>
          <w:color w:val="000000"/>
          <w:sz w:val="20"/>
        </w:rPr>
        <w:t>Long-term Debt</w:t>
      </w:r>
      <w:r>
        <w:rPr>
          <w:rFonts w:ascii="Times New Roman;serif" w:hAnsi="Times New Roman;serif"/>
          <w:b w:val="false"/>
          <w:color w:val="000000"/>
          <w:sz w:val="20"/>
        </w:rPr>
        <w:t>, to the condensed consolidated financial statements</w:t>
      </w:r>
      <w:r>
        <w:rPr>
          <w:rFonts w:ascii="Times New Roman;serif" w:hAnsi="Times New Roman;serif"/>
          <w:b w:val="false"/>
          <w:i/>
          <w:color w:val="000000"/>
          <w:sz w:val="20"/>
        </w:rPr>
        <w:t>.</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Financing Activities</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Secured Revolving Credit Facility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4, 2026 and January 3, 2026, we had no outstanding borrowings under our ABL facility, exclusive of $5.8 million and $6.3 million of outstanding letters of credit, respectively. As of June 28, 2025, we had no outstanding borrowings under our secured cash-flow-based revolving credit facility, exclusive of $6.9 million of outstanding letters of credit. As of July 4, 2026, January 3, 2026, and June 28, 2025, there was approximately $568.6 million, $743.7 million, and $843.1 million available for future borrowing, respectively. Any outstanding borrowings under our ABL facility and secured cash-flow-based revolving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credit facility are classified as non-current liabilities on our condensed consolidated balance sheets due to contractual repayment terms under the credit facility. However, these repayment terms also allow us to repay some or all of the outstanding borrowings at any time.</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ABL Facility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November 17, 2025, the Company, through its wholly owned subsidiary, The William Carter Company (“TWCC”), entered into a new five-year ABL facility of up to $750.0 million. The ABL facility replaced the Company’s existing $850.0 million secured cash-flow-based revolving credit facility due April 2027. Borrowings under the ABL facility will mature, and lending commitments thereunder will terminate, in November 2030.</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ABL facility contains various covenants, including those that restrict the Company’s ability and the ability of its restricted subsidiaries to incur certain indebtedness, pay dividends or make distributions or other restricted payments, or to grant certain liens on their respective property or assets, among other things. The ABL facility also includes a springing financial covenant, consisting of, if the excess availability falls below certain thresholds, a fixed charge coverage ratio not to be less than 1.00 to 1.00.</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availability under the ABL facility was $568.6 million and $743.7 million as of July 4, 2026 and January 3, 2026, respectively. Availability is determined using borrowing base calculations of eligible inventory, accounts receivable, and intellectual property balances, less availability reserves, current outstanding borrowings under the ABL facility, and outstanding letters of credit. Availability may fluctuate throughout the year principally based on changes in eligible inventory and accounts receivable balances. As of July 4, 2026, the borrowing rate for a term Secured Overnight Financing Rate (“SOFR”) loan would have been 4.92%, which includes an excess availability-based adjustment of 1.25%.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July 4, 2026, the Company was in compliance with its covenants and requirements under the ABL facility.</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July 4, 2026, the Company had $575.0 million principal amount of senior notes outstanding, bearing interest at a rate of 7.375% per annum, and maturing on February 15, 2031. On our condensed consolidated balance sheets, the $575.0 million of outstanding senior notes as of July 4, 2026 is reported net of $7.2 million of unamortized debt issuance-related costs.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November 13, 2025, TWCC issued the $575.0 million principal amount of senior notes due 2031. TWCC received net proceeds from the offering of the senior notes of approximately $567.0 million, after deducting underwriting fees and other expenses, which TWCC used to redeem the senior notes discussed below and for other general corporate purposes. Approximately $8.0 million, including both bank fees and other third-party expenses, was capitalized in connection with the issuance and is being amortized over the term of the senior notes.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November 27, 2025, TWCC redeemed $500.0 million principal amount of senior notes, bearing interest at a rate of 5.625% per annum, and originally maturing on March 15, 2027. Pursuant to the optional redemption provisions described in the indenture dated as of March 14, 2019, TWCC paid the outstanding principal plus accrued and unpaid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upon our condensed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Our critical accounting policies and estimates are described under the heading “Critical Accounting Policies and Estimates” in Item 7 of our most recent Annual Report on Form 10-K for the 2025 fiscal year ended January 3, 2026. Our critical accounting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(Continued)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other indefinite-lived intangible assets,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Goodwill and Indefinite-lived Intangible Assets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the fourth quarter of fiscal 2025, the Company performed an annual quantitative impairment test on the goodwill ascribed to each of the Company’s reporting units and on the value of its indefinite-lived intangible tradename assets as of January 3, 2026. The assumptions used in the quantitative impairment test of the goodwill of our reporting units include projected revenue growth and profitability, terminal growth rates, discount rates, market multiples, and applicable control premiums. The assumptions used in the quantitative impairment test of our indefinite-lived intangible tradename assets include projected revenue growth and profitability, terminal growth rates, discount rates, and royalty rates.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Based upon this assessment, there were no impairments on the value of goodwill or indefinite-lived intangible tradename assets. The annual assessment indicated that the fair value of assets for the U.S. Wholesale, U.S. Retail, and Other International reporting units exceeded its carrying values by at least 25%. The fair value of assets for the Canada reporting unit exceeded its carrying value by approximately 8%. The assessment indicated that the fair value of our indefinite-lived tradename assets exceeded the carrying values by at least 35%.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Sensitivity tests on the Canada reporting unit showed that a 100 bps increase in the discount rate, a 50 bps decrease in the long-term revenue growth rate, a 250 bps decrease in revenue growth rates, or a 50 bps decrease in operating margins would not change the conclusion and would not result in an impairment charge.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believes that the assumptions used in the impairment tests are reasonable and supportable as of July 4, 2026, and therefore, there were no impairment charges recorded in the second or first two quarters of fiscal 2026. As of July 4, 2026, the carrying value of the goodwill ascribed to the Canada reporting unit was $37.3 million.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degree of uncertainty associated with the assumptions used in our impairment tests is elevated in the current macroeconomic environment due to evolving trade policies. The Company continues to monitor these macroeconomic conditions, including the potential impacts from new tariffs or trade restrictions, which could adversely affect the financial performance of our reporting units and indefinite-lived intangible tradename assets. Should these conditions lead to a significant decline in projected financial results, there could be impairment charges to these assets mentioned above, to the goodwill ascribed to our other reporting units, or to our other indefinite-lived intangible tradename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Currency and Interest Rate Risks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the operation of our business, we have market risk exposures including those related to foreign currency risk and interest rates. These risks, and our strategies to manage our exposure to them, are discussed below.</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Currency Risk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contract to purchase product from third parties, primarily in Asia. While these contracts are stated in U.S. dollars, there can be no assurance that the cost for the future production of our products will not be affected by exchange rate fluctuations between the U.S. dollar and the local currencies of these contracted manufacturers. Due to the number of currencies involved, we cannot quantify the potential impact that future currency fluctuations may have on our results of operations in future periods.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The resulting translation adjustments are recorded as a component of Accumulated other comprehensive loss.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Our foreign subsidiaries typically record sales denominated in currencies other than the U.S. dollar, which are then translated into U.S. dollars using weighted-average exchange rates. The changes in foreign currency exchange rates used for translation in the second quarter of fiscal 2026, compared to the second quarter of fiscal 2025, had a $2.4 million favorable effect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ind w:left="0" w:right="0" w:hanging="810"/>
        <w:jc w:val="left"/>
        <w:rPr/>
      </w:pPr>
      <w:r>
        <w:rPr/>
      </w:r>
    </w:p>
    <w:p>
      <w:pPr>
        <w:pStyle w:val="TextBody"/>
        <w:bidi w:val="0"/>
        <w:spacing w:lineRule="auto" w:line="288" w:before="0" w:after="100"/>
        <w:ind w:left="0" w:right="0" w:hanging="81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 (Continued)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consolidated net sales. Changes in foreign currency exchange rates used for translation in the first two quarters of fiscal 2026, compared to the first two quarters of fiscal 2025, had an $8.0 million favorable effect on our consolidated net sales.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condensed consolidated statement of operations, these gains and losses are recorded within Other expense (income), net. Foreign currency transaction gains and losses related to intercompany loans with foreign subsidiaries that are of a long-term nature are accounted for as translation adjustments and are included in Accumulated other comprehensive loss.</w:t>
      </w:r>
    </w:p>
    <w:p>
      <w:pPr>
        <w:pStyle w:val="TextBody"/>
        <w:bidi w:val="0"/>
        <w:spacing w:lineRule="auto" w:line="288" w:before="0" w:after="10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operating results are subject to risk from interest rate fluctuations on our ABL facility, which carries variable interest rates. As of July 4, 2026, there were no variable rate borrowings outstanding under the ABL facility. As a result, the impact of a hypothetical 100 bps increase in the effective interest rate would not result in a material amount of additional interest expense over a 12-month period.</w:t>
      </w:r>
    </w:p>
    <w:p>
      <w:pPr>
        <w:pStyle w:val="TextBody"/>
        <w:bidi w:val="0"/>
        <w:spacing w:lineRule="auto" w:line="288" w:before="0" w:after="100"/>
        <w:jc w:val="left"/>
        <w:rPr>
          <w:rFonts w:ascii="Times New Roman;serif" w:hAnsi="Times New Roman;serif"/>
          <w:b/>
          <w:i/>
          <w:color w:val="000000"/>
          <w:sz w:val="20"/>
        </w:rPr>
      </w:pPr>
      <w:r>
        <w:rPr>
          <w:rFonts w:ascii="Times New Roman;serif" w:hAnsi="Times New Roman;serif"/>
          <w:b/>
          <w:i/>
          <w:color w:val="000000"/>
          <w:sz w:val="20"/>
        </w:rPr>
        <w:t>Other Risks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enter into various purchase order commitments with our suppliers. We can cancel these arrangements, although in some instances we may be subject to a termination charge reflecting a percentage of work performed prior to cancellation.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officer and principal financial officer have evaluated the effectiveness of the design and operation of our disclosure controls and procedures (as defined under Rules 13a-15(e) and 15d-15(e) promulgated under the Securities Exchange Act of 1934, as amended (the “Exchange Act”)) as of the end of the period covered by this Quarterly Report on Form 10-Q. Based upon that evaluation, our principal executive officer and principal financial officer have concluded that our disclosure controls and procedures are effective as of July 4, 2026.</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principal executive officer and principal financial officer also conducted an evaluation of the Company’s internal control over financial reporting (“Internal Control”) to determine whether any changes in Internal Control occurred during the fiscal quarter ended July 4, 2026 that have materially affected, or which are reasonably likely to materially affect, Internal Control.</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that materially affected, or were reasonably likely to materially affect, such control over financial reporting during the fiscal quarter ended July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Except as set forth below, there have been no material changes to the risk factors described in our Form 10-K for the 2025 fiscal year ended January 3, 2026.</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Our business could be negatively impacted by political and economic risks, including from the conflict between the United States, Israel, and Iran and related geopolitical instability, that we are exposed to as a result of our global operations.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We are subject to general political and economic risks in connection with our global operations, including political instability (both in the United States and globally, including the ongoing conflict between Russia and Ukraine and the related economic and retaliatory measures), frequent hostilities between Israel and Hamas, persistent conflict in the Red Sea region, terrorist attacks, and changes in diplomatic and trade relationships, any of which may have a significant adverse effect on our business, financial condition, and results of operations. Economic uncertainty in the United States and abroad has led to growing concerns about the systemic impact of rising energy costs, geopolitical issues, or the availability and cost of credit and higher interest rates, which could further lead to increased market volatility, decreased consumer confidence, and diminished growth expectations in the U.S. economy and abroad. As our customers react to global economic conditions, we have seen and may see customers reduce spending on our products and take additional precautionary measures to limit or delay expenditures and preserve capital and liquidity, thereby adversely affecting our customers’ ability or willingness to purchase our products.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addition, in late February 2026, the United States and Israel launched coordinated military strikes against Iran, which retaliated with missile attacks across the region. Although we do not have material operations in the Middle East, the ongoing conflict and any further escalation, including additional military actions, retaliatory measures, sanctions, disruptions to trade or transportation routes, cyberattacks, or other governmental or market responses, has caused, and could continue to cause, significant disruptions of global energy supplies and increases in global energy prices, heightened inflationary pressures on our input costs and supply chain, negative effects on global supply chains, energy markets, commodity prices, currency exchange rates, financial markets and overall macroeconomic conditions, and adversely impact customer spending patterns in markets in which we operate. While we expect the impacts of conflict between the United States, Israel, and Iran to continue to have an effect on our business, financial condition, and results of operations, we are unable to predict the extent or nature of these impacts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Share Repurchases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share repurchases during the second quarter of fiscal 2026:</w:t>
      </w:r>
    </w:p>
    <w:tbl>
      <w:tblPr>
        <w:tblW w:w="10205" w:type="dxa"/>
        <w:jc w:val="center"/>
        <w:tblInd w:w="0" w:type="dxa"/>
        <w:tblLayout w:type="fixed"/>
        <w:tblCellMar>
          <w:top w:w="28" w:type="dxa"/>
          <w:left w:w="28" w:type="dxa"/>
          <w:bottom w:w="28" w:type="dxa"/>
          <w:right w:w="28" w:type="dxa"/>
        </w:tblCellMar>
      </w:tblPr>
      <w:tblGrid>
        <w:gridCol w:w="415"/>
        <w:gridCol w:w="365"/>
        <w:gridCol w:w="369"/>
        <w:gridCol w:w="109"/>
        <w:gridCol w:w="109"/>
        <w:gridCol w:w="109"/>
        <w:gridCol w:w="473"/>
        <w:gridCol w:w="473"/>
        <w:gridCol w:w="474"/>
        <w:gridCol w:w="109"/>
        <w:gridCol w:w="109"/>
        <w:gridCol w:w="109"/>
        <w:gridCol w:w="273"/>
        <w:gridCol w:w="776"/>
        <w:gridCol w:w="152"/>
        <w:gridCol w:w="109"/>
        <w:gridCol w:w="109"/>
        <w:gridCol w:w="109"/>
        <w:gridCol w:w="772"/>
        <w:gridCol w:w="772"/>
        <w:gridCol w:w="774"/>
        <w:gridCol w:w="109"/>
        <w:gridCol w:w="109"/>
        <w:gridCol w:w="109"/>
        <w:gridCol w:w="392"/>
        <w:gridCol w:w="2103"/>
        <w:gridCol w:w="314"/>
      </w:tblGrid>
      <w:tr>
        <w:trPr/>
        <w:tc>
          <w:tcPr>
            <w:tcW w:w="4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76" w:before="0" w:after="60"/>
              <w:jc w:val="center"/>
              <w:rPr/>
            </w:pPr>
            <w:r>
              <w:rPr>
                <w:rFonts w:ascii="Times New Roman;serif" w:hAnsi="Times New Roman;serif"/>
                <w:b/>
                <w:color w:val="000000"/>
                <w:sz w:val="18"/>
              </w:rPr>
              <w:t>Total number of shares purchased</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Total number of shares purchased as part of publicly announced plans or programs</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Approximate dollar value of shares that may yet be purchased under the plans or programs</w:t>
            </w:r>
            <w:r>
              <w:rPr>
                <w:rFonts w:ascii="Times New Roman;serif" w:hAnsi="Times New Roman;serif"/>
                <w:b/>
                <w:color w:val="000000"/>
                <w:sz w:val="12"/>
              </w:rPr>
              <w:t>(3)</w:t>
            </w:r>
          </w:p>
        </w:tc>
      </w:tr>
      <w:tr>
        <w:trPr/>
        <w:tc>
          <w:tcPr>
            <w:tcW w:w="11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5, 2026 through May 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598,966,271 </w:t>
            </w:r>
          </w:p>
        </w:tc>
        <w:tc>
          <w:tcPr>
            <w:tcW w:w="3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3, 2026 through 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598,966,271 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31, 2026 through July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598,966,271 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1,913 </w:t>
            </w:r>
          </w:p>
        </w:tc>
        <w:tc>
          <w:tcPr>
            <w:tcW w:w="4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(1)All the shares purchased represent shares of our common stock surrendered by our employees to satisfy required tax withholding upon the vesting of restricted stock awards between May 3, 2026 and May 30, 2026.</w:t>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(2)The Company did not repurchase shares in open market transactions during the second quarter of fiscal 2026. Refer to the open market repurchases as disclosed in Note 7, </w:t>
      </w:r>
      <w:r>
        <w:rPr>
          <w:rFonts w:ascii="Times New Roman;serif" w:hAnsi="Times New Roman;serif"/>
          <w:b w:val="false"/>
          <w:i/>
          <w:color w:val="000000"/>
          <w:sz w:val="16"/>
        </w:rPr>
        <w:t>Common Stock</w:t>
      </w:r>
      <w:r>
        <w:rPr>
          <w:rFonts w:ascii="Times New Roman;serif" w:hAnsi="Times New Roman;serif"/>
          <w:b w:val="false"/>
          <w:color w:val="000000"/>
          <w:sz w:val="16"/>
        </w:rPr>
        <w:t>, to our accompanying unaudited condensed consolidated financial statements included in Part I, Item 1 of this Quarterly Report on Form 10-Q.</w:t>
      </w:r>
    </w:p>
    <w:p>
      <w:pPr>
        <w:pStyle w:val="TextBody"/>
        <w:bidi w:val="0"/>
        <w:spacing w:lineRule="auto" w:line="288" w:before="0" w:after="2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(3)Under share repurchase authorizations approved by our Board of Directors. The share repurchase authorizations have no expiration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Securities Trading Plans of Directors and Executive Officers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During the fiscal quarter ended July 4, 2026, none of the Company’s directors or officers, as defined in Section 16 of the Exchange Act, adopted or terminated any contract, instruction or written plan for the purchase or sale of Company securities that was intended to satisfy the affirmative defense conditions of Rule 10b5-1(c) or any “non-Rule 10b5-1 trading arrangement” as defined under Item 408(a) of Regulation S-K.</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100" w:after="283"/>
        <w:jc w:val="left"/>
        <w:rPr/>
      </w:pPr>
      <w:r>
        <w:rPr/>
      </w:r>
    </w:p>
    <w:tbl>
      <w:tblPr>
        <w:tblW w:w="10205" w:type="dxa"/>
        <w:jc w:val="center"/>
        <w:tblInd w:w="0" w:type="dxa"/>
        <w:tblLayout w:type="fixed"/>
        <w:tblCellMar>
          <w:top w:w="28" w:type="dxa"/>
          <w:left w:w="28" w:type="dxa"/>
          <w:bottom w:w="28" w:type="dxa"/>
          <w:right w:w="28" w:type="dxa"/>
        </w:tblCellMar>
      </w:tblPr>
      <w:tblGrid>
        <w:gridCol w:w="329"/>
        <w:gridCol w:w="289"/>
        <w:gridCol w:w="291"/>
        <w:gridCol w:w="109"/>
        <w:gridCol w:w="109"/>
        <w:gridCol w:w="109"/>
        <w:gridCol w:w="1466"/>
        <w:gridCol w:w="1326"/>
        <w:gridCol w:w="1314"/>
        <w:gridCol w:w="109"/>
        <w:gridCol w:w="109"/>
        <w:gridCol w:w="109"/>
        <w:gridCol w:w="175"/>
        <w:gridCol w:w="175"/>
        <w:gridCol w:w="176"/>
        <w:gridCol w:w="117"/>
        <w:gridCol w:w="117"/>
        <w:gridCol w:w="117"/>
        <w:gridCol w:w="298"/>
        <w:gridCol w:w="298"/>
        <w:gridCol w:w="299"/>
        <w:gridCol w:w="117"/>
        <w:gridCol w:w="117"/>
        <w:gridCol w:w="117"/>
        <w:gridCol w:w="374"/>
        <w:gridCol w:w="374"/>
        <w:gridCol w:w="376"/>
        <w:gridCol w:w="109"/>
        <w:gridCol w:w="109"/>
        <w:gridCol w:w="109"/>
        <w:gridCol w:w="278"/>
        <w:gridCol w:w="278"/>
        <w:gridCol w:w="406"/>
      </w:tblGrid>
      <w:tr>
        <w:trPr/>
        <w:tc>
          <w:tcPr>
            <w:tcW w:w="3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3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Number</w:t>
            </w:r>
          </w:p>
        </w:tc>
        <w:tc>
          <w:tcPr>
            <w:tcW w:w="3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Filed Herewith</w:t>
            </w:r>
          </w:p>
        </w:tc>
      </w:tr>
      <w:tr>
        <w:trPr/>
        <w:tc>
          <w:tcPr>
            <w:tcW w:w="9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Certificate of Incorporation of Carter’s,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 xml:space="preserve">Amended and Restated By-Laws of Carter’s, Inc.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Offer Letter, dated April 27, 2026.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Amended and Restated Equity Incentive Plan of Carter’s,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cri-202674exh311.htm">
              <w:r>
                <w:rPr>
                  <w:rStyle w:val="InternetLink"/>
                  <w:rFonts w:ascii="Times New Roman;serif" w:hAnsi="Times New Roman;serif"/>
                  <w:b w:val="false"/>
                  <w:color w:val="0000FF"/>
                  <w:sz w:val="20"/>
                  <w:u w:val="single"/>
                </w:rPr>
                <w:t>Rule 13a-15(e)/15d-15(e) and 13a-15(f)/15d-15(f) Certification.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cri-202674exh312.htm">
              <w:r>
                <w:rPr>
                  <w:rStyle w:val="InternetLink"/>
                  <w:rFonts w:ascii="Times New Roman;serif" w:hAnsi="Times New Roman;serif"/>
                  <w:b w:val="false"/>
                  <w:color w:val="0000FF"/>
                  <w:sz w:val="20"/>
                  <w:u w:val="single"/>
                </w:rPr>
                <w:t>Rule 13a-15(e)/15d-15(e) and 13a-15(f)/15d-15(f) Certification.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cri-202674exh320.htm">
              <w:r>
                <w:rPr>
                  <w:rStyle w:val="InternetLink"/>
                  <w:rFonts w:ascii="Times New Roman;serif" w:hAnsi="Times New Roman;serif"/>
                  <w:b w:val="false"/>
                  <w:color w:val="0000FF"/>
                  <w:sz w:val="20"/>
                  <w:u w:val="single"/>
                </w:rPr>
                <w:t>Section 1350 Certification.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instant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Quarterly Report on Form 10-Q formatted as Inline XBRL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 Indicates a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200"/>
        <w:jc w:val="left"/>
        <w:rPr/>
      </w:pPr>
      <w:r>
        <w:rPr/>
      </w:r>
    </w:p>
    <w:p>
      <w:pPr>
        <w:pStyle w:val="TextBody"/>
        <w:bidi w:val="0"/>
        <w:spacing w:before="0" w:after="200"/>
        <w:jc w:val="center"/>
        <w:rPr/>
      </w:pPr>
      <w:r>
        <w:rPr/>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20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200"/>
        <w:jc w:val="left"/>
        <w:rPr/>
      </w:pPr>
      <w:r>
        <w:rPr/>
      </w:r>
    </w:p>
    <w:p>
      <w:pPr>
        <w:pStyle w:val="TextBody"/>
        <w:bidi w:val="0"/>
        <w:spacing w:before="0" w:after="20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CARTER’S, INC.</w:t>
      </w:r>
    </w:p>
    <w:p>
      <w:pPr>
        <w:pStyle w:val="TextBody"/>
        <w:bidi w:val="0"/>
        <w:spacing w:before="0" w:after="200"/>
        <w:jc w:val="center"/>
        <w:rPr/>
      </w:pPr>
      <w:r>
        <w:rPr/>
      </w:r>
    </w:p>
    <w:tbl>
      <w:tblPr>
        <w:tblW w:w="3764" w:type="dxa"/>
        <w:jc w:val="center"/>
        <w:tblInd w:w="0" w:type="dxa"/>
        <w:tblLayout w:type="fixed"/>
        <w:tblCellMar>
          <w:top w:w="28" w:type="dxa"/>
          <w:left w:w="28" w:type="dxa"/>
          <w:bottom w:w="28" w:type="dxa"/>
          <w:right w:w="28" w:type="dxa"/>
        </w:tblCellMar>
      </w:tblPr>
      <w:tblGrid>
        <w:gridCol w:w="395"/>
        <w:gridCol w:w="348"/>
        <w:gridCol w:w="351"/>
        <w:gridCol w:w="780"/>
        <w:gridCol w:w="780"/>
        <w:gridCol w:w="1110"/>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31, 2026</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SHARON PRICE JOHN</w:t>
            </w:r>
          </w:p>
        </w:tc>
      </w:tr>
      <w:tr>
        <w:trPr/>
        <w:tc>
          <w:tcPr>
            <w:tcW w:w="1094" w:type="dxa"/>
            <w:gridSpan w:val="3"/>
            <w:tcBorders>
              <w:top w:val="single" w:sz="2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Sharon Price John</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Executive Officer &amp; President</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(Principal Executive Officer)</w:t>
            </w:r>
          </w:p>
        </w:tc>
      </w:tr>
    </w:tbl>
    <w:p>
      <w:pPr>
        <w:pStyle w:val="TextBody"/>
        <w:bidi w:val="0"/>
        <w:spacing w:before="0" w:after="200"/>
        <w:jc w:val="center"/>
        <w:rPr/>
      </w:pPr>
      <w:r>
        <w:rPr/>
      </w:r>
    </w:p>
    <w:p>
      <w:pPr>
        <w:pStyle w:val="TextBody"/>
        <w:bidi w:val="0"/>
        <w:spacing w:before="0" w:after="200"/>
        <w:jc w:val="center"/>
        <w:rPr/>
      </w:pPr>
      <w:r>
        <w:rPr/>
      </w:r>
    </w:p>
    <w:tbl>
      <w:tblPr>
        <w:tblW w:w="4798" w:type="dxa"/>
        <w:jc w:val="center"/>
        <w:tblInd w:w="0" w:type="dxa"/>
        <w:tblLayout w:type="fixed"/>
        <w:tblCellMar>
          <w:top w:w="28" w:type="dxa"/>
          <w:left w:w="28" w:type="dxa"/>
          <w:bottom w:w="28" w:type="dxa"/>
          <w:right w:w="28" w:type="dxa"/>
        </w:tblCellMar>
      </w:tblPr>
      <w:tblGrid>
        <w:gridCol w:w="395"/>
        <w:gridCol w:w="348"/>
        <w:gridCol w:w="351"/>
        <w:gridCol w:w="1083"/>
        <w:gridCol w:w="1083"/>
        <w:gridCol w:w="1538"/>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31, 2026</w:t>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RICHARD F. WESTENBERGER</w:t>
            </w:r>
          </w:p>
        </w:tc>
      </w:tr>
      <w:tr>
        <w:trPr/>
        <w:tc>
          <w:tcPr>
            <w:tcW w:w="1094" w:type="dxa"/>
            <w:gridSpan w:val="3"/>
            <w:tcBorders>
              <w:top w:val="single" w:sz="2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Richard F. Westenberger</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Financial Officer &amp; Chief Operating Officer</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(Principal Financial &amp; Accounting Officer)</w:t>
            </w:r>
          </w:p>
        </w:tc>
      </w:tr>
    </w:tbl>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140" w:after="14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40" w:after="140"/>
        <w:jc w:val="left"/>
        <w:rPr>
          <w:rFonts w:ascii="Times New Roman;serif" w:hAnsi="Times New Roman;serif"/>
          <w:b w:val="false"/>
          <w:color w:val="000000"/>
          <w:sz w:val="20"/>
        </w:rPr>
      </w:pPr>
      <w:r>
        <w:rPr>
          <w:rFonts w:ascii="Times New Roman;serif" w:hAnsi="Times New Roman;serif"/>
          <w:b w:val="false"/>
          <w:color w:val="000000"/>
          <w:sz w:val="20"/>
        </w:rPr>
        <w:t xml:space="preserve">I, Sharon Price John, certify that: </w:t>
      </w:r>
    </w:p>
    <w:p>
      <w:pPr>
        <w:pStyle w:val="TextBody"/>
        <w:bidi w:val="0"/>
        <w:spacing w:lineRule="auto" w:line="288" w:before="14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Carter’s, Inc.; </w:t>
      </w:r>
    </w:p>
    <w:p>
      <w:pPr>
        <w:pStyle w:val="TextBody"/>
        <w:bidi w:val="0"/>
        <w:spacing w:lineRule="auto" w:line="288" w:before="14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4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4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40" w:after="14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40" w:after="14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40" w:after="1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40" w:after="1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4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40" w:after="14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40" w:after="1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40" w:after="140"/>
        <w:jc w:val="left"/>
        <w:rPr/>
      </w:pPr>
      <w:r>
        <w:rPr/>
      </w:r>
    </w:p>
    <w:tbl>
      <w:tblPr>
        <w:tblW w:w="4304" w:type="dxa"/>
        <w:jc w:val="center"/>
        <w:tblInd w:w="0" w:type="dxa"/>
        <w:tblLayout w:type="fixed"/>
        <w:tblCellMar>
          <w:top w:w="28" w:type="dxa"/>
          <w:left w:w="28" w:type="dxa"/>
          <w:bottom w:w="28" w:type="dxa"/>
          <w:right w:w="28" w:type="dxa"/>
        </w:tblCellMar>
      </w:tblPr>
      <w:tblGrid>
        <w:gridCol w:w="443"/>
        <w:gridCol w:w="390"/>
        <w:gridCol w:w="396"/>
        <w:gridCol w:w="901"/>
        <w:gridCol w:w="901"/>
        <w:gridCol w:w="1273"/>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SHARON PRICE JOHN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Sharon Price John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&amp;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14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140" w:after="14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40" w:after="140"/>
        <w:jc w:val="left"/>
        <w:rPr>
          <w:rFonts w:ascii="Times New Roman;serif" w:hAnsi="Times New Roman;serif"/>
          <w:b w:val="false"/>
          <w:color w:val="000000"/>
          <w:sz w:val="20"/>
        </w:rPr>
      </w:pPr>
      <w:r>
        <w:rPr>
          <w:rFonts w:ascii="Times New Roman;serif" w:hAnsi="Times New Roman;serif"/>
          <w:b w:val="false"/>
          <w:color w:val="000000"/>
          <w:sz w:val="20"/>
        </w:rPr>
        <w:t xml:space="preserve">I, Richard F. Westenberger, certify that: </w:t>
      </w:r>
    </w:p>
    <w:p>
      <w:pPr>
        <w:pStyle w:val="TextBody"/>
        <w:bidi w:val="0"/>
        <w:spacing w:lineRule="auto" w:line="288" w:before="14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Carter’s, Inc.; </w:t>
      </w:r>
    </w:p>
    <w:p>
      <w:pPr>
        <w:pStyle w:val="TextBody"/>
        <w:bidi w:val="0"/>
        <w:spacing w:lineRule="auto" w:line="288" w:before="14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4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4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40" w:after="14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40" w:after="14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40" w:after="1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40" w:after="1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40" w:after="1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40" w:after="14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40" w:after="1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40" w:after="140"/>
        <w:jc w:val="left"/>
        <w:rPr/>
      </w:pPr>
      <w:r>
        <w:rPr/>
      </w:r>
    </w:p>
    <w:tbl>
      <w:tblPr>
        <w:tblW w:w="5488" w:type="dxa"/>
        <w:jc w:val="center"/>
        <w:tblInd w:w="0" w:type="dxa"/>
        <w:tblLayout w:type="fixed"/>
        <w:tblCellMar>
          <w:top w:w="28" w:type="dxa"/>
          <w:left w:w="28" w:type="dxa"/>
          <w:bottom w:w="28" w:type="dxa"/>
          <w:right w:w="28" w:type="dxa"/>
        </w:tblCellMar>
      </w:tblPr>
      <w:tblGrid>
        <w:gridCol w:w="443"/>
        <w:gridCol w:w="390"/>
        <w:gridCol w:w="396"/>
        <w:gridCol w:w="1247"/>
        <w:gridCol w:w="1247"/>
        <w:gridCol w:w="1765"/>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4259"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F. WESTENBERGER</w:t>
            </w:r>
          </w:p>
        </w:tc>
      </w:tr>
      <w:tr>
        <w:trPr/>
        <w:tc>
          <w:tcPr>
            <w:tcW w:w="1229" w:type="dxa"/>
            <w:gridSpan w:val="3"/>
            <w:tcBorders>
              <w:top w:val="single" w:sz="2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F. Westenberger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&amp; Chief Operating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40" w:after="140"/>
        <w:jc w:val="right"/>
        <w:rPr>
          <w:rFonts w:ascii="Times New Roman;serif" w:hAnsi="Times New Roman;serif"/>
          <w:b w:val="false"/>
          <w:color w:val="000000"/>
          <w:sz w:val="20"/>
        </w:rPr>
      </w:pPr>
      <w:r>
        <w:rPr>
          <w:rFonts w:ascii="Times New Roman;serif" w:hAnsi="Times New Roman;serif"/>
          <w:b w:val="false"/>
          <w:color w:val="000000"/>
          <w:sz w:val="20"/>
        </w:rPr>
        <w:t>Exhibit 32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Each of the undersigned in the capacity indicated hereby certifies that, to his or her knowledge, this Report on Form 10-Q for the fiscal quarter ended July 4, 2026 fully complies with the requirements of Section 13(a) or 15(d) of the Securities Exchange Act of 1934, and the information contained in this Report fairly presents, in all material respects, the financial condition and results of operations of Carter’s, Inc. </w:t>
      </w:r>
    </w:p>
    <w:p>
      <w:pPr>
        <w:pStyle w:val="TextBody"/>
        <w:bidi w:val="0"/>
        <w:spacing w:before="0" w:after="0"/>
        <w:jc w:val="center"/>
        <w:rPr/>
      </w:pPr>
      <w:r>
        <w:rPr/>
      </w:r>
    </w:p>
    <w:p>
      <w:pPr>
        <w:pStyle w:val="TextBody"/>
        <w:bidi w:val="0"/>
        <w:spacing w:before="0" w:after="0"/>
        <w:jc w:val="center"/>
        <w:rPr/>
      </w:pPr>
      <w:r>
        <w:rPr/>
      </w:r>
    </w:p>
    <w:tbl>
      <w:tblPr>
        <w:tblW w:w="5488" w:type="dxa"/>
        <w:jc w:val="center"/>
        <w:tblInd w:w="0" w:type="dxa"/>
        <w:tblLayout w:type="fixed"/>
        <w:tblCellMar>
          <w:top w:w="28" w:type="dxa"/>
          <w:left w:w="28" w:type="dxa"/>
          <w:bottom w:w="28" w:type="dxa"/>
          <w:right w:w="28" w:type="dxa"/>
        </w:tblCellMar>
      </w:tblPr>
      <w:tblGrid>
        <w:gridCol w:w="443"/>
        <w:gridCol w:w="390"/>
        <w:gridCol w:w="396"/>
        <w:gridCol w:w="1248"/>
        <w:gridCol w:w="1248"/>
        <w:gridCol w:w="1763"/>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4259"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SHARON PRICE JOHN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Sharon Price John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&amp; President</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F. WESTENBERGER</w:t>
            </w:r>
          </w:p>
        </w:tc>
      </w:tr>
      <w:tr>
        <w:trPr/>
        <w:tc>
          <w:tcPr>
            <w:tcW w:w="1229" w:type="dxa"/>
            <w:gridSpan w:val="3"/>
            <w:tcBorders>
              <w:top w:val="single" w:sz="2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F. Westenberger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&amp; Chief Operating Officer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certifications are being furnished solely pursuant to 18 U.S.C. § 1350 and are not being filed as part of the Report on Form 10-Q or as a separate disclosure document.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60822/000119312517179483/d400342dex31.htm" TargetMode="External"/><Relationship Id="rId4" Type="http://schemas.openxmlformats.org/officeDocument/2006/relationships/hyperlink" Target="https://www.sec.gov/Archives/edgar/data/1060822/000106082225000160/cartersincamendedandrestat.htm" TargetMode="External"/><Relationship Id="rId5" Type="http://schemas.openxmlformats.org/officeDocument/2006/relationships/hyperlink" Target="https://www.sec.gov/Archives/edgar/data/1060822/000119312526201479/d112628dex101.htm" TargetMode="External"/><Relationship Id="rId6" Type="http://schemas.openxmlformats.org/officeDocument/2006/relationships/hyperlink" Target="https://www.sec.gov/Archives/edgar/data/1060822/000106082226000075/carterssecondamendedandres.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22742</Words>
  <Characters>128051</Characters>
  <CharactersWithSpaces>149110</CharactersWithSpaces>
  <Paragraphs>2982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