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jc w:val="center"/>
        <w:ind w:left="4080" w:right="1300" w:hanging="2751"/>
        <w:spacing w:after="0" w:line="307" w:lineRule="auto"/>
        <w:tabs>
          <w:tab w:leader="none" w:pos="169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October 3, 2026</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3640" w:right="1260" w:hanging="2346"/>
        <w:spacing w:after="0" w:line="249" w:lineRule="auto"/>
        <w:tabs>
          <w:tab w:leader="none" w:pos="1709"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Commission File Number: 001-31829</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1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053" w:right="359" w:bottom="1440" w:gutter="0" w:footer="0" w:header="0"/>
        </w:sectPr>
      </w:pPr>
    </w:p>
    <w:p>
      <w:pPr>
        <w:spacing w:after="0" w:line="160"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13-3912933</w:t>
      </w:r>
    </w:p>
    <w:p>
      <w:pPr>
        <w:spacing w:after="0" w:line="34" w:lineRule="exact"/>
        <w:rPr>
          <w:sz w:val="24"/>
          <w:szCs w:val="24"/>
          <w:color w:val="auto"/>
        </w:rPr>
      </w:pPr>
    </w:p>
    <w:p>
      <w:pPr>
        <w:sectPr>
          <w:pgSz w:w="11900" w:h="16838" w:orient="portrait"/>
          <w:cols w:equalWidth="0" w:num="2">
            <w:col w:w="7140" w:space="720"/>
            <w:col w:w="3360"/>
          </w:cols>
          <w:pgMar w:left="320" w:top="1053" w:right="35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360" w:space="720"/>
            <w:col w:w="4140"/>
          </w:cols>
          <w:pgMar w:left="320" w:top="1053" w:right="359" w:bottom="1440" w:gutter="0" w:footer="0" w:header="0"/>
          <w:type w:val="continuous"/>
        </w:sectPr>
      </w:pP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00" w:type="dxa"/>
            <w:vAlign w:val="bottom"/>
          </w:tcPr>
          <w:p>
            <w:pPr>
              <w:spacing w:after="0"/>
              <w:rPr>
                <w:sz w:val="17"/>
                <w:szCs w:val="17"/>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CRI</w:t>
            </w:r>
          </w:p>
        </w:tc>
        <w:tc>
          <w:tcPr>
            <w:tcW w:w="80" w:type="dxa"/>
            <w:vAlign w:val="bottom"/>
          </w:tcPr>
          <w:p>
            <w:pPr>
              <w:spacing w:after="0"/>
              <w:rPr>
                <w:sz w:val="17"/>
                <w:szCs w:val="17"/>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76"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5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p>
      <w:pPr>
        <w:spacing w:after="0" w:line="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98"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6" w:lineRule="exact"/>
        <w:rPr>
          <w:sz w:val="24"/>
          <w:szCs w:val="24"/>
          <w:color w:val="auto"/>
        </w:rPr>
      </w:pPr>
    </w:p>
    <w:p>
      <w:pPr>
        <w:ind w:right="2020"/>
        <w:spacing w:after="0" w:line="3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23, 2026, there were 36,692,500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811530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6643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CARTER’S,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6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560" w:type="dxa"/>
            <w:vAlign w:val="bottom"/>
            <w:gridSpan w:val="5"/>
          </w:tcPr>
          <w:p>
            <w:pPr>
              <w:ind w:left="58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gridSpan w:val="2"/>
            <w:shd w:val="clear" w:color="auto" w:fill="CCEEFF"/>
          </w:tcPr>
          <w:p>
            <w:pPr>
              <w:spacing w:after="0"/>
              <w:rPr>
                <w:sz w:val="15"/>
                <w:szCs w:val="15"/>
                <w:color w:val="auto"/>
              </w:rPr>
            </w:pPr>
          </w:p>
        </w:tc>
        <w:tc>
          <w:tcPr>
            <w:tcW w:w="800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Financial Statements</w:t>
            </w: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19"/>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Balance Sheets</w:t>
            </w:r>
          </w:p>
        </w:tc>
        <w:tc>
          <w:tcPr>
            <w:tcW w:w="820" w:type="dxa"/>
            <w:vAlign w:val="bottom"/>
            <w:gridSpan w:val="3"/>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Operations</w:t>
            </w:r>
          </w:p>
        </w:tc>
        <w:tc>
          <w:tcPr>
            <w:tcW w:w="820" w:type="dxa"/>
            <w:vAlign w:val="bottom"/>
            <w:gridSpan w:val="3"/>
            <w:shd w:val="clear" w:color="auto" w:fill="CCEEFF"/>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2</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19"/>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Comprehensive Income</w:t>
            </w:r>
          </w:p>
        </w:tc>
        <w:tc>
          <w:tcPr>
            <w:tcW w:w="820" w:type="dxa"/>
            <w:vAlign w:val="bottom"/>
            <w:gridSpan w:val="3"/>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Changes in Shareholders’ Equity</w:t>
            </w:r>
          </w:p>
        </w:tc>
        <w:tc>
          <w:tcPr>
            <w:tcW w:w="820" w:type="dxa"/>
            <w:vAlign w:val="bottom"/>
            <w:gridSpan w:val="3"/>
            <w:shd w:val="clear" w:color="auto" w:fill="CCEEFF"/>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20" w:type="dxa"/>
            <w:vAlign w:val="bottom"/>
            <w:gridSpan w:val="17"/>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Cash Flows</w:t>
            </w:r>
          </w:p>
        </w:tc>
        <w:tc>
          <w:tcPr>
            <w:tcW w:w="2580" w:type="dxa"/>
            <w:vAlign w:val="bottom"/>
            <w:gridSpan w:val="2"/>
          </w:tcPr>
          <w:p>
            <w:pPr>
              <w:spacing w:after="0"/>
              <w:rPr>
                <w:sz w:val="15"/>
                <w:szCs w:val="15"/>
                <w:color w:val="auto"/>
              </w:rPr>
            </w:pPr>
          </w:p>
        </w:tc>
        <w:tc>
          <w:tcPr>
            <w:tcW w:w="820" w:type="dxa"/>
            <w:vAlign w:val="bottom"/>
            <w:gridSpan w:val="3"/>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Notes to the Unaudited Condensed Consolidated Financial Statements</w:t>
            </w:r>
          </w:p>
        </w:tc>
        <w:tc>
          <w:tcPr>
            <w:tcW w:w="820" w:type="dxa"/>
            <w:vAlign w:val="bottom"/>
            <w:gridSpan w:val="3"/>
            <w:shd w:val="clear" w:color="auto" w:fill="CCEEFF"/>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8000" w:type="dxa"/>
            <w:vAlign w:val="bottom"/>
            <w:gridSpan w:val="19"/>
          </w:tcPr>
          <w:p>
            <w:pPr>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20</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gridSpan w:val="2"/>
            <w:shd w:val="clear" w:color="auto" w:fill="CCEEFF"/>
          </w:tcPr>
          <w:p>
            <w:pPr>
              <w:spacing w:after="0"/>
              <w:rPr>
                <w:sz w:val="15"/>
                <w:szCs w:val="15"/>
                <w:color w:val="auto"/>
              </w:rPr>
            </w:pPr>
          </w:p>
        </w:tc>
        <w:tc>
          <w:tcPr>
            <w:tcW w:w="3880" w:type="dxa"/>
            <w:vAlign w:val="bottom"/>
            <w:gridSpan w:val="1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120" w:type="dxa"/>
            <w:vAlign w:val="bottom"/>
            <w:gridSpan w:val="8"/>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2"/>
          </w:tcPr>
          <w:p>
            <w:pPr>
              <w:spacing w:after="0"/>
              <w:rPr>
                <w:sz w:val="15"/>
                <w:szCs w:val="15"/>
                <w:color w:val="auto"/>
              </w:rPr>
            </w:pPr>
          </w:p>
        </w:tc>
        <w:tc>
          <w:tcPr>
            <w:tcW w:w="3880" w:type="dxa"/>
            <w:vAlign w:val="bottom"/>
            <w:gridSpan w:val="11"/>
          </w:tcPr>
          <w:p>
            <w:pPr>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4120" w:type="dxa"/>
            <w:vAlign w:val="bottom"/>
            <w:gridSpan w:val="8"/>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39</w:t>
            </w:r>
          </w:p>
        </w:tc>
      </w:tr>
      <w:tr>
        <w:trPr>
          <w:trHeight w:val="54"/>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2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40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6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380" w:type="dxa"/>
            <w:vAlign w:val="bottom"/>
            <w:tcBorders>
              <w:top w:val="single" w:sz="8" w:color="0000FF"/>
              <w:bottom w:val="single" w:sz="8" w:color="CCEEFF"/>
            </w:tcBorders>
          </w:tcPr>
          <w:p>
            <w:pPr>
              <w:spacing w:after="0"/>
              <w:rPr>
                <w:sz w:val="4"/>
                <w:szCs w:val="4"/>
                <w:color w:val="auto"/>
              </w:rPr>
            </w:pPr>
          </w:p>
        </w:tc>
        <w:tc>
          <w:tcPr>
            <w:tcW w:w="2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240" w:type="dxa"/>
            <w:vAlign w:val="bottom"/>
            <w:tcBorders>
              <w:top w:val="single" w:sz="8" w:color="0000FF"/>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96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75"/>
        </w:trPr>
        <w:tc>
          <w:tcPr>
            <w:tcW w:w="20" w:type="dxa"/>
            <w:vAlign w:val="bottom"/>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40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gridSpan w:val="2"/>
            <w:shd w:val="clear" w:color="auto" w:fill="CCEEFF"/>
          </w:tcPr>
          <w:p>
            <w:pPr>
              <w:spacing w:after="0"/>
              <w:rPr>
                <w:sz w:val="15"/>
                <w:szCs w:val="15"/>
                <w:color w:val="auto"/>
              </w:rPr>
            </w:pPr>
          </w:p>
        </w:tc>
        <w:tc>
          <w:tcPr>
            <w:tcW w:w="120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6800" w:type="dxa"/>
            <w:vAlign w:val="bottom"/>
            <w:gridSpan w:val="13"/>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8000" w:type="dxa"/>
            <w:vAlign w:val="bottom"/>
            <w:gridSpan w:val="19"/>
          </w:tcPr>
          <w:p>
            <w:pPr>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40</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2</w:t>
            </w:r>
          </w:p>
        </w:tc>
        <w:tc>
          <w:tcPr>
            <w:tcW w:w="640" w:type="dxa"/>
            <w:vAlign w:val="bottom"/>
            <w:gridSpan w:val="2"/>
            <w:shd w:val="clear" w:color="auto" w:fill="CCEEFF"/>
          </w:tcPr>
          <w:p>
            <w:pPr>
              <w:spacing w:after="0"/>
              <w:rPr>
                <w:sz w:val="15"/>
                <w:szCs w:val="15"/>
                <w:color w:val="auto"/>
              </w:rPr>
            </w:pPr>
          </w:p>
        </w:tc>
        <w:tc>
          <w:tcPr>
            <w:tcW w:w="800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gridSpan w:val="2"/>
          </w:tcPr>
          <w:p>
            <w:pPr>
              <w:spacing w:after="0"/>
              <w:rPr>
                <w:sz w:val="15"/>
                <w:szCs w:val="15"/>
                <w:color w:val="auto"/>
              </w:rPr>
            </w:pPr>
          </w:p>
        </w:tc>
        <w:tc>
          <w:tcPr>
            <w:tcW w:w="3900" w:type="dxa"/>
            <w:vAlign w:val="bottom"/>
            <w:gridSpan w:val="12"/>
          </w:tcPr>
          <w:p>
            <w:pPr>
              <w:spacing w:after="0" w:line="175"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4100" w:type="dxa"/>
            <w:vAlign w:val="bottom"/>
            <w:gridSpan w:val="7"/>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2"/>
            <w:shd w:val="clear" w:color="auto" w:fill="CCEEFF"/>
          </w:tcPr>
          <w:p>
            <w:pPr>
              <w:spacing w:after="0"/>
              <w:rPr>
                <w:sz w:val="15"/>
                <w:szCs w:val="15"/>
                <w:color w:val="auto"/>
              </w:rPr>
            </w:pPr>
          </w:p>
        </w:tc>
        <w:tc>
          <w:tcPr>
            <w:tcW w:w="800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5</w:t>
            </w:r>
          </w:p>
        </w:tc>
        <w:tc>
          <w:tcPr>
            <w:tcW w:w="640" w:type="dxa"/>
            <w:vAlign w:val="bottom"/>
            <w:gridSpan w:val="2"/>
          </w:tcPr>
          <w:p>
            <w:pPr>
              <w:spacing w:after="0"/>
              <w:rPr>
                <w:sz w:val="15"/>
                <w:szCs w:val="15"/>
                <w:color w:val="auto"/>
              </w:rPr>
            </w:pPr>
          </w:p>
        </w:tc>
        <w:tc>
          <w:tcPr>
            <w:tcW w:w="15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6420" w:type="dxa"/>
            <w:vAlign w:val="bottom"/>
            <w:gridSpan w:val="11"/>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41</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800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Exhibits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43</w:t>
            </w: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44</w:t>
            </w:r>
          </w:p>
        </w:tc>
      </w:tr>
      <w:tr>
        <w:trPr>
          <w:trHeight w:val="736"/>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30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20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0" w:type="dxa"/>
            <w:vAlign w:val="bottom"/>
          </w:tcPr>
          <w:p>
            <w:pPr>
              <w:spacing w:after="0"/>
              <w:rPr>
                <w:sz w:val="1"/>
                <w:szCs w:val="1"/>
                <w:color w:val="auto"/>
              </w:rPr>
            </w:pPr>
          </w:p>
        </w:tc>
      </w:tr>
      <w:tr>
        <w:trPr>
          <w:trHeight w:val="19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184,190</w:t>
            </w:r>
          </w:p>
        </w:tc>
        <w:tc>
          <w:tcPr>
            <w:tcW w:w="0" w:type="dxa"/>
            <w:vAlign w:val="bottom"/>
          </w:tcPr>
          <w:p>
            <w:pPr>
              <w:spacing w:after="0"/>
              <w:rPr>
                <w:sz w:val="1"/>
                <w:szCs w:val="1"/>
                <w:color w:val="auto"/>
              </w:rPr>
            </w:pP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 for credit losses of $11,231, $7,587, and</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178,566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237,866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$12,026, respectively</w:t>
            </w: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Finished goods inventories, net of inventory reserves of $15,394, $8,897, and</w:t>
            </w:r>
          </w:p>
        </w:tc>
        <w:tc>
          <w:tcPr>
            <w:tcW w:w="2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587,035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544,624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656,149</w:t>
            </w:r>
          </w:p>
        </w:tc>
        <w:tc>
          <w:tcPr>
            <w:tcW w:w="0" w:type="dxa"/>
            <w:vAlign w:val="bottom"/>
          </w:tcPr>
          <w:p>
            <w:pPr>
              <w:spacing w:after="0"/>
              <w:rPr>
                <w:sz w:val="1"/>
                <w:szCs w:val="1"/>
                <w:color w:val="auto"/>
              </w:rPr>
            </w:pP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$12,347, respectively</w:t>
            </w: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55,576</w:t>
            </w:r>
          </w:p>
        </w:tc>
        <w:tc>
          <w:tcPr>
            <w:tcW w:w="0" w:type="dxa"/>
            <w:vAlign w:val="bottom"/>
          </w:tcPr>
          <w:p>
            <w:pPr>
              <w:spacing w:after="0"/>
              <w:rPr>
                <w:sz w:val="1"/>
                <w:szCs w:val="1"/>
                <w:color w:val="auto"/>
              </w:rPr>
            </w:pPr>
          </w:p>
        </w:tc>
      </w:tr>
      <w:tr>
        <w:trPr>
          <w:trHeight w:val="207"/>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1,416,347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1,270,773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1,133,781</w:t>
            </w: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Property, plant, and equipment, net of accumulated depreciation of $581,338,</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186,307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$609,059, and $599,467, respectively</w:t>
            </w: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611,569</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268,718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208,351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20,993</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37,015</w:t>
            </w: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2,669,277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2,469,439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240,235</w:t>
            </w:r>
          </w:p>
        </w:tc>
        <w:tc>
          <w:tcPr>
            <w:tcW w:w="0" w:type="dxa"/>
            <w:vAlign w:val="bottom"/>
          </w:tcPr>
          <w:p>
            <w:pPr>
              <w:spacing w:after="0"/>
              <w:rPr>
                <w:sz w:val="1"/>
                <w:szCs w:val="1"/>
                <w:color w:val="auto"/>
              </w:rPr>
            </w:pP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150,548</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110,907</w:t>
            </w:r>
          </w:p>
        </w:tc>
        <w:tc>
          <w:tcPr>
            <w:tcW w:w="0" w:type="dxa"/>
            <w:vAlign w:val="bottom"/>
          </w:tcPr>
          <w:p>
            <w:pPr>
              <w:spacing w:after="0"/>
              <w:rPr>
                <w:sz w:val="1"/>
                <w:szCs w:val="1"/>
                <w:color w:val="auto"/>
              </w:rPr>
            </w:pPr>
          </w:p>
        </w:tc>
      </w:tr>
      <w:tr>
        <w:trPr>
          <w:trHeight w:val="207"/>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501,690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498,738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529,139</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34,030</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1,615,049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1,640,422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1,604,797</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 Note 15</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stock; par value $0.01 per share; 100,000 shares authorized; none issued</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 outstanding</w:t>
            </w:r>
          </w:p>
        </w:tc>
        <w:tc>
          <w:tcPr>
            <w:tcW w:w="24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voting; par value $0.01 per share; 150,000,000 shares authorized;</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36,692,152, 36,425,877, and 36,518,637 shares issued and outstanding,</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(28,107)</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1,057,829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929,461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874,355</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1,054,228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925,048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864,642</w:t>
            </w:r>
          </w:p>
        </w:tc>
        <w:tc>
          <w:tcPr>
            <w:tcW w:w="0" w:type="dxa"/>
            <w:vAlign w:val="bottom"/>
          </w:tcPr>
          <w:p>
            <w:pPr>
              <w:spacing w:after="0"/>
              <w:rPr>
                <w:sz w:val="1"/>
                <w:szCs w:val="1"/>
                <w:color w:val="auto"/>
              </w:rPr>
            </w:pPr>
          </w:p>
        </w:tc>
      </w:tr>
      <w:tr>
        <w:trPr>
          <w:trHeight w:val="212"/>
        </w:trPr>
        <w:tc>
          <w:tcPr>
            <w:tcW w:w="5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2,669,277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2,565,470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2,469,439</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32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1"/>
        </w:trPr>
        <w:tc>
          <w:tcPr>
            <w:tcW w:w="4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752,456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2,049,060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1,972,975</w:t>
            </w:r>
          </w:p>
        </w:tc>
      </w:tr>
      <w:tr>
        <w:trPr>
          <w:trHeight w:val="21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987,822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1,058,497</w:t>
            </w:r>
          </w:p>
        </w:tc>
      </w:tr>
      <w:tr>
        <w:trPr>
          <w:trHeight w:val="21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914,478</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14,008</w:t>
            </w: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869,246</w:t>
            </w:r>
          </w:p>
        </w:tc>
      </w:t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59,240</w:t>
            </w: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22,849</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(10,007)</w:t>
            </w: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plan settlement</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8,777</w:t>
            </w:r>
          </w:p>
        </w:tc>
      </w:tr>
      <w:tr>
        <w:trPr>
          <w:trHeight w:val="212"/>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204,914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37,886</w:t>
            </w:r>
          </w:p>
        </w:tc>
      </w:tr>
      <w:tr>
        <w:trPr>
          <w:trHeight w:val="21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10,308</w:t>
            </w: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280" w:type="dxa"/>
            <w:vAlign w:val="bottom"/>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0" w:type="dxa"/>
            <w:vAlign w:val="bottom"/>
          </w:tcPr>
          <w:p>
            <w:pPr>
              <w:spacing w:after="0"/>
              <w:rPr>
                <w:sz w:val="1"/>
                <w:szCs w:val="1"/>
                <w:color w:val="auto"/>
              </w:rPr>
            </w:pPr>
          </w:p>
        </w:tc>
      </w:tr>
      <w:tr>
        <w:trPr>
          <w:trHeight w:val="211"/>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27,578</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Reclassification related to settlement of Carter’s post-</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retirement life insurance arrangement, net of tax of $(135) for</w:t>
            </w: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three fiscal quarters ended October 3, 2026</w:t>
            </w: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Reclassification related to pension plan settlement, net of tax of</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$1,279 for the fiscal quarter and three fiscal quarters ended</w:t>
            </w:r>
          </w:p>
        </w:tc>
        <w:tc>
          <w:tcPr>
            <w:tcW w:w="16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September 27, 2025</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Gain on OshKosh B’Gosh defined benefit plan, net of tax of</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$281 for the fiscal quarter and three fiscal quarters ended</w:t>
            </w: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September 27, 2025</w:t>
            </w: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15,571</w:t>
            </w: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149,548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43,149</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0"/>
                <w:szCs w:val="20"/>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3, 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36,425,877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929,461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925,048</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(79,985)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of $0.25 per common share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11,957</w:t>
            </w:r>
          </w:p>
        </w:tc>
        <w:tc>
          <w:tcPr>
            <w:tcW w:w="0" w:type="dxa"/>
            <w:vAlign w:val="bottom"/>
          </w:tcPr>
          <w:p>
            <w:pPr>
              <w:spacing w:after="0"/>
              <w:rPr>
                <w:sz w:val="1"/>
                <w:szCs w:val="1"/>
                <w:color w:val="auto"/>
              </w:rPr>
            </w:pPr>
          </w:p>
        </w:tc>
      </w:tr>
      <w:tr>
        <w:trPr>
          <w:trHeight w:val="212"/>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4, 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36,850,117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928,457</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of $0.25 per common share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104,349</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4, 2026</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36,711,901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(27,349)</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1,030,395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1,027,323</w:t>
            </w:r>
          </w:p>
        </w:tc>
        <w:tc>
          <w:tcPr>
            <w:tcW w:w="0" w:type="dxa"/>
            <w:vAlign w:val="bottom"/>
          </w:tcPr>
          <w:p>
            <w:pPr>
              <w:spacing w:after="0"/>
              <w:rPr>
                <w:sz w:val="1"/>
                <w:szCs w:val="1"/>
                <w:color w:val="auto"/>
              </w:rPr>
            </w:pPr>
          </w:p>
        </w:tc>
      </w:tr>
      <w:tr>
        <w:trPr>
          <w:trHeight w:val="145"/>
        </w:trPr>
        <w:tc>
          <w:tcPr>
            <w:tcW w:w="3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of $0.25 per common share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(9,177)</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33,241</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October 3, 2026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36,692,152</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26,751</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(30,719)</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1,057,829</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1,054,228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0"/>
                <w:szCs w:val="20"/>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6"/>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28,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36,041,995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894,024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854,562</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(93,538)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of $0.80 per common share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(28,999)</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0" w:type="dxa"/>
            <w:vAlign w:val="bottom"/>
          </w:tcPr>
          <w:p>
            <w:pPr>
              <w:spacing w:after="0"/>
              <w:rPr>
                <w:sz w:val="1"/>
                <w:szCs w:val="1"/>
                <w:color w:val="auto"/>
              </w:rPr>
            </w:pPr>
          </w:p>
        </w:tc>
      </w:tr>
      <w:tr>
        <w:trPr>
          <w:trHeight w:val="212"/>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29, 2025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36,237,114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880,564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847,245</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of $0.25 per common share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0" w:type="dxa"/>
            <w:vAlign w:val="bottom"/>
          </w:tcPr>
          <w:p>
            <w:pPr>
              <w:spacing w:after="0"/>
              <w:rPr>
                <w:sz w:val="1"/>
                <w:szCs w:val="1"/>
                <w:color w:val="auto"/>
              </w:rPr>
            </w:pPr>
          </w:p>
        </w:tc>
      </w:tr>
      <w:tr>
        <w:trPr>
          <w:trHeight w:val="212"/>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28, 2025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36,467,071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853,902</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of $0.25 per common share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16,303</w:t>
            </w:r>
          </w:p>
        </w:tc>
        <w:tc>
          <w:tcPr>
            <w:tcW w:w="0" w:type="dxa"/>
            <w:vAlign w:val="bottom"/>
          </w:tcPr>
          <w:p>
            <w:pPr>
              <w:spacing w:after="0"/>
              <w:rPr>
                <w:sz w:val="1"/>
                <w:szCs w:val="1"/>
                <w:color w:val="auto"/>
              </w:rPr>
            </w:pPr>
          </w:p>
        </w:tc>
      </w:tr>
      <w:tr>
        <w:trPr>
          <w:trHeight w:val="237"/>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27, 2025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36,518,637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864,642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184785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19"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1"/>
        </w:trPr>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198"/>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155,905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27,578</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37,797</w:t>
            </w: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w:t>
            </w: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excess and obsolete inventory,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18,667</w:t>
            </w: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foreign currency exchange loss (gain),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w:t>
            </w: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Pension plan settlement</w:t>
            </w:r>
          </w:p>
        </w:tc>
        <w:tc>
          <w:tcPr>
            <w:tcW w:w="24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8,777</w:t>
            </w: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 expense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operating items,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changes in operating assets and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(48,893)</w:t>
            </w:r>
          </w:p>
        </w:tc>
      </w:tr>
      <w:tr>
        <w:trPr>
          <w:trHeight w:val="219"/>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(153,621)</w:t>
            </w:r>
          </w:p>
        </w:tc>
      </w:tr>
      <w:tr>
        <w:trPr>
          <w:trHeight w:val="213"/>
        </w:trPr>
        <w:tc>
          <w:tcPr>
            <w:tcW w:w="7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(25,509)</w:t>
            </w:r>
          </w:p>
        </w:tc>
      </w:tr>
      <w:tr>
        <w:trPr>
          <w:trHeight w:val="219"/>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(14,946)</w:t>
            </w:r>
          </w:p>
        </w:tc>
      </w:tr>
      <w:tr>
        <w:trPr>
          <w:trHeight w:val="207"/>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101,811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(136,310)</w:t>
            </w:r>
          </w:p>
        </w:tc>
      </w:tr>
      <w:tr>
        <w:trPr>
          <w:trHeight w:val="77"/>
        </w:trPr>
        <w:tc>
          <w:tcPr>
            <w:tcW w:w="74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(42,662)</w:t>
            </w:r>
          </w:p>
        </w:tc>
      </w:tr>
      <w:tr>
        <w:trPr>
          <w:trHeight w:val="213"/>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(104,663)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(42,662)</w:t>
            </w:r>
          </w:p>
        </w:tc>
      </w:tr>
      <w:tr>
        <w:trPr>
          <w:trHeight w:val="91"/>
        </w:trPr>
        <w:tc>
          <w:tcPr>
            <w:tcW w:w="7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80" w:type="dxa"/>
            <w:vAlign w:val="bottom"/>
          </w:tcPr>
          <w:p>
            <w:pPr>
              <w:spacing w:after="0"/>
              <w:rPr>
                <w:sz w:val="7"/>
                <w:szCs w:val="7"/>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(47,247)</w:t>
            </w:r>
          </w:p>
        </w:tc>
      </w:tr>
      <w:tr>
        <w:trPr>
          <w:trHeight w:val="21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Withholdings from vesting of restricted stock</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w:t>
            </w:r>
          </w:p>
        </w:tc>
      </w:tr>
      <w:tr>
        <w:trPr>
          <w:trHeight w:val="21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9"/>
        </w:trPr>
        <w:tc>
          <w:tcPr>
            <w:tcW w:w="74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(52,106)</w:t>
            </w:r>
          </w:p>
        </w:tc>
      </w:tr>
      <w:tr>
        <w:trPr>
          <w:trHeight w:val="77"/>
        </w:trPr>
        <w:tc>
          <w:tcPr>
            <w:tcW w:w="7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r>
      <w:tr>
        <w:trPr>
          <w:trHeight w:val="20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(228,736)</w:t>
            </w: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412,926</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450,957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184,190</w:t>
            </w:r>
          </w:p>
        </w:tc>
      </w:tr>
      <w:tr>
        <w:trPr>
          <w:trHeight w:val="21"/>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9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 xml:space="preserve">Carter’s, Inc. and its wholly owned subsidiaries (collectively, the “Company”) design, source, and market branded childrenswear under the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OshKosh B’gosh </w:t>
      </w:r>
      <w:r>
        <w:rPr>
          <w:rFonts w:ascii="Times New Roman" w:cs="Times New Roman" w:eastAsia="Times New Roman" w:hAnsi="Times New Roman"/>
          <w:sz w:val="17"/>
          <w:szCs w:val="17"/>
          <w:color w:val="auto"/>
        </w:rPr>
        <w:t>(or “</w:t>
      </w:r>
      <w:r>
        <w:rPr>
          <w:rFonts w:ascii="Times New Roman" w:cs="Times New Roman" w:eastAsia="Times New Roman" w:hAnsi="Times New Roman"/>
          <w:sz w:val="17"/>
          <w:szCs w:val="17"/>
          <w:i w:val="1"/>
          <w:iCs w:val="1"/>
          <w:color w:val="auto"/>
        </w:rPr>
        <w:t>OshKosh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Skip Hop, Child of Mine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Just One You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Simple Joys, Little Planet, Otter Avenue, </w:t>
      </w:r>
      <w:r>
        <w:rPr>
          <w:rFonts w:ascii="Times New Roman" w:cs="Times New Roman" w:eastAsia="Times New Roman" w:hAnsi="Times New Roman"/>
          <w:sz w:val="17"/>
          <w:szCs w:val="17"/>
          <w:color w:val="auto"/>
        </w:rPr>
        <w:t>and other brands.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are sourced through contractual arrangements with manufacturers worldwide for sale in the Company’s retail stores, eCommerce sites, and mobile app, which offer the Company’s brand name merchandise and other licensed products manufactured by other companies. The Company also distributes its products to wholesale customers, which include leading department stores, national chains, and specialty retailers domestically and internationally.</w:t>
      </w:r>
    </w:p>
    <w:p>
      <w:pPr>
        <w:spacing w:after="0" w:line="141"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Our trademarks that are referred to in this Quarterly Report on Form 10-Q, including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Skip Hop, 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One You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Simple Joys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Little Planet, Otter Avenue, PurelySoft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Carter’s Rewards</w:t>
      </w:r>
      <w:r>
        <w:rPr>
          <w:rFonts w:ascii="Times New Roman" w:cs="Times New Roman" w:eastAsia="Times New Roman" w:hAnsi="Times New Roman"/>
          <w:sz w:val="18"/>
          <w:szCs w:val="18"/>
          <w:color w:val="auto"/>
        </w:rPr>
        <w:t>, many of which are registered in the United States and in over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countries and territories, are each the property of one or more subsidiaries of Carter’s,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October 3, 2026 are not necessarily indicative of the results that may be expected for the current fiscal year ending January 2, 2027.</w:t>
      </w:r>
    </w:p>
    <w:p>
      <w:pPr>
        <w:spacing w:after="0" w:line="14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January 3, 2026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operates on a 52 or 53 week fiscal calendar. Fiscal 2026 will end on January 2, 2027 and includes 52 weeks. Fiscal 2025 ended on January 3, 2026 and included 53 weeks. The fiscal quarters ended October 3, 2026 and September 27, 2025 each included 13 weeks.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changes to these accounting policies. During the first quarter of fiscal 2026, the Company began accounting for potential refunds of tariffs previously paid under the International Emergency Economic Powers Act (“IEEPA”) as gain contingencies, as described below. During the third quarter of fiscal 2026, the Company began investing a portion of its cash in certificates of deposit, as described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IEEPA Tariff Recovery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2026, the U.S. Supreme Court ruled that tariffs imposed under the IEEPA were unlawful. Following the April 20, 2026 launch of U.S. Customs and Border Protection’s Consolidated Administration and Processing of Entries (“CAPE”) process, the Company submitted claims seeking approximately $130 million of refunds of previously paid IEEPA tariffs through the CAPE system.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elected to apply a gain contingency model in accordance with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xml:space="preserve"> to account for recoveries of previously paid IEEPA tariffs. Under this model, a gain contingency is not recognized in the financial statements until the gain is realized or realizable. Any recovery, when recognized, is reflected as a reduction of Cost of goods sold for amounts related to goods already sold, or as a reduction of inventory to the extent the related goods remain on hand.</w:t>
      </w:r>
    </w:p>
    <w:p>
      <w:pPr>
        <w:spacing w:after="0" w:line="14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second quarter of fiscal 2026, the Company received refund payments from U.S. Customs and Border Protection totaling approximately $132 million, including interest, in connection with various adjudicated claims, and the related recovery has been recognized. The Company recorded approximately $128 million of the recovery as a reduction of Cost of goods sold and $4 million in Interest income within the condensed consolidated statement of operations. As of October 3, 2026, the Company’s remaining unadjudicated IEEPA refund claims, which continue to be accounted for as gain contingencies, were approximately $2 million. Uncertainty remains regarding the timing, amount, and ultimate receipt of any further refunds, and accordingly no additional amounts have been recognized in the condensed consolidated financial statements for these remaining claims.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Short-Term Investments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original maturities of three months or less to be cash equivalents. Cash and cash equivalents include deposit accounts, cash management funds invested in U.S. government instruments, and certificates of deposit with original maturities of three months or less. These investments are stated at cost, which approximates fair value. Cash equivalents also include amounts due from third-party financial institutions for credit and debit card transactions; these amounts typically settle in less than five days.</w:t>
      </w:r>
    </w:p>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Investments with original maturities greater than three months at the date of purchase are excluded from Cash and cash equivalents. Such investments are classified as Short-term investments when their remaining maturities as of the balance sheet date are twelve months or less, and within Other assets when their remaining maturities as of the balance sheet date exceed twelve months. The Company’s Short-term investments consist of fixed-rate certificates of deposit held with a major financial institution, with interest payable at maturity. These investments are carried at cost, which approximates fair value due to their short-term maturities. Accrued interest is recorded within Prepaid expenses and other current assets in the condensed consolidated balance sheets, and interest earned is recognized in Interest income in the condensed consolidated statement of operations. Purchases of these investments are presented within investing activities in the condensed consolidated statement of cash flows, and amounts received at maturity are presented within investing activities to the extent of the original principal and within operating activities to the extent of interest received.</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October 3, 2026, the Company held $25.0 million of certificates of deposit classified as Cash and cash equivalents and $75.0 million of certificates of deposit classified as Short-term investments in the condensed consolidated balance sheets. No certificates of deposit were held as of January 3, 2026 or September 27,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Tradename Assets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second and third quarters of fiscal 2025, the Company identified a triggering event related to the new tariffs enacted by the U.S. Administration and the resulting unfavorable impact on the Company’s financial forecasts, as well as a sustained decrease in the Company’s stock price at that time. As a result, the Company performed a quantitative impairment test on the goodwill ascribed to each of the Company’s reporting units and on the value of its indefinite-lived intangible tradename assets in the second and third quarters of fiscal 2025, which resulted in no impairment. The Company did not identify any triggering events during the third quarter or first three quarters of fiscal 2026 that would require an interim quantitative impairment test.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of Shareholder Rights Plan</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September 22, 2025, the Board of Directors of the Company adopted a limited duration shareholder rights agreement (the “Rights Agreement”) in response to the rapid accumulation of a significant amount of the common stock of the Company by a third party. Pursuant to the Rights Agreement, the Company issued, by means of a “dividend,” one preferred share purchase right (a “Right”) for each outstanding share of the Company’s common stock to shareholders of record as of the close of business on October 3, 2025.</w:t>
      </w:r>
    </w:p>
    <w:p>
      <w:pPr>
        <w:spacing w:after="0" w:line="13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Rights Agreement expired in accordance with its terms on September 21, 2026, and all Rights issued thereunder expired unexercised. Neither the adoption nor the expiration of the Rights Agreement had an impact on the Company’s condensed consolidated financial statements, including basic and diluted earnings per share. Additional information is included in the Company’s Current Report on Form 8-K filed September 21, 2026, which is not incorporated herein by reference, as well as in Part II, Item 5. “Other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2024-03)</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The ASU is intended to increase transparency and comparability of financial statements by requiring public business entities to disclose in the notes to the financial statements additional information about specified expense components included in certain expense captions presented on the face of the consolidated statement of operations. The ASU is effective for fiscal years beginning after December 15, 2026 and for interim periods within fiscal years beginning after December 15, 2027, with early adoption permitted. The Company expects to adopt the ASU for its fiscal 2027 annual reporting period using a prospective transition method. The Company does not expect adoption of the ASU to have a material impact on amounts reported in its consolidated financial statements; however, adoption will require additional disclosures in the notes to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 (ASU 2025-06)</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Targeted Improvements to the Accounting for Internal-Use Software. The ASU modernizes the accounting for internal-use software by removing the existing “software development stages” model and instead requiring capitalization of internal-use software costs when (1) management has authorized and committed to funding the project and (2) it is probable the project will be completed and the software will be used as intended. The ASU is effective for fiscal years beginning after December 15, 2027 and interim periods within those annual periods, with early adoption permitted. The Company is currently evaluating the impact of adopting the ASU on its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94"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The Company generates revenue primarily from the sale of products to retail and wholesale customers and from royalties earned under licensing arrangements. Contracts with customers include written agreements as well as arrangements that are implied by customary business practices or law.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sells its products directly to consumers (“direct-to-consumer”) through its retail stores, eCommerce websites, and mobile app, and to other retailers and partners that in turn sell the products to their own consumers (“wholesale”). The Company also earns royalties from certain of its licensees that sell products under the Company’s brands.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disaggregated by segment and channel were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Fiscal quarter ended October 3, 2026</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220" w:type="dxa"/>
            <w:vAlign w:val="bottom"/>
          </w:tcPr>
          <w:p>
            <w:pPr>
              <w:spacing w:after="0"/>
              <w:rPr>
                <w:sz w:val="15"/>
                <w:szCs w:val="15"/>
                <w:color w:val="auto"/>
              </w:rPr>
            </w:pPr>
          </w:p>
        </w:tc>
        <w:tc>
          <w:tcPr>
            <w:tcW w:w="154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640" w:type="dxa"/>
            <w:vAlign w:val="bottom"/>
          </w:tcPr>
          <w:p>
            <w:pPr>
              <w:spacing w:after="0"/>
              <w:rPr>
                <w:sz w:val="15"/>
                <w:szCs w:val="15"/>
                <w:color w:val="auto"/>
              </w:rPr>
            </w:pPr>
          </w:p>
        </w:tc>
        <w:tc>
          <w:tcPr>
            <w:tcW w:w="980" w:type="dxa"/>
            <w:vAlign w:val="bottom"/>
            <w:gridSpan w:val="2"/>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74,641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437,265</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273,110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42,081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315,191</w:t>
            </w:r>
          </w:p>
        </w:tc>
      </w:tr>
      <w:tr>
        <w:trPr>
          <w:trHeight w:val="235"/>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116,722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752,456</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5,176</w:t>
            </w:r>
          </w:p>
        </w:tc>
      </w:tr>
    </w:tbl>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fiscal quarters ended October 3, 2026</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140" w:type="dxa"/>
            <w:vAlign w:val="bottom"/>
          </w:tcPr>
          <w:p>
            <w:pPr>
              <w:spacing w:after="0"/>
              <w:rPr>
                <w:sz w:val="15"/>
                <w:szCs w:val="15"/>
                <w:color w:val="auto"/>
              </w:rPr>
            </w:pPr>
          </w:p>
        </w:tc>
        <w:tc>
          <w:tcPr>
            <w:tcW w:w="16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201,806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1,201,355</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740,069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107,636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847,705</w:t>
            </w:r>
          </w:p>
        </w:tc>
      </w:tr>
      <w:tr>
        <w:trPr>
          <w:trHeight w:val="23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2,049,060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13,158</w:t>
            </w:r>
          </w:p>
        </w:tc>
      </w:tr>
    </w:tbl>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Fiscal quarter ended September 27, 2025</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44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70,209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432,516</w:t>
            </w: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283,805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41,515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325,320</w:t>
            </w:r>
          </w:p>
        </w:tc>
      </w:tr>
      <w:tr>
        <w:trPr>
          <w:trHeight w:val="234"/>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111,724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757,836</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5,428</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fiscal quarters ended September 27, 2025</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6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5"/>
                <w:szCs w:val="15"/>
                <w:color w:val="auto"/>
              </w:rPr>
            </w:pPr>
          </w:p>
        </w:tc>
        <w:tc>
          <w:tcPr>
            <w:tcW w:w="14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184,651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1,140,939</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726,899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105,137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832,036</w:t>
            </w:r>
          </w:p>
        </w:tc>
      </w:tr>
      <w:tr>
        <w:trPr>
          <w:trHeight w:val="23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289,788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1,972,975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14,008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Accounts receivable, net were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200" w:type="dxa"/>
            <w:vAlign w:val="bottom"/>
          </w:tcPr>
          <w:p>
            <w:pPr>
              <w:spacing w:after="0"/>
              <w:rPr>
                <w:sz w:val="18"/>
                <w:szCs w:val="18"/>
                <w:color w:val="auto"/>
              </w:rPr>
            </w:pPr>
          </w:p>
        </w:tc>
        <w:tc>
          <w:tcPr>
            <w:tcW w:w="17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212"/>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from wholesale customers, net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174,566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239,417</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 receivable</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w:t>
            </w:r>
          </w:p>
        </w:tc>
      </w:tr>
      <w:tr>
        <w:trPr>
          <w:trHeight w:val="219"/>
        </w:trPr>
        <w:tc>
          <w:tcPr>
            <w:tcW w:w="51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Other receivables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8,957</w:t>
            </w:r>
          </w:p>
        </w:tc>
      </w:tr>
      <w:tr>
        <w:trPr>
          <w:trHeight w:val="20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receivables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243,742</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190,282</w:t>
            </w:r>
          </w:p>
        </w:tc>
        <w:tc>
          <w:tcPr>
            <w:tcW w:w="1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253,334</w:t>
            </w:r>
          </w:p>
        </w:tc>
      </w:tr>
      <w:tr>
        <w:trPr>
          <w:trHeight w:val="219"/>
        </w:trPr>
        <w:tc>
          <w:tcPr>
            <w:tcW w:w="51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Less: Wholesale accounts receivable reserves</w:t>
            </w:r>
            <w:r>
              <w:rPr>
                <w:rFonts w:ascii="Times New Roman" w:cs="Times New Roman" w:eastAsia="Times New Roman" w:hAnsi="Times New Roman"/>
                <w:sz w:val="21"/>
                <w:szCs w:val="21"/>
                <w:color w:val="auto"/>
                <w:vertAlign w:val="superscript"/>
              </w:rPr>
              <w:t>(2)(3)</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(15,468)</w:t>
            </w: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228,858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178,566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237,866</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120" w:hanging="332"/>
        <w:spacing w:after="0" w:line="30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related to shipping volume rebates, healthcare-related rebates, amounts due from third-party gift card program partners, recoveries related to provisional anti-dumping duties in Mexico, and tax recoveries.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chargebacks of $3.7 million, $4.1 million, and $3.4 million for the periods ended October 3, 2026, January 3, 2026, and September 27, 2025, respectively.</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credit losses of $11.2 million, $7.6 million, and $12.0 million for the periods ended October 3, 2026, January 3, 2026, and September 27, 2025,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assets are not material to the Company’s condensed consolidated financial statements.</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recognizes a contract liability when it has received consideration before transferring the related goods to the customer. The Company’s contract liabilities primarily consist of (1) obligations related to unredeemed gift cards, (2) unredeemed customer loyalty rewards, and (3) the unamortized upfront bonus received from a third-party financial institution under the Company’s private label credit card program. Contract liabilities are classified as current and are included in Other current liabilities on the Company’s condensed consolidated balance sheets.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contract liabilities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200" w:type="dxa"/>
            <w:vAlign w:val="bottom"/>
          </w:tcPr>
          <w:p>
            <w:pPr>
              <w:spacing w:after="0"/>
              <w:rPr>
                <w:sz w:val="18"/>
                <w:szCs w:val="18"/>
                <w:color w:val="auto"/>
              </w:rPr>
            </w:pPr>
          </w:p>
        </w:tc>
        <w:tc>
          <w:tcPr>
            <w:tcW w:w="1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19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Unredeemed gift cards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25,318</w:t>
            </w: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Unredeemed customer loyalty rewards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Carter’s credit card upfront bonus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37"/>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contract liabilities - current</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Contract Liabilities</w:t>
      </w:r>
    </w:p>
    <w:p>
      <w:pPr>
        <w:spacing w:after="0" w:line="10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Unredeemed gift cards - represent obligations to transfer goods in the future to customers that have purchased gift cards. Gift card contract liabilities change due to the issuance and redemption of gift cards and the recognition of breakage on balances that are not expected to be redeemed. Although gift cards do not expire, all outstanding gift card balances are classified as current liabilities, as they are redeemable on demand by the cardholder. The majority of gift cards are redeemed within one year of issuance. During the third quarters of fiscal 2026 and fiscal 2025, the Company recognized revenue of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$1.3 million and $1.3 million related to the gift card liability balance that existed at July 4, 2026 and June 28, 2025, respectively. Additionally, during the first three quarters of fiscal 2026 and fiscal 2025, the Company recognized revenue of $7.3 million and $6.8 million related to the gift card liability balance that existed at January 3, 2026 and December 28, 2024, respectively.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Unredeemed loyalty rewards - represent obligations under the Company’s loyalty program to transfer goods in the future to customers when the reward certificates are redeemed. Changes in the loyalty program contract liability result from new rewards earned, and reward certificate redemptions and expirations. The earning and redemption cycles are under one year in duration.</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Carter’s credit card upfront bonus - represents the unamortized portion of the upfront signing bonus received from a third-party financial institution under the Company’s private label credit card program. This bonus was recognized as revenue over the term of the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OTHER CURRENT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16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212"/>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Unredeemed gift cards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25,318</w:t>
            </w:r>
          </w:p>
        </w:tc>
      </w:tr>
      <w:tr>
        <w:trPr>
          <w:trHeight w:val="216"/>
        </w:trPr>
        <w:tc>
          <w:tcPr>
            <w:tcW w:w="5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Income taxes payable</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7,286</w:t>
            </w:r>
          </w:p>
        </w:tc>
      </w:tr>
      <w:tr>
        <w:trPr>
          <w:trHeight w:val="216"/>
        </w:trPr>
        <w:tc>
          <w:tcPr>
            <w:tcW w:w="5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Accrued employee benefits</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13,851</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10,671</w:t>
            </w:r>
          </w:p>
        </w:tc>
      </w:tr>
      <w:tr>
        <w:trPr>
          <w:trHeight w:val="216"/>
        </w:trPr>
        <w:tc>
          <w:tcPr>
            <w:tcW w:w="55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48,964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36,601</w:t>
            </w:r>
          </w:p>
        </w:tc>
      </w:tr>
      <w:tr>
        <w:trPr>
          <w:trHeight w:val="234"/>
        </w:trPr>
        <w:tc>
          <w:tcPr>
            <w:tcW w:w="5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110,907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 as of October 3, 2026 primarily reflects the timing of estimated income tax payments, which are based on annualized income.</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accruals for severance and other termination benefits. See Note 13, </w:t>
      </w:r>
      <w:r>
        <w:rPr>
          <w:rFonts w:ascii="Times New Roman" w:cs="Times New Roman" w:eastAsia="Times New Roman" w:hAnsi="Times New Roman"/>
          <w:sz w:val="14"/>
          <w:szCs w:val="14"/>
          <w:i w:val="1"/>
          <w:iCs w:val="1"/>
          <w:color w:val="auto"/>
        </w:rPr>
        <w:t>Organizational Restructuring</w:t>
      </w:r>
      <w:r>
        <w:rPr>
          <w:rFonts w:ascii="Times New Roman" w:cs="Times New Roman" w:eastAsia="Times New Roman" w:hAnsi="Times New Roman"/>
          <w:sz w:val="14"/>
          <w:szCs w:val="14"/>
          <w:color w:val="auto"/>
        </w:rPr>
        <w:t>, for additional information.</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as of October 3, 2026 and January 3, 2026 include liabilities under the deferred compensation plan. See Note 10,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additional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SUPPLY CHAIN FINANCE PROGRAM</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established a voluntary supply chain finance (“SCF”) program through participating financial institutions. This SCF program enables participating suppliers to accelerate payments for receivables due from the Company by selling receivables directly to the participating financial institutions at their discretion. As of October 3, 2026, the SCF program has a $70.0 million revolving capacity. The Company is not a party to the agreements between the participating financial institutions and the suppliers in connection with the SCF program and has no economic interest in the suppliers’ decision to sell a receivable. Payment terms for most of the Company’s suppliers are 60 days, regardless of participation in the SCF program. The Company settles obligations with the participating financial institutions in accordance with the original invoice due dates, and participation in the SCF program does not extend the Company’s payment terms. The Company does not provide any guarantees in connection with the SCF program and does not pledge collateral under the program.</w:t>
      </w:r>
    </w:p>
    <w:p>
      <w:pPr>
        <w:spacing w:after="0" w:line="15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amounts payable to participating financial institutions for suppliers who voluntarily participate in the SCF program is included in Accounts payable on the condensed consolidated balance sheets. As of October 3, 2026, January 3, 2026, and September 27, 2025, amounts under the SCF program included in Accounts payable were $23.7 million, $13.5 million, and $24.5 million, respectively. Payments made in connection with the SCF program, like payments of other accounts payable, are reflected as a reduction to operating cash flow.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16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$575 million 7.375% Senior Notes due 2031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million 5.625% Senior Notes due 2027</w:t>
            </w:r>
          </w:p>
        </w:tc>
        <w:tc>
          <w:tcPr>
            <w:tcW w:w="2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issuance-related costs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r>
      <w:tr>
        <w:trPr>
          <w:trHeight w:val="207"/>
        </w:trPr>
        <w:tc>
          <w:tcPr>
            <w:tcW w:w="5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Senior notes,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568,135</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567,173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498,738</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5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long-term debt, net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568,135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567,173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498,738</w:t>
            </w:r>
          </w:p>
        </w:tc>
      </w:tr>
      <w:tr>
        <w:trPr>
          <w:trHeight w:val="23"/>
        </w:trPr>
        <w:tc>
          <w:tcPr>
            <w:tcW w:w="5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October 3, 2026 and January 3, 2026, the Company had no outstanding borrowings under its secured asset-based revolving credit facility (“ABL facility”), exclusive of $5.8 million and $6.3 million of outstanding letters of credit, respectively. As of September 27, 2025, the Company had no outstanding borrowings under its secured cash-flow-based</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revolving credit facility, exclusive of $6.9 million of outstanding letters of credit. As of October 3, 2026, January 3, 2026, and September 27, 2025, there was approximately $540.5 million, $743.7 million, and $843.1 million available for future borrowing, respectively. Any outstanding borrowings under the Company’s ABL facility and secured cash-flow-based revolving credit facility are classified as non-current liabilities on the Company’s condensed consolidated balance sheets due to contractual repayment terms under the credit facility. However, these repayment terms also allow the Company to repay some or all of the outstanding borrowings at any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Facility</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17, 2025, the Company, through its wholly owned subsidiary, The William Carter Company (“TWCC”), entered into a new five-year ABL facility of up to $750.0 million. The ABL facility replaced the Company’s existing $850.0 million secured cash-flow-based revolving credit facility due April 2027. Borrowings under the ABL facility will mature, and lending commitments thereunder will terminate, in November 2030.</w:t>
      </w:r>
    </w:p>
    <w:p>
      <w:pPr>
        <w:spacing w:after="0" w:line="13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ABL facility contains various covenants, including those that restrict the Company’s ability and the ability of its restricted subsidiaries to incur certain indebtedness, pay dividends or make distributions or other restricted payments, or to grant certain liens on their respective property or assets, among other things. The ABL facility also includes a springing financial covenant, consisting of, if the excess availability falls below certain thresholds, a fixed charge coverage ratio not to be less than 1.00 to 1.00.</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availability under the ABL facility was $540.5 million and $743.7 million as of October 3, 2026 and January 3, 2026, respectively. Availability is determined using borrowing base calculations of eligible inventory, accounts receivable, and intellectual property balances, less availability reserves, current outstanding borrowings under the ABL facility, and outstanding letters of credit. Availability may fluctuate throughout the year principally based on changes in eligible inventory and accounts receivable balances. As of October 3, 2026, the borrowing rate for a term Secured Overnight Financing Rate (“SOFR”) loan would have been 5.16%, which includes an excess availability-based adjustment of 1.25%.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2026, the Company was in compliance with its covenants and requirements under the ABL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0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On November 13, 2025, TWCC issued $575.0 million principal amount of senior notes at par, bearing interest at a rate of 7.375% per annum, and maturing on February 15, 2031. TWCC received net proceeds from the offering of the senior notes of approximately $567.0 million, after deducting underwriting fees and other expenses, which TWCC used to redeem the senior notes discussed below and for other general corporate purposes. Approximately</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$8.0 million, including both bank fees and other third-party expenses, was capitalized in connection with the issuance and is being amortized over the term of the senior notes.</w:t>
      </w:r>
    </w:p>
    <w:p>
      <w:pPr>
        <w:spacing w:after="0" w:line="1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27, 2025, TWCC redeemed $500.0 million principal amount of senior notes, bearing interest at a rate of 5.625% per annum, and originally maturing on March 15, 2027. Pursuant to the optional redemption provisions described in the indenture dated as of March 14, 2019, TWCC paid the outstanding principal plus accrued and unpaid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has authorized share repurchase programs providing for the repurchase of up to an aggregate of $1.00 billion of the Company’s common stock. As of October 3, 2026, the total remaining capacity under outstanding repurchase authorizations, based on settled repurchase transactions, was $599.0 million. The share repurchase authorizations have no expiration dates.</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and retire any shares of its common stock through open market transactions during the first three quarters of fiscal 2026 and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each of the first three quarters of fiscal 2026, the Company’s Board declared, and the Company paid, a cash dividend per common share of $0.25 (for an aggregate of $0.75 per common share for the first three quarters of fiscal 2026). In the first,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second, and third quarters of fiscal 2025, the Board declared, and the Company paid, a cash dividend per common share of $0.80, $0.25, and $0.25, respectively (for an aggregate of $1.30 per common share for the first three quarters of fiscal 2025).</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Board will evaluate future dividend declarations based on a number of factors, including restrictions under the Company’s secured asset-based revolving credit facility, business conditions, the Company’s financial performance, and other considerations.</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Provisions in the Company’s ABL facility could have the effect of restricting the Company’s ability to pay cash dividends on, or make future repurchases of, its common stock, as further described in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condensed consolidated financial statements</w:t>
      </w:r>
      <w:r>
        <w:rPr>
          <w:rFonts w:ascii="Times New Roman" w:cs="Times New Roman" w:eastAsia="Times New Roman" w:hAnsi="Times New Roman"/>
          <w:sz w:val="18"/>
          <w:szCs w:val="18"/>
          <w:i w:val="1"/>
          <w:i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20" w:type="dxa"/>
            <w:vAlign w:val="bottom"/>
          </w:tcPr>
          <w:p>
            <w:pPr>
              <w:spacing w:after="0"/>
              <w:rPr>
                <w:sz w:val="18"/>
                <w:szCs w:val="18"/>
                <w:color w:val="auto"/>
              </w:rPr>
            </w:pPr>
          </w:p>
        </w:tc>
        <w:tc>
          <w:tcPr>
            <w:tcW w:w="342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19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6"/>
        </w:trPr>
        <w:tc>
          <w:tcPr>
            <w:tcW w:w="3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Time-based awards</w:t>
            </w:r>
            <w:r>
              <w:rPr>
                <w:rFonts w:ascii="Times New Roman" w:cs="Times New Roman" w:eastAsia="Times New Roman" w:hAnsi="Times New Roman"/>
                <w:sz w:val="21"/>
                <w:szCs w:val="21"/>
                <w:color w:val="auto"/>
                <w:vertAlign w:val="superscript"/>
              </w:rPr>
              <w:t>(1)(2)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15,260</w:t>
            </w:r>
          </w:p>
        </w:tc>
      </w:tr>
      <w:tr>
        <w:trPr>
          <w:trHeight w:val="216"/>
        </w:trPr>
        <w:tc>
          <w:tcPr>
            <w:tcW w:w="38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Performance-based awards</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16"/>
        </w:trPr>
        <w:tc>
          <w:tcPr>
            <w:tcW w:w="3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Market-based awards</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3"/>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awards</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12"/>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18,667</w:t>
            </w:r>
          </w:p>
        </w:tc>
      </w:tr>
      <w:tr>
        <w:trPr>
          <w:trHeight w:val="21"/>
        </w:trPr>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180" w:hanging="332"/>
        <w:spacing w:after="0" w:line="30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three quarters of fiscal 2025 include accelerated vesting of outstanding time-based restricted stock awards related to the retirement of Michael D. Casey, the Company’s former Chief Executive Officer, in the first quarter of fiscal 2025.</w:t>
      </w:r>
    </w:p>
    <w:p>
      <w:pPr>
        <w:spacing w:after="0" w:line="1" w:lineRule="exact"/>
        <w:rPr>
          <w:rFonts w:ascii="Times New Roman" w:cs="Times New Roman" w:eastAsia="Times New Roman" w:hAnsi="Times New Roman"/>
          <w:sz w:val="14"/>
          <w:szCs w:val="14"/>
          <w:color w:val="auto"/>
        </w:rPr>
      </w:pPr>
    </w:p>
    <w:p>
      <w:pPr>
        <w:ind w:left="340" w:right="560" w:hanging="332"/>
        <w:spacing w:after="0" w:line="28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three quarters of fiscal 2026 include forfeitures of outstanding time-based, performance-based, and market-based restricted stock awards related to the departure of Douglas C. Palladini, the Company’s former Chief Executive Officer, in the second quarter of fiscal 2026.</w:t>
      </w:r>
    </w:p>
    <w:p>
      <w:pPr>
        <w:spacing w:after="0" w:line="13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cost ratably over the applicable performance periods based on the estimated probability of achievement of its performance targets at the end of each period.</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April 28, 2026, Douglas C. Palladini departed the Company as Chief Executive Officer (“CEO”) and President and resigned as a member of the Board. In connection with his departure, his outstanding restricted stock awards were forfeited, resulting in a reversal of previously recognized stock-based compensation expense of approximately $0.5 million, which is reflected in the table above for the first three quarters of fiscal 2026.</w:t>
      </w:r>
    </w:p>
    <w:p>
      <w:pPr>
        <w:spacing w:after="0" w:line="13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May 1, 2026, the Company announced the appointment of Sharon Price John as CEO and President of the Company and a member of the Board, effective June 15, 2026. On June 15, 2026, in connection with Ms. John’s appointment pursuant to the terms of her employment agreement, the Company granted Ms. John 62,204 shares of time-based restricted stock awards, 46,651 shares of performance-based restricted stock awards, and 46,651 shares of market-based restricted stock awards. The number of shares granted was based on the closing price of the Company’s stock on the grant date, which was $41.80, with the time-based and performance-based restricted stock awards having a grant-date fair value of $41.80 per share and the market-based restricted stock awards having a grant-date fair value of $69.05 per share.</w:t>
      </w:r>
    </w:p>
    <w:p>
      <w:pPr>
        <w:spacing w:after="0" w:line="14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market-based restricted stock awards cliff vest at the end of the three-year performance period ending December 30, 2028, subject to the performance of the Company’s total shareholder return (“TSR”) relative to a defined peer group over the three-year period. A Monte-Carlo simulation was utilized to determine the grant-date fair value of the market-based restricted stock awards in fiscal 2026, using the following assumptions: beginning TSR price of $32.14, grant-date share price of $41.80, simulation term of 2.5 years, expected volatility of 48.7%, and risk-free interest rate of 4.1%.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ACCUMULATED OTHER COMPREHENSIVE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consisted of the following:</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4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18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213"/>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(29,173)</w:t>
            </w:r>
          </w:p>
        </w:tc>
      </w:tr>
      <w:tr>
        <w:trPr>
          <w:trHeight w:val="216"/>
        </w:trPr>
        <w:tc>
          <w:tcPr>
            <w:tcW w:w="520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Pension and post-retirement obligations</w:t>
            </w:r>
            <w:r>
              <w:rPr>
                <w:rFonts w:ascii="Times New Roman" w:cs="Times New Roman" w:eastAsia="Times New Roman" w:hAnsi="Times New Roman"/>
                <w:sz w:val="21"/>
                <w:szCs w:val="21"/>
                <w:color w:val="auto"/>
                <w:vertAlign w:val="superscript"/>
              </w:rPr>
              <w:t>(1)(2)(3)</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34"/>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taxes of $0.2 million, $0.3 million, and $0.3 million for the periods ended October 3, 2026, January 3, 2026, and September 27, 2025, respectively.</w:t>
      </w:r>
    </w:p>
    <w:p>
      <w:pPr>
        <w:spacing w:after="0" w:line="68" w:lineRule="exact"/>
        <w:rPr>
          <w:rFonts w:ascii="Times New Roman" w:cs="Times New Roman" w:eastAsia="Times New Roman" w:hAnsi="Times New Roman"/>
          <w:sz w:val="14"/>
          <w:szCs w:val="14"/>
          <w:color w:val="auto"/>
        </w:rPr>
      </w:pPr>
    </w:p>
    <w:p>
      <w:pPr>
        <w:ind w:left="340" w:right="180" w:hanging="332"/>
        <w:spacing w:after="0" w:line="291"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2025, the Company substantially completed the process of settling its pension obligations under the frozen OshKosh B’Gosh, Inc. Pension Plan. In the first quarter of fiscal 2026, the Company distributed the surplus plan assets, net of final plan expenses and adjustments, in accordance with the terms of the plan and regulatory requirements.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first quarter of fiscal 2026, the Company settled its post-retirement life insurance liabilities.</w:t>
      </w:r>
    </w:p>
    <w:p>
      <w:pPr>
        <w:spacing w:after="0" w:line="1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2026, the Company made a lump-sum payment to a third-party insurance provider to assume all remaining premium obligations related to its post-retirement life insurance arrangement. In connection with this settlement, $0.4 million of deferred gains on post-retirement life obligations (net of income taxes of $0.1 million) were reclassified from Accumulated other comprehensive loss to Other expense (income), net within the condensed consolidated statement of operations. During the third quarter of fiscal 2026, no amounts were reclassified from Accumulated other comprehensive loss to the condensed consolidated statement of operations.</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third quarter of fiscal 2025, the Company substantially completed the process of settling its pension obligations under the frozen OshKosh B’Gosh, Inc. Pension Plan (the “pension plan”). As a result, the Company remeasured the funded status of the pension plan as of August 31, 2025. In the third quarter and first three quarters of fiscal 2025, a gain on pension obligations of $0.9 million (net of income taxes of $0.3 million) was recognized in Accumulated other comprehensive loss related to this remeasurement. Additionally, in the third quarter and first three quarters of fiscal 2025, $4.1 million of deferred losses on pension obligations (net of income taxes of $1.3 million) were reclassified from Accumulated other comprehensive loss to Pension plan settlement within the condensed consolidated statement of operations in connection with the settlement of the pension plan. In the first quarter of fiscal 2026, the Company distributed the surplus plan assets, net of final plan expenses and adjustments, in accordance with the terms of the plan and regulatory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 Investments</w:t>
      </w:r>
    </w:p>
    <w:p>
      <w:pPr>
        <w:spacing w:after="0" w:line="9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support of The William Carter Company Deferred Compensation Plan (the “Deferred Compensation Plan”), the Company invested comparable amounts in marketable securities, principally equity-based mutual funds, to approximate the participants’ investment return on employee deferrals of compensation. These investments were held in an irrevocable Rabbi Trust established to fund the Company’s obligations under the Deferred Compensation Plan and their use was restricted to meeting those obligations.</w:t>
      </w:r>
    </w:p>
    <w:p>
      <w:pPr>
        <w:spacing w:after="0" w:line="153"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fiscal 2025, the Board approved the termination of the Deferred Compensation Plan, effective as of September 20, 2025. In October 2026, subsequent to the end of the third quarter of fiscal 2026, the Company liquidated the Rabbi Trust investments and settled the Deferred Compensation Plan obligations.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Rabbi Trust investments were included in Prepaid expenses and other current assets on the Company’s condensed consolidated balance sheets as of October 3, 2026 and January 3, 2026, and their aggregate fair values were $23.3 million and $21.7 million, respectively. As of September 27, 2025, the aggregate fair value of the Rabbi Trust investments was $21.0 million and was included in Other assets. The change in classification reflects the Company’s intent, following the termination of the Deferred Compensation Plan, to liquidate the Rabbi Trust investments to fund the settlement of Deferred Compensation Plan obligations.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$0.4 million and $1.6 million for the third quarter and the first three quarters of fiscal 2026, respectively. Gains on the investments in marketable securities were $1.0 million and $1.5 million for the third quarter and the first three quarters of fiscal 2025, respectively. These amounts are included in Other expense (income), net on the Company’s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2026, the Company had no outstanding borrowings under its ABL facility.</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the Company’s senior notes was $579.3 million, $592.9 million, and $500.2 million at October 3, 2026, January 3, 2026, and September 27, 2025, respectively. The fair value of these senior notes was estimated using observable market inputs, which incorporate quoted market prices of comparable borrowings, the Company’s credit risk, and current market conditions, and is therefore within Level 2 of the fair value hierarchy. The senior notes had a notional value and carrying value (gross of debt issuance costs) of $575.0 million, $575.0 million, and $500.0 million as of October 3, 2026, January 3, 2026, and September 27, 2025,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and Long-Lived Tangible Assets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Some assets are not measured at fair value on a recurring basis but are subject to fair value adjustments only in certain circumstances. These assets can include goodwill, indefinite-lived intangible assets, and other long-lived assets that have been reduced to fair value when impaired. Assets that are written down to fair value when impaired are not subsequently adjusted to fair value unless further impairment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tax rates for the fiscal periods indicated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40" w:type="dxa"/>
            <w:vAlign w:val="bottom"/>
          </w:tcPr>
          <w:p>
            <w:pPr>
              <w:spacing w:after="0"/>
              <w:rPr>
                <w:sz w:val="18"/>
                <w:szCs w:val="18"/>
                <w:color w:val="auto"/>
              </w:rPr>
            </w:pPr>
          </w:p>
        </w:tc>
        <w:tc>
          <w:tcPr>
            <w:tcW w:w="352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49,009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10,308</w:t>
            </w:r>
          </w:p>
        </w:tc>
      </w:tr>
      <w:tr>
        <w:trPr>
          <w:trHeight w:val="21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27.2 %</w:t>
            </w:r>
          </w:p>
        </w:tc>
      </w:tr>
    </w:tbl>
    <w:p>
      <w:pPr>
        <w:spacing w:after="0" w:line="2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was 24.4% for the third fiscal quarter ended October 3, 2026, compared to 21.8% for the third fiscal quarter ended September 27, 2025. The increase in the effective tax rate for the period was driven by a higher estimated annual effective tax rate, reflecting a larger proportion of income generated in higher tax jurisdictions, including income from IEEPA tariff refunds in the U.S., and net unfavorable discrete tax items compared to the prior-year period.</w:t>
      </w:r>
    </w:p>
    <w:p>
      <w:pPr>
        <w:spacing w:after="0" w:line="139"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23.9% for the first three fiscal quarters ended October 3, 2026, compared to 27.2% for the first three fiscal quarters ended September 27, 2025. The decrease in the effective tax rate was driven by discrete tax items recognized in the prior-year period, including incremental tax expense related to expiring stock-based compensation, which had a disproportionate impact on that period’s rate given its lower level of pre-tax income. This was partially offset by a higher estimated annual effective tax rate, reflecting a larger proportion of income generated in higher tax jurisdictions.</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October 3, 2026, the Company had gross unrecognized income tax benefits of $6.2 million, of which $5.2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00" w:type="dxa"/>
            <w:vAlign w:val="bottom"/>
          </w:tcPr>
          <w:p>
            <w:pPr>
              <w:spacing w:after="0"/>
              <w:rPr>
                <w:sz w:val="18"/>
                <w:szCs w:val="18"/>
                <w:color w:val="auto"/>
              </w:rPr>
            </w:pPr>
          </w:p>
        </w:tc>
        <w:tc>
          <w:tcPr>
            <w:tcW w:w="270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October 3, 2026   September 27, 2025</w:t>
            </w:r>
          </w:p>
        </w:tc>
        <w:tc>
          <w:tcPr>
            <w:tcW w:w="0" w:type="dxa"/>
            <w:vAlign w:val="bottom"/>
          </w:tcPr>
          <w:p>
            <w:pPr>
              <w:spacing w:after="0"/>
              <w:rPr>
                <w:sz w:val="1"/>
                <w:szCs w:val="1"/>
                <w:color w:val="auto"/>
              </w:rPr>
            </w:pP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53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Weighted-average number of common and common equivalent shares</w:t>
            </w: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54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outstanding:</w:t>
            </w:r>
          </w:p>
        </w:tc>
        <w:tc>
          <w:tcPr>
            <w:tcW w:w="8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38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35,623,722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35,443,712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35,569,482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35,388,596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Diluted number of common and common equivalent shares outstanding</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35,636,227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35,443,858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35,577,439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35,388,944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Earnings per share: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80" w:type="dxa"/>
            <w:vAlign w:val="bottom"/>
            <w:tcBorders>
              <w:bottom w:val="single" w:sz="8" w:color="CCEEFF"/>
            </w:tcBorders>
            <w:gridSpan w:val="4"/>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3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380" w:type="dxa"/>
            <w:vAlign w:val="bottom"/>
            <w:gridSpan w:val="4"/>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6"/>
                <w:szCs w:val="16"/>
                <w:color w:val="auto"/>
              </w:rPr>
            </w:pPr>
          </w:p>
        </w:tc>
        <w:tc>
          <w:tcPr>
            <w:tcW w:w="4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6"/>
                <w:szCs w:val="16"/>
                <w:color w:val="auto"/>
              </w:rPr>
            </w:pPr>
          </w:p>
        </w:tc>
        <w:tc>
          <w:tcPr>
            <w:tcW w:w="3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80" w:type="dxa"/>
            <w:vAlign w:val="bottom"/>
            <w:tcBorders>
              <w:bottom w:val="single" w:sz="8" w:color="CCEEFF"/>
            </w:tcBorders>
            <w:gridSpan w:val="4"/>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7"/>
                <w:szCs w:val="17"/>
                <w:color w:val="auto"/>
              </w:rPr>
            </w:pPr>
          </w:p>
        </w:tc>
        <w:tc>
          <w:tcPr>
            <w:tcW w:w="53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35,769</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380" w:type="dxa"/>
            <w:vAlign w:val="bottom"/>
            <w:gridSpan w:val="4"/>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6"/>
                <w:szCs w:val="16"/>
                <w:color w:val="auto"/>
              </w:rPr>
            </w:pPr>
          </w:p>
        </w:tc>
        <w:tc>
          <w:tcPr>
            <w:tcW w:w="4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6"/>
                <w:szCs w:val="16"/>
                <w:color w:val="auto"/>
              </w:rPr>
            </w:pPr>
          </w:p>
        </w:tc>
        <w:tc>
          <w:tcPr>
            <w:tcW w:w="3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38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Anti-dilutive awards excluded from diluted earnings per share computation</w:t>
            </w:r>
            <w:r>
              <w:rPr>
                <w:rFonts w:ascii="Times New Roman" w:cs="Times New Roman" w:eastAsia="Times New Roman" w:hAnsi="Times New Roman"/>
                <w:sz w:val="21"/>
                <w:szCs w:val="21"/>
                <w:color w:val="auto"/>
                <w:vertAlign w:val="superscript"/>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178,519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289,835</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40" w:right="12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anti-dilutive shares excluded from diluted net income per common share primarily relate to out-of-the-money stock options and certain unvested restricted stock awards that were anti-dilutive in part due to unrecognized compensation costs.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grants shares of its common stock in the form of restricted stock awards to certain key employees under the Company’s Amended and Restated Equity Incentive Plan. Prior to vesting of the restricted stock awards, the grant recipients are entitled to receive non-forfeitable cash dividends if the Company declares and pays dividends on the Company’s common stock. Accordingly, unvested shares of the Company’s restricted stock awards are deemed to be participating securities for purposes of computing earnings per share (“EPS”).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Beginning with restricted stock awards granted on or after May 13, 2026, grant recipients are entitled to receive forfeitable cash dividends if the Company declares and pays dividends on its common stock. Any such dividends accrue and are paid to the grant recipient only upon vesting of the underlying shares and are forfeited if the underlying award is forfeited. As a result, unvested restricted stock awards granted on or after May 13, 2026 are not deemed to be participating securities for purposes of computing EPS. Restricted stock awards granted prior to May 13, 2026 continue to be treated as participating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ORGANIZATIONAL RESTRUCTURING</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fiscal 2025, the Company initiated an organizational restructuring of its offices-based workforce to right-size its cost structure and improve future profitability. In connection with this restructuring, the Company recorded charges of $9.8 million in Selling, general, and administrative expenses in fiscal 2025, primarily related to severance and other termination benefits.</w:t>
      </w:r>
    </w:p>
    <w:p>
      <w:pPr>
        <w:spacing w:after="0" w:line="14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of January 3, 2026, the Company had an accrual of $8.8 million related to these actions recorded in Other current liabilities on the condensed consolidated balance sheets. During the first two quarters of fiscal 2026, the Company paid substantially all of the remaining severance and other termination benefits and completed the restructuring. The Company recorded no charges related to this restructuring during the third quarter or the first three quarters of fiscal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reports segment information based upon a “management approach.” The management approach refers to the internal reporting that is used by management for making operating decisions and assessing the performance of the Company’s reportable segments.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three operating and reportable segments: U.S. Retail, U.S. Wholesale, and International. The U.S. Retail segment consists of revenue primarily from sales of products in the United States through our retail stores, eCommerce websites, and mobile app. Similarly, the U.S. Wholesale segment consists of revenue primarily from sales in the United States of products to our wholesale partners. The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and the impact of IEEPA tariff refund recoveries, as well as specific charges that are not directly attributable to segment operations, including operating model improvement costs, restructuring costs, leadership transition costs, specific intellectual property litigation costs, and impairment charges related to goodwill and indefinite-lived intangible assets. The Company does not evaluate performance or allocate resources based on segment asset data, and therefore total segment assets are not presented.</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Certain costs, including incentive compensation for certain employees, and various other general corporate costs that are not specifically allocable to segments, are included in unallocated corporate expenses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segment information for the Company’s reportable segments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Fiscal quarter ended October 3, 2026</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8"/>
                <w:szCs w:val="18"/>
                <w:color w:val="auto"/>
              </w:rPr>
            </w:pP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273,110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116,722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752,456</w:t>
            </w:r>
          </w:p>
        </w:tc>
      </w:tr>
      <w:tr>
        <w:trPr>
          <w:trHeight w:val="216"/>
        </w:trPr>
        <w:tc>
          <w:tcPr>
            <w:tcW w:w="41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Cost of goods sold</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397,690</w:t>
            </w:r>
          </w:p>
        </w:tc>
      </w:tr>
      <w:tr>
        <w:trPr>
          <w:trHeight w:val="216"/>
        </w:trPr>
        <w:tc>
          <w:tcPr>
            <w:tcW w:w="41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Selling expenses</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165,608</w:t>
            </w:r>
          </w:p>
        </w:tc>
      </w:tr>
      <w:tr>
        <w:trPr>
          <w:trHeight w:val="216"/>
        </w:trPr>
        <w:tc>
          <w:tcPr>
            <w:tcW w:w="41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Distribution expenses</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49,881</w:t>
            </w:r>
          </w:p>
        </w:tc>
      </w:tr>
      <w:tr>
        <w:trPr>
          <w:trHeight w:val="216"/>
        </w:trPr>
        <w:tc>
          <w:tcPr>
            <w:tcW w:w="41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(4)</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59,550</w:t>
            </w:r>
          </w:p>
        </w:tc>
      </w:tr>
      <w:tr>
        <w:trPr>
          <w:trHeight w:val="210"/>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48,715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79,727</w:t>
            </w: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IEEPA tariff refund recoveries are excluded from segment operating income.</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expenses include the costs of operating our retail stores and eCommerce channels, as well as wholesale sales management costs.</w:t>
      </w:r>
    </w:p>
    <w:p>
      <w:pPr>
        <w:spacing w:after="0" w:line="68" w:lineRule="exact"/>
        <w:rPr>
          <w:rFonts w:ascii="Times New Roman" w:cs="Times New Roman" w:eastAsia="Times New Roman" w:hAnsi="Times New Roman"/>
          <w:sz w:val="14"/>
          <w:szCs w:val="14"/>
          <w:color w:val="auto"/>
        </w:rPr>
      </w:pPr>
    </w:p>
    <w:p>
      <w:pPr>
        <w:ind w:left="340" w:right="60" w:hanging="332"/>
        <w:spacing w:after="0" w:line="28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expenses include payments to third-party shippers and handling costs to process product through our distribution facilities, including eCommerce fulfillment costs, and delivery to our wholesale customers and to our retail stores.</w:t>
      </w:r>
    </w:p>
    <w:p>
      <w:pPr>
        <w:spacing w:after="0" w:line="13" w:lineRule="exact"/>
        <w:rPr>
          <w:rFonts w:ascii="Times New Roman" w:cs="Times New Roman" w:eastAsia="Times New Roman" w:hAnsi="Times New Roman"/>
          <w:sz w:val="14"/>
          <w:szCs w:val="14"/>
          <w:color w:val="auto"/>
        </w:rPr>
      </w:pPr>
    </w:p>
    <w:p>
      <w:pPr>
        <w:ind w:left="340" w:right="60" w:hanging="332"/>
        <w:spacing w:after="0" w:line="30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royalty income and overhead costs that are attributable to our reportable segments and include allocated accounting, finance, human resources, and information technology expenses, occupancy costs, and other benefit and compensation programs, including performance-based compensation.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fiscal quarters ended October 3, 2026</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9"/>
                <w:szCs w:val="19"/>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8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24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9"/>
                <w:szCs w:val="19"/>
                <w:color w:val="auto"/>
              </w:rPr>
            </w:pP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740,069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309,442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2,049,060</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1,115,497</w:t>
            </w: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expenses</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477,266</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expenses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127,705</w:t>
            </w: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159,482</w:t>
            </w:r>
          </w:p>
        </w:tc>
      </w:tr>
      <w:tr>
        <w:trPr>
          <w:trHeight w:val="220"/>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169,110</w:t>
            </w:r>
          </w:p>
        </w:tc>
      </w:tr>
      <w:tr>
        <w:trPr>
          <w:trHeight w:val="23"/>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See footnotes above.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Fiscal quarter ended September 27, 2025</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9"/>
                <w:szCs w:val="19"/>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220" w:type="dxa"/>
            <w:vAlign w:val="bottom"/>
          </w:tcPr>
          <w:p>
            <w:pPr>
              <w:spacing w:after="0"/>
              <w:rPr>
                <w:sz w:val="19"/>
                <w:szCs w:val="19"/>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24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9"/>
                <w:szCs w:val="19"/>
                <w:color w:val="auto"/>
              </w:rPr>
            </w:pP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757,836</w:t>
            </w:r>
          </w:p>
        </w:tc>
        <w:tc>
          <w:tcPr>
            <w:tcW w:w="0" w:type="dxa"/>
            <w:vAlign w:val="bottom"/>
          </w:tcPr>
          <w:p>
            <w:pPr>
              <w:spacing w:after="0"/>
              <w:rPr>
                <w:sz w:val="1"/>
                <w:szCs w:val="1"/>
                <w:color w:val="auto"/>
              </w:rPr>
            </w:pP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416,208</w:t>
            </w:r>
          </w:p>
        </w:tc>
        <w:tc>
          <w:tcPr>
            <w:tcW w:w="0" w:type="dxa"/>
            <w:vAlign w:val="bottom"/>
          </w:tcPr>
          <w:p>
            <w:pPr>
              <w:spacing w:after="0"/>
              <w:rPr>
                <w:sz w:val="1"/>
                <w:szCs w:val="1"/>
                <w:color w:val="auto"/>
              </w:rPr>
            </w:pP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expenses</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160,392</w:t>
            </w:r>
          </w:p>
        </w:tc>
        <w:tc>
          <w:tcPr>
            <w:tcW w:w="0" w:type="dxa"/>
            <w:vAlign w:val="bottom"/>
          </w:tcPr>
          <w:p>
            <w:pPr>
              <w:spacing w:after="0"/>
              <w:rPr>
                <w:sz w:val="1"/>
                <w:szCs w:val="1"/>
                <w:color w:val="auto"/>
              </w:rPr>
            </w:pP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expenses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52,870</w:t>
            </w:r>
          </w:p>
        </w:tc>
        <w:tc>
          <w:tcPr>
            <w:tcW w:w="0" w:type="dxa"/>
            <w:vAlign w:val="bottom"/>
          </w:tcPr>
          <w:p>
            <w:pPr>
              <w:spacing w:after="0"/>
              <w:rPr>
                <w:sz w:val="1"/>
                <w:szCs w:val="1"/>
                <w:color w:val="auto"/>
              </w:rPr>
            </w:pP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15,440</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65,220</w:t>
            </w:r>
          </w:p>
        </w:tc>
        <w:tc>
          <w:tcPr>
            <w:tcW w:w="0" w:type="dxa"/>
            <w:vAlign w:val="bottom"/>
          </w:tcPr>
          <w:p>
            <w:pPr>
              <w:spacing w:after="0"/>
              <w:rPr>
                <w:sz w:val="1"/>
                <w:szCs w:val="1"/>
                <w:color w:val="auto"/>
              </w:rPr>
            </w:pPr>
          </w:p>
        </w:tc>
      </w:tr>
      <w:tr>
        <w:trPr>
          <w:trHeight w:val="21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43,998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63,146</w:t>
            </w:r>
          </w:p>
        </w:tc>
        <w:tc>
          <w:tcPr>
            <w:tcW w:w="0" w:type="dxa"/>
            <w:vAlign w:val="bottom"/>
          </w:tcPr>
          <w:p>
            <w:pPr>
              <w:spacing w:after="0"/>
              <w:rPr>
                <w:sz w:val="1"/>
                <w:szCs w:val="1"/>
                <w:color w:val="auto"/>
              </w:rPr>
            </w:pPr>
          </w:p>
        </w:tc>
      </w:tr>
      <w:tr>
        <w:trPr>
          <w:trHeight w:val="27"/>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Note: See footnotes above.</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4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fiscal quarters ended September 27, 2025</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9"/>
                <w:szCs w:val="19"/>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20" w:type="dxa"/>
            <w:vAlign w:val="bottom"/>
          </w:tcPr>
          <w:p>
            <w:pPr>
              <w:spacing w:after="0"/>
              <w:rPr>
                <w:sz w:val="19"/>
                <w:szCs w:val="19"/>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24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9"/>
                <w:szCs w:val="19"/>
                <w:color w:val="auto"/>
              </w:rPr>
            </w:pP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726,899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289,788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1,972,975</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1,058,497</w:t>
            </w: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expenses</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464,450</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expenses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131,879</w:t>
            </w: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105,108</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163,164</w:t>
            </w:r>
          </w:p>
        </w:tc>
      </w:tr>
      <w:tr>
        <w:trPr>
          <w:trHeight w:val="216"/>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126,369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154,985</w:t>
            </w: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See footnotes above.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reportable segment operating income to Income before income taxes: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80" w:type="dxa"/>
            <w:vAlign w:val="bottom"/>
          </w:tcPr>
          <w:p>
            <w:pPr>
              <w:spacing w:after="0"/>
              <w:rPr>
                <w:sz w:val="19"/>
                <w:szCs w:val="19"/>
                <w:color w:val="auto"/>
              </w:rPr>
            </w:pPr>
          </w:p>
        </w:tc>
        <w:tc>
          <w:tcPr>
            <w:tcW w:w="316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23"/>
        </w:trPr>
        <w:tc>
          <w:tcPr>
            <w:tcW w:w="4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23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169,110</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154,985</w:t>
            </w:r>
          </w:p>
        </w:tc>
      </w:tr>
      <w:tr>
        <w:trPr>
          <w:trHeight w:val="220"/>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Items not included in segment operating income: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9"/>
        </w:trPr>
        <w:tc>
          <w:tcPr>
            <w:tcW w:w="4260" w:type="dxa"/>
            <w:vAlign w:val="bottom"/>
            <w:shd w:val="clear" w:color="auto" w:fill="CCEEFF"/>
          </w:tcPr>
          <w:p>
            <w:pPr>
              <w:ind w:left="360"/>
              <w:spacing w:after="0" w:line="239" w:lineRule="exact"/>
              <w:rPr>
                <w:sz w:val="20"/>
                <w:szCs w:val="20"/>
                <w:color w:val="auto"/>
              </w:rPr>
            </w:pPr>
            <w:r>
              <w:rPr>
                <w:rFonts w:ascii="Times New Roman" w:cs="Times New Roman" w:eastAsia="Times New Roman" w:hAnsi="Times New Roman"/>
                <w:sz w:val="16"/>
                <w:szCs w:val="16"/>
                <w:color w:val="auto"/>
              </w:rPr>
              <w:t>Tariff refund recovery</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4260" w:type="dxa"/>
            <w:vAlign w:val="bottom"/>
          </w:tcPr>
          <w:p>
            <w:pPr>
              <w:ind w:left="360"/>
              <w:spacing w:after="0" w:line="230" w:lineRule="exact"/>
              <w:rPr>
                <w:sz w:val="20"/>
                <w:szCs w:val="20"/>
                <w:color w:val="auto"/>
              </w:rPr>
            </w:pPr>
            <w:r>
              <w:rPr>
                <w:rFonts w:ascii="Times New Roman" w:cs="Times New Roman" w:eastAsia="Times New Roman" w:hAnsi="Times New Roman"/>
                <w:sz w:val="16"/>
                <w:szCs w:val="16"/>
                <w:color w:val="auto"/>
              </w:rPr>
              <w:t>Unallocated corporate expenses</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(68,465)</w:t>
            </w:r>
          </w:p>
        </w:tc>
      </w:tr>
      <w:tr>
        <w:trPr>
          <w:trHeight w:val="229"/>
        </w:trPr>
        <w:tc>
          <w:tcPr>
            <w:tcW w:w="42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6"/>
                <w:szCs w:val="16"/>
                <w:color w:val="auto"/>
              </w:rPr>
              <w:t>Leadership transition costs</w:t>
            </w:r>
            <w:r>
              <w:rPr>
                <w:rFonts w:ascii="Times New Roman" w:cs="Times New Roman" w:eastAsia="Times New Roman" w:hAnsi="Times New Roman"/>
                <w:sz w:val="21"/>
                <w:szCs w:val="21"/>
                <w:color w:val="auto"/>
                <w:vertAlign w:val="superscript"/>
              </w:rPr>
              <w:t>(3)</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w:t>
            </w:r>
          </w:p>
        </w:tc>
      </w:tr>
      <w:tr>
        <w:trPr>
          <w:trHeight w:val="229"/>
        </w:trPr>
        <w:tc>
          <w:tcPr>
            <w:tcW w:w="4260" w:type="dxa"/>
            <w:vAlign w:val="bottom"/>
          </w:tcPr>
          <w:p>
            <w:pPr>
              <w:ind w:left="360"/>
              <w:spacing w:after="0" w:line="230" w:lineRule="exact"/>
              <w:rPr>
                <w:sz w:val="20"/>
                <w:szCs w:val="20"/>
                <w:color w:val="auto"/>
              </w:rPr>
            </w:pPr>
            <w:r>
              <w:rPr>
                <w:rFonts w:ascii="Times New Roman" w:cs="Times New Roman" w:eastAsia="Times New Roman" w:hAnsi="Times New Roman"/>
                <w:sz w:val="16"/>
                <w:szCs w:val="16"/>
                <w:color w:val="auto"/>
              </w:rPr>
              <w:t>IP litigation costs</w:t>
            </w:r>
            <w:r>
              <w:rPr>
                <w:rFonts w:ascii="Times New Roman" w:cs="Times New Roman" w:eastAsia="Times New Roman" w:hAnsi="Times New Roman"/>
                <w:sz w:val="21"/>
                <w:szCs w:val="21"/>
                <w:color w:val="auto"/>
                <w:vertAlign w:val="superscript"/>
              </w:rPr>
              <w:t>(4)</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42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6"/>
                <w:szCs w:val="16"/>
                <w:color w:val="auto"/>
              </w:rPr>
              <w:t>Organizational restructuring</w:t>
            </w:r>
            <w:r>
              <w:rPr>
                <w:rFonts w:ascii="Times New Roman" w:cs="Times New Roman" w:eastAsia="Times New Roman" w:hAnsi="Times New Roman"/>
                <w:sz w:val="21"/>
                <w:szCs w:val="21"/>
                <w:color w:val="auto"/>
                <w:vertAlign w:val="superscript"/>
              </w:rPr>
              <w:t>(5)</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w:t>
            </w:r>
          </w:p>
        </w:tc>
      </w:tr>
      <w:tr>
        <w:trPr>
          <w:trHeight w:val="229"/>
        </w:trPr>
        <w:tc>
          <w:tcPr>
            <w:tcW w:w="4260" w:type="dxa"/>
            <w:vAlign w:val="bottom"/>
          </w:tcPr>
          <w:p>
            <w:pPr>
              <w:ind w:left="360"/>
              <w:spacing w:after="0" w:line="230" w:lineRule="exact"/>
              <w:rPr>
                <w:sz w:val="20"/>
                <w:szCs w:val="20"/>
                <w:color w:val="auto"/>
              </w:rPr>
            </w:pPr>
            <w:r>
              <w:rPr>
                <w:rFonts w:ascii="Times New Roman" w:cs="Times New Roman" w:eastAsia="Times New Roman" w:hAnsi="Times New Roman"/>
                <w:sz w:val="16"/>
                <w:szCs w:val="16"/>
                <w:color w:val="auto"/>
              </w:rPr>
              <w:t>Operating model improvement costs</w:t>
            </w:r>
            <w:r>
              <w:rPr>
                <w:rFonts w:ascii="Times New Roman" w:cs="Times New Roman" w:eastAsia="Times New Roman" w:hAnsi="Times New Roman"/>
                <w:sz w:val="21"/>
                <w:szCs w:val="21"/>
                <w:color w:val="auto"/>
                <w:vertAlign w:val="superscript"/>
              </w:rPr>
              <w:t>(6)</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(13,469)</w:t>
            </w:r>
          </w:p>
        </w:tc>
      </w:tr>
      <w:tr>
        <w:trPr>
          <w:trHeight w:val="223"/>
        </w:trPr>
        <w:tc>
          <w:tcPr>
            <w:tcW w:w="42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55,770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224,039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59,240</w:t>
            </w: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22,849</w:t>
            </w:r>
          </w:p>
        </w:tc>
      </w:tr>
      <w:tr>
        <w:trPr>
          <w:trHeight w:val="23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(10,007)</w:t>
            </w: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39"/>
        </w:trPr>
        <w:tc>
          <w:tcPr>
            <w:tcW w:w="4260" w:type="dxa"/>
            <w:vAlign w:val="bottom"/>
            <w:shd w:val="clear" w:color="auto" w:fill="CCEEFF"/>
          </w:tcPr>
          <w:p>
            <w:pPr>
              <w:ind w:left="20"/>
              <w:spacing w:after="0" w:line="239" w:lineRule="exact"/>
              <w:rPr>
                <w:sz w:val="20"/>
                <w:szCs w:val="20"/>
                <w:color w:val="auto"/>
              </w:rPr>
            </w:pPr>
            <w:r>
              <w:rPr>
                <w:rFonts w:ascii="Times New Roman" w:cs="Times New Roman" w:eastAsia="Times New Roman" w:hAnsi="Times New Roman"/>
                <w:sz w:val="16"/>
                <w:szCs w:val="16"/>
                <w:color w:val="auto"/>
              </w:rPr>
              <w:t>Pension plan settlement</w:t>
            </w:r>
            <w:r>
              <w:rPr>
                <w:rFonts w:ascii="Times New Roman" w:cs="Times New Roman" w:eastAsia="Times New Roman" w:hAnsi="Times New Roman"/>
                <w:sz w:val="21"/>
                <w:szCs w:val="21"/>
                <w:color w:val="auto"/>
                <w:vertAlign w:val="superscript"/>
              </w:rPr>
              <w:t>(7)</w:t>
            </w: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8,777</w:t>
            </w:r>
          </w:p>
        </w:tc>
      </w:tr>
      <w:tr>
        <w:trPr>
          <w:trHeight w:val="217"/>
        </w:trPr>
        <w:tc>
          <w:tcPr>
            <w:tcW w:w="4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48,412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204,914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37,886</w:t>
            </w:r>
          </w:p>
        </w:tc>
      </w:tr>
      <w:tr>
        <w:trPr>
          <w:trHeight w:val="27"/>
        </w:trPr>
        <w:tc>
          <w:tcPr>
            <w:tcW w:w="4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ind w:left="340" w:right="180" w:hanging="332"/>
        <w:spacing w:after="0" w:line="301"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$128 million of IEEPA tariff refund recoveries, excluding interest received, which are reflected as a reduction of Cost of goods sold in our condensed consolidated statement of operations.</w:t>
      </w:r>
    </w:p>
    <w:p>
      <w:pPr>
        <w:spacing w:after="0" w:line="1" w:lineRule="exact"/>
        <w:rPr>
          <w:rFonts w:ascii="Times New Roman" w:cs="Times New Roman" w:eastAsia="Times New Roman" w:hAnsi="Times New Roman"/>
          <w:sz w:val="14"/>
          <w:szCs w:val="14"/>
          <w:color w:val="auto"/>
        </w:rPr>
      </w:pPr>
    </w:p>
    <w:p>
      <w:pPr>
        <w:ind w:left="340" w:right="260" w:hanging="332"/>
        <w:spacing w:after="0" w:line="281"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 w:lineRule="exact"/>
        <w:rPr>
          <w:rFonts w:ascii="Times New Roman" w:cs="Times New Roman" w:eastAsia="Times New Roman" w:hAnsi="Times New Roman"/>
          <w:sz w:val="14"/>
          <w:szCs w:val="14"/>
          <w:color w:val="auto"/>
        </w:rPr>
      </w:pPr>
    </w:p>
    <w:p>
      <w:pPr>
        <w:ind w:left="340" w:right="80" w:hanging="332"/>
        <w:spacing w:after="0" w:line="281"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retirement of Michael D. Casey, the Company’s former Chief Executive Officer, in the first quarter of fiscal 2025 and costs related to the departure of Douglas C. Palladini, the Company’s former Chief Executive Officer, in the second quarter of fiscal 2026. Amounts are reflected within Selling, general, and administrative expenses in our condensed consolidated statement of operations.</w:t>
      </w:r>
    </w:p>
    <w:p>
      <w:pPr>
        <w:spacing w:after="0" w:line="13" w:lineRule="exact"/>
        <w:rPr>
          <w:rFonts w:ascii="Times New Roman" w:cs="Times New Roman" w:eastAsia="Times New Roman" w:hAnsi="Times New Roman"/>
          <w:sz w:val="14"/>
          <w:szCs w:val="14"/>
          <w:color w:val="auto"/>
        </w:rPr>
      </w:pPr>
    </w:p>
    <w:p>
      <w:pPr>
        <w:ind w:left="340" w:right="20" w:hanging="332"/>
        <w:spacing w:after="0" w:line="273"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Reflects third-party legal defense costs incurred in connection with a specific intellectual property litigation matter not in the ordinary course of business described in Note 15, </w:t>
      </w:r>
      <w:r>
        <w:rPr>
          <w:rFonts w:ascii="Times New Roman" w:cs="Times New Roman" w:eastAsia="Times New Roman" w:hAnsi="Times New Roman"/>
          <w:sz w:val="14"/>
          <w:szCs w:val="14"/>
          <w:i w:val="1"/>
          <w:iCs w:val="1"/>
          <w:color w:val="auto"/>
        </w:rPr>
        <w:t>Commitments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Contingencies, </w:t>
      </w:r>
      <w:r>
        <w:rPr>
          <w:rFonts w:ascii="Times New Roman" w:cs="Times New Roman" w:eastAsia="Times New Roman" w:hAnsi="Times New Roman"/>
          <w:sz w:val="14"/>
          <w:szCs w:val="14"/>
          <w:color w:val="auto"/>
        </w:rPr>
        <w:t>to the condensed consolidated financial statements. Amounts are reflected within Selling, general, and administrative expenses in our condensed consolidated statement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operations.</w:t>
      </w:r>
    </w:p>
    <w:p>
      <w:pPr>
        <w:spacing w:after="0" w:line="1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charges for severance and other termination benefits as a result of organizational restructuring.</w:t>
      </w:r>
    </w:p>
    <w:p>
      <w:pPr>
        <w:spacing w:after="0" w:line="68" w:lineRule="exact"/>
        <w:rPr>
          <w:rFonts w:ascii="Times New Roman" w:cs="Times New Roman" w:eastAsia="Times New Roman" w:hAnsi="Times New Roman"/>
          <w:sz w:val="14"/>
          <w:szCs w:val="14"/>
          <w:color w:val="auto"/>
        </w:rPr>
      </w:pPr>
    </w:p>
    <w:p>
      <w:pPr>
        <w:ind w:left="340" w:right="340" w:hanging="332"/>
        <w:spacing w:after="0" w:line="291"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improvements. Amounts are reflected within Selling, general, and administrative expenses in our condensed consolidated statement of operations.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non-cash charges as a result of pension plan settlements.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Data by Segment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additional information for our reportable segments for the periods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80" w:type="dxa"/>
            <w:vAlign w:val="bottom"/>
          </w:tcPr>
          <w:p>
            <w:pPr>
              <w:spacing w:after="0"/>
              <w:rPr>
                <w:sz w:val="19"/>
                <w:szCs w:val="19"/>
                <w:color w:val="auto"/>
              </w:rPr>
            </w:pPr>
          </w:p>
        </w:tc>
        <w:tc>
          <w:tcPr>
            <w:tcW w:w="316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23"/>
        </w:trPr>
        <w:tc>
          <w:tcPr>
            <w:tcW w:w="4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23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Wholesale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5,637</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6,541</w:t>
            </w: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Retail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25,426</w:t>
            </w:r>
          </w:p>
        </w:tc>
      </w:tr>
      <w:tr>
        <w:trPr>
          <w:trHeight w:val="23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w:t>
            </w:r>
          </w:p>
        </w:tc>
      </w:tr>
      <w:tr>
        <w:trPr>
          <w:trHeight w:val="22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22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a defendant in a legal matter related to allegations of intellectual property infringement. Given the inherent uncertainty of litigation, it is reasonably possible that the Company may incur a loss; however, the range of reasonably possible loss is not material to the Company’s financial position, results of operations, or cash flows. The ultimate outcome of this matter, including the Company’s estimate of the range of reasonably possible loss, is inherently uncertain, and the ultimate outcome of the litigation could be materially different from the Company’s current estimates.</w:t>
      </w:r>
    </w:p>
    <w:p>
      <w:pPr>
        <w:spacing w:after="0" w:line="14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contractual obligations and commitments include obligations associated with leases, the ABL facility, senior notes, and employee benefit plans.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1" w:name="page22"/>
    <w:bookmarkEnd w:id="21"/>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in this Quarterly Report on Form 10-Q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Form 10-Q. These risks and uncertainties include, but are not limited to, those disclosed in Part II, Item 1A. “Risk Factors” of this Quarterly Report on Form 10-Q for the fiscal quarter ended October 3, 2026 and Part I, Item 1A. “Risk Factors” of the Company’s Annual Report on Form 10-K for the fiscal year ended January 3, 2026,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the organizational restructuring plan, including, but not limited to, our ability to achieve the expected savings from the plan and to fully implement the plan;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control; the roll-back of incremental tariffs imposed under the International Emergency Economic Powers Act (the “incremental tariffs”) and any additional actions taken in response to their roll-back, including, but not limited to, tariffs imposed pursuant to Section 122 of the Trade Act of 1974 and tariffs imposed under Section 301 of the Trade Act of 1974; our ability to recover refunds of incremental tariff amounts or other tariff amounts paid; increased competition in the marketplace; ongoing political and economic conflicts that could impact our global and domestic operations, including, but not limited to, the conflict between the United States, Israel, and Iran;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Quarterly Report on Form 10-Q does not constitute an admission by the Company or any other person that the events or circumstances described in such statement are material.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are North America’s largest and most-enduring apparel company exclusively for babies and young children. Our core brands are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B’gosh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iconic and among the sector’s most trusted names. Our exclusive</w:t>
      </w:r>
      <w:r>
        <w:rPr>
          <w:rFonts w:ascii="Times New Roman" w:cs="Times New Roman" w:eastAsia="Times New Roman" w:hAnsi="Times New Roman"/>
          <w:sz w:val="18"/>
          <w:szCs w:val="18"/>
          <w:i w:val="1"/>
          <w:iCs w:val="1"/>
          <w:color w:val="auto"/>
        </w:rPr>
        <w:t xml:space="preserve"> Carter’s </w:t>
      </w:r>
      <w:r>
        <w:rPr>
          <w:rFonts w:ascii="Times New Roman" w:cs="Times New Roman" w:eastAsia="Times New Roman" w:hAnsi="Times New Roman"/>
          <w:sz w:val="18"/>
          <w:szCs w:val="18"/>
          <w:color w:val="auto"/>
        </w:rPr>
        <w:t>brands, which consist of</w:t>
      </w:r>
      <w:r>
        <w:rPr>
          <w:rFonts w:ascii="Times New Roman" w:cs="Times New Roman" w:eastAsia="Times New Roman" w:hAnsi="Times New Roman"/>
          <w:sz w:val="18"/>
          <w:szCs w:val="18"/>
          <w:i w:val="1"/>
          <w:iCs w:val="1"/>
          <w:color w:val="auto"/>
        </w:rPr>
        <w:t xml:space="preserve"> Child of Mine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Just One You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are developed for Walmart, Target, and Amazon. Our emerging brands include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crafted with organic fabrics and sustainable materials, </w:t>
      </w:r>
      <w:r>
        <w:rPr>
          <w:rFonts w:ascii="Times New Roman" w:cs="Times New Roman" w:eastAsia="Times New Roman" w:hAnsi="Times New Roman"/>
          <w:sz w:val="18"/>
          <w:szCs w:val="18"/>
          <w:i w:val="1"/>
          <w:iCs w:val="1"/>
          <w:color w:val="auto"/>
        </w:rPr>
        <w:t>Otter Avenue</w:t>
      </w:r>
      <w:r>
        <w:rPr>
          <w:rFonts w:ascii="Times New Roman" w:cs="Times New Roman" w:eastAsia="Times New Roman" w:hAnsi="Times New Roman"/>
          <w:sz w:val="18"/>
          <w:szCs w:val="18"/>
          <w:color w:val="auto"/>
        </w:rPr>
        <w:t xml:space="preserve">, a toddler-focused apparel brand, and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baby essentials from tubs to toys.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6000750" cy="10801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075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Established in 1865, our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 is recognized and trusted by consumers for high-quality apparel and accessories for children in sizes newborn to 14.</w:t>
      </w:r>
    </w:p>
    <w:p>
      <w:pPr>
        <w:spacing w:after="0" w:line="21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in 2005.</w:t>
      </w:r>
    </w:p>
    <w:p>
      <w:pPr>
        <w:spacing w:after="0" w:line="118"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2003, the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rethinks, reenergizes, and reimagines durable necessities to create higher value, superior quality, and award-winning products for parents, babies, and toddlers. We acquired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in 2017.</w:t>
      </w:r>
    </w:p>
    <w:p>
      <w:pPr>
        <w:spacing w:after="0" w:line="118"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color w:val="auto"/>
        </w:rPr>
        <w:t xml:space="preserve">Launched in 2021, the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14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Launched in 2025, </w:t>
      </w:r>
      <w:r>
        <w:rPr>
          <w:rFonts w:ascii="Times New Roman" w:cs="Times New Roman" w:eastAsia="Times New Roman" w:hAnsi="Times New Roman"/>
          <w:sz w:val="18"/>
          <w:szCs w:val="18"/>
          <w:i w:val="1"/>
          <w:iCs w:val="1"/>
          <w:color w:val="auto"/>
        </w:rPr>
        <w:t>Otter Avenue</w:t>
      </w:r>
      <w:r>
        <w:rPr>
          <w:rFonts w:ascii="Times New Roman" w:cs="Times New Roman" w:eastAsia="Times New Roman" w:hAnsi="Times New Roman"/>
          <w:sz w:val="18"/>
          <w:szCs w:val="18"/>
          <w:color w:val="auto"/>
        </w:rPr>
        <w:t xml:space="preserve"> is a toddler brand that focuses on functionality designed to encourage independence, while combining fun, sophistication, and fashion-forward styles. This brand includes a curated assortment of toddler apparel and accessories.</w:t>
      </w:r>
    </w:p>
    <w:p>
      <w:pPr>
        <w:spacing w:after="0" w:line="11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Additionally,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Walmart,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Target, and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available on Amazon.</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purpose is to embrace the wonder of childhood and uplift those shaping the future. We believe our brands are complementary to one another in product offering and aesthetic. Each brand is uniquely positioned in the marketplace and offers great value to families with young children. Our multichannel, global business model, which includes retail stores, eCommerce, mobile app, and wholesale distribution channels, as well as omni-channel capabilities in the United States and Canada, enables us to reach a broad range of consumers around the world.</w:t>
      </w:r>
    </w:p>
    <w:p>
      <w:pPr>
        <w:spacing w:after="0" w:line="1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October 3, 2026, our channels included 1,035 company-operated retail stores in North America, eCommerce websites, approximately 19,500 wholesale locations in North America, as well as our international wholesale accounts and licensees who operate in over 1,100 locations outside of North America in over 90 countries.</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2025 fiscal year ended January 3,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operates on a 52 or 53 week fiscal calendar. Fiscal 2026 will end on January 2, 2027 and includes 52 weeks. Fiscal 2025 ended on January 3, 2026 and included 53 weeks. The fiscal quarters ended October 3, 2026 and September 27, 2025 each included 13 weeks.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three operating and reportable segments: U.S. Retail, U.S. Wholesale, and International. Our U.S. Retail segment consists of revenue primarily from sales of products in the United States through our retail stores, eCommerce websites, and mobile app. Our U.S. Wholesale segment consists of revenue primarily from sales in the United States of products to our wholesale customers. Our International segment consists of revenue primarily from sales of products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largely through our retail stores and eCommerce websites in Canada and Mexico, and sales to our international wholesale customers and licensees. The Company sells similar products in each of its three segments.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and the impact of IEEPA tariff refund recoveries, as well as specific charges that are not directly attributable to segment operations, including operating model improvement costs, restructuring costs, leadership transition costs, specific intellectual property litigation costs, and impairment charges related to goodwill and indefinite-lived intangible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Gross profit represents consolidated net sales less cost of goods sold. Gross margin is calculated as gross profit divided by consolidated net sales. Cost of goods sold includes the cost of products, as well as changes in inventory reserves and expenses related to the merchandising, design, and procurement of product, including inbound freight costs, purchasing and receiving costs, and inspection costs. Cost of goods sold also includes the costs of shipping eCommerce orders directly to end consumers. For omni-channel transactions, Cost of goods sold includes the costs of shipping product to end consumers or to retail stores. Our gross profit and gross margin may not be comparable to those of other entities that define their metrics differently.</w:t>
      </w:r>
    </w:p>
    <w:p>
      <w:pPr>
        <w:spacing w:after="0" w:line="1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Retail store occupancy costs, distribution expenses, and generally all other expenses other than interest and income taxes are included in Selling, general, and administrative (“SG&amp;A”) expenses. Distribution expenses included in SG&amp;A primarily consist of payments to third-party shippers and handling costs to process product through the Company’s distribution facilities, including eCommerce fulfillment costs, and delivery of product to wholesale customers and to our retail stores.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 Metrics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 In fiscal years that include a 53rd week, we adjust the prior year comparable period to include a 53rd week so comparable sales reflect an equivalent number of weeks in each period.</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method of calculating sales metrics varies across the retail industry. As a result, our comparable sales metrics may not be comparable to those of other retailers.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Reimagined Carter’s Brand</w:t>
      </w:r>
    </w:p>
    <w:p>
      <w:pPr>
        <w:spacing w:after="0" w:line="9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In September 2026, the Company launched a comprehensive branding initiative, the first update to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identity in 25 years, which includes a new logo and brand promise, </w:t>
      </w:r>
      <w:r>
        <w:rPr>
          <w:rFonts w:ascii="Times New Roman" w:cs="Times New Roman" w:eastAsia="Times New Roman" w:hAnsi="Times New Roman"/>
          <w:sz w:val="18"/>
          <w:szCs w:val="18"/>
          <w:i w:val="1"/>
          <w:iCs w:val="1"/>
          <w:color w:val="auto"/>
        </w:rPr>
        <w:t>“Let every child’s light shine.”</w:t>
      </w:r>
      <w:r>
        <w:rPr>
          <w:rFonts w:ascii="Times New Roman" w:cs="Times New Roman" w:eastAsia="Times New Roman" w:hAnsi="Times New Roman"/>
          <w:sz w:val="18"/>
          <w:szCs w:val="18"/>
          <w:color w:val="auto"/>
        </w:rPr>
        <w:t xml:space="preserve"> The new logo and brand promise began rolling out across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channels in the third quarter of fiscal 2026, with additional retail, product, and packaging elements expected in fiscal 2027.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Leadership Transition</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1, 2026, the Company announced that the Board of Directors (the “Board”) appointed Sharon Price John as Chief Executive Officer (“CEO”) &amp; President of the Company and a member of the Board effective June 15, 2026. In connection with the appointment of Ms. John, Douglas C. Palladini departed the Company as CEO &amp; President and resigned as a member of the Board effective April 28, 2026. Additional information regarding these management changes and related arrangements is included in the Company’s Current Report on Form 8-K filed with the SEC on May 1,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Policy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results of operations have been, and may continue to be, affected by several U.S. trade actions, as described below.</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Russia Sanctions Tariffs</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2026, the Lindsey O. Graham Sanctioning Russia and Iran Act of 2026 (the “Russia Sanctioning Act”) was enacted into law. Among other measures, the legislation authorizes the President to impose tariffs of up to 100% on goods imported into the United States from qualifying countries that purchase crude oil or natural gas originating in the Russian Federation. A country initially qualifies if it is among the five largest importers of Russian oil or gas and continues making new purchases 30 days after enactment, or if it is among the top five countries facilitating Russian-oil sanctions evasion. On October 16, 2026, President Trump formally issued waivers for sanctions and tariffs required under the Russia Sanctioning Act, delaying the implementation of additional tariffs. Per the Executive Order, the waivers are to remain in effect until further action is determined to be appropriate. As of the date of this filing, no tariffs have been imposed under the legislation with respect to the countries from which the Company sources its products, and the scope, timing, duration, and rates of any tariffs ultimately imposed, as well as the availability of any exclusions or waivers, remain uncertain.</w:t>
      </w:r>
    </w:p>
    <w:p>
      <w:pPr>
        <w:spacing w:after="0" w:line="1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of the countries from which the Company sources a portion of its products purchase energy originating in the Russian Federation. If the waivers are withdrawn or tariffs are otherwise imposed under the Russia Sanctioning Act, products the Company imports from those countries into the United States could become subject to additional tariffs. The Company will continue monitoring developments and evaluating potential mitigation measures. No amounts related to the legislation have been recognized in the Company’s condensed consolidated financial statements as of October 3,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IEEPA Tariff Refunds</w:t>
      </w:r>
    </w:p>
    <w:p>
      <w:pPr>
        <w:spacing w:after="0" w:line="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2026, the U.S. Supreme Court ruled that tariffs imposed under the International Emergency Economic Powers Act (“IEEPA”) were unlawful. During the second quarter of fiscal 2026, following the April 20, 2026 launch of U.S. Customs and Border Protection’s Consolidated Administration and Processing of Entries (“CAPE”) process, the Company submitted claims seeking approximately $130 million of refunds of previously paid IEEPA tariffs through the CAPE system.</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elected to apply a gain contingency model in accordance with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xml:space="preserve"> to account for recoveries of previously paid IEEPA tariffs. Under this model, a gain contingency is not recognized in the financial statements until the gain is realized or realizable. Any recovery, when recognized, is reflected as a reduction of Cost of goods sold for amounts related to goods already sold, or as a reduction of inventory to the extent the related goods remain on hand.</w:t>
      </w:r>
    </w:p>
    <w:p>
      <w:pPr>
        <w:spacing w:after="0" w:line="14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During the second quarter of fiscal 2026, the Company received refund payments from U.S. Customs and Border Protection totaling approximately $132 million, including interest, in connection with various adjudicated claims, and the related recovery has been recognized. The Company recorded approximately $128 million of the recovery as a reduction of Cost of goods sold and $4 million in Interest income. As of October 3, 2026, the Company’s remaining unadjudicated IEEPA refund claims, which continue to be accounted for as gain contingencies, were approximately $2 million. Uncertainty remains regarding the timing, amount, and ultimate receipt of any further refunds, and accordingly no additional amounts have been recognized in the condensed consolidated financial statements for these remaining claims.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122 and Section 301 Tariffs</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response to the ruling on IEEPA tariffs, the U.S. Administration imposed a new 10% global tariff under Section 122 of the Trade Act of 1974 (“Section 122”), effective February 24, 2026. In May 2026, the U.S. Court of International Trade issued a ruling finding the Section 122 tariffs unlawful, although this ruling is currently stayed pending appeal. The Section 122 tariffs imposed effective February 24, 2026 expired on July 24, 2026. Effective July 24, 2026, the U.S. Administration imposed additional tariffs under Section 301(b) of the Trade Act of 1974 (“Section 301”) as a result of the Administration’s investigations into forced labor practices of various foreign countries. These tariffs range from 10% to 12.5% and apply to imports from approximately 60 countries and territories. During the first three quarters of fiscal 2026, the Company paid approximately $53 million of incremental Section 122 and Section 301 tariffs related to imports from Vietnam, India, Bangladesh, Cambodia, and other countries. As of October 3, 2026, approximately $24 million of these tariffs remained capitalized within the Company’s inventory balances.</w:t>
      </w:r>
    </w:p>
    <w:p>
      <w:pPr>
        <w:spacing w:after="0" w:line="15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the U.S. Administration is continuing its separate investigation, under Section 301(b), into excess capacity and production in manufacturing sectors in foreign countries, which could result in tariff levels comparable to those previously 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under the IEEPA tariffs. As of the date of this filing, no tariffs have been proposed or imposed as a result of the excess capacity investigation.</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Because the Company sources substantially all of its apparel and other products from a global network of third-party suppliers, primarily located in Asia, any new or increased tariffs, quotas, embargoes, or other trade barriers have the potential to adversely affect its supply chain, cost structure, margins, and competitiveness. Retaliatory actions taken by impacted countries could further disrupt global trade and create additional inflationary pressures in raw materials and logistics.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Fiscal Quarter 2026 Financial Highlights</w:t>
      </w:r>
    </w:p>
    <w:p>
      <w:pPr>
        <w:spacing w:after="0" w:line="9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Unless otherwise stated, comparisons below are to the third quarter of fiscal 2025. References below to adjusted operating income, adjusted net income, and adjusted diluted net income per common share are non-GAAP financial measures; see “Reconciliation of Non-GAAP Financial Measures to GAAP Measures.”</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decreased $5.4 million, or 0.7%, to $752.5 million.</w:t>
      </w:r>
    </w:p>
    <w:p>
      <w:pPr>
        <w:spacing w:after="0" w:line="103"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Retail sales increased $0.3 million driven by higher average unit retail (“AUR”), partially offset by lower unit volume. Comparable net sales, including retail stores and eCommerce, increased 0.4% for the period.</w:t>
      </w:r>
    </w:p>
    <w:p>
      <w:pPr>
        <w:spacing w:after="0" w:line="24" w:lineRule="exact"/>
        <w:rPr>
          <w:rFonts w:ascii="Times New Roman" w:cs="Times New Roman" w:eastAsia="Times New Roman" w:hAnsi="Times New Roman"/>
          <w:sz w:val="18"/>
          <w:szCs w:val="18"/>
          <w:color w:val="auto"/>
        </w:rPr>
      </w:pPr>
    </w:p>
    <w:p>
      <w:pPr>
        <w:ind w:left="1300" w:right="240" w:hanging="320"/>
        <w:spacing w:after="0" w:line="284"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Wholesale sales decreased $10.7 million, driven by lower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in part due to earlier demand for Fall product in the second quarter of fiscal 2026, and lower replenishment demand.</w:t>
      </w:r>
    </w:p>
    <w:p>
      <w:pPr>
        <w:spacing w:after="0" w:line="38" w:lineRule="exact"/>
        <w:rPr>
          <w:rFonts w:ascii="Times New Roman" w:cs="Times New Roman" w:eastAsia="Times New Roman" w:hAnsi="Times New Roman"/>
          <w:sz w:val="18"/>
          <w:szCs w:val="18"/>
          <w:color w:val="auto"/>
        </w:rPr>
      </w:pPr>
    </w:p>
    <w:p>
      <w:pPr>
        <w:ind w:left="1300" w:right="440" w:hanging="320"/>
        <w:spacing w:after="0" w:line="282"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increased $5.0 million, driven by growth in Canada and Mexico, as well as higher demand from our international partners.</w:t>
      </w:r>
    </w:p>
    <w:p>
      <w:pPr>
        <w:spacing w:after="0" w:line="4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increased $13.1 million, or 3.8%, to $354.8 million, reflecting a higher gross margin, partially offset by lower net sales. Consolidated gross margin increased 200 bps to 47.1%, primarily due to higher AUR and favorable channel mix, partially offset by higher average unit cost (“AUC”) driven by investments in product make, higher product costs, and incremental tariff-related costs, which were partially mitigated by negotiated vendor cost concessions.</w:t>
      </w:r>
    </w:p>
    <w:p>
      <w:pPr>
        <w:spacing w:after="0" w:line="44"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SG&amp;A expenses decreased $13.8 million, or 4.3%, to $304.2 million. SG&amp;A as a percentage of consolidated net sales (“SG&amp;A rate”) decreased 160 bps to 40.4%, driven by costs related to organizational restructuring and operating model improvements in the third quarter of fiscal 2025 that did not reoccur in the third quarter of fiscal 2026, reduced costs resulting from these previously implemented restructuring actions, lower distribution and transportation costs, and lower bad debt expense, partially offset by incremental marketing investments and inflationary pressure in retail store-related expenses.</w:t>
      </w:r>
    </w:p>
    <w:p>
      <w:pPr>
        <w:spacing w:after="0" w:line="61"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increased $26.7 million to $55.8 million and adjusted operating income increased $17.6 million, or 44.6%, to $56.9 million. Operating margin increased 360 bps to 7.4%, and adjusted operating margin increased 240 bps to 7.6%, driven by the factors discussed in detail below.</w:t>
      </w:r>
    </w:p>
    <w:p>
      <w:pPr>
        <w:spacing w:after="0" w:line="5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increased $25.0 million to $36.6 million, primarily due to the factors discussed in detail below, including the non-recurrence of a pre-tax non-cash pension settlement charge of $8.8 million in the third quarter of fiscal 2025. Adjusted net income increased $10.6 million, or 39.7%, to $37.5 million.</w:t>
      </w:r>
    </w:p>
    <w:p>
      <w:pPr>
        <w:spacing w:after="0" w:line="4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common share increased $0.68 to $1.00 and adjusted diluted net income per common share increased $0.29, or 39.2%, to $1.03.</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three quarters of fiscal 2026, we opened 5 stores and closed 40 stores in the United States.</w:t>
      </w:r>
    </w:p>
    <w:p>
      <w:pPr>
        <w:spacing w:after="0" w:line="10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financial position and available liquidity, we returned $9.1 million in cash dividends to our shareholders in the third quarter of fiscal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FISCAL QUARTER ENDED OCTOBER 3, 2026 COMPARED TO THIRD FISCAL QUARTER ENDED SEPTEMBER 27,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 bps Change</w:t>
            </w:r>
          </w:p>
        </w:tc>
      </w:tr>
      <w:tr>
        <w:trPr>
          <w:trHeight w:val="21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752,456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757,836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397,690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416,208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(18,518)</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354,766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341,628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13,138</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Gross profit as % of consolidated net sales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47.1 %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45.1 %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Royalty income, net as % of consolidated net sales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304,172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317,963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(13,791)</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4"/>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SG&amp;A expenses as % of consolidated net sales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40.4 %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42.0 %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(160) bps</w:t>
            </w:r>
          </w:p>
        </w:tc>
      </w:tr>
      <w:tr>
        <w:trPr>
          <w:trHeight w:val="21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55,770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91.7 %</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income as % of consolidated net sales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360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64.9 %</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86.4 %</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plan settlement</w:t>
            </w:r>
          </w:p>
        </w:tc>
        <w:tc>
          <w:tcPr>
            <w:tcW w:w="24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14,834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33,578</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11,801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3,241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8,560</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2"/>
        </w:trPr>
        <w:tc>
          <w:tcPr>
            <w:tcW w:w="412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i w:val="1"/>
                <w:iCs w:val="1"/>
                <w:color w:val="auto"/>
              </w:rPr>
              <w:t>Effective tax rate</w:t>
            </w:r>
            <w:r>
              <w:rPr>
                <w:rFonts w:ascii="Times New Roman" w:cs="Times New Roman" w:eastAsia="Times New Roman" w:hAnsi="Times New Roman"/>
                <w:sz w:val="21"/>
                <w:szCs w:val="21"/>
                <w:i w:val="1"/>
                <w:iCs w:val="1"/>
                <w:color w:val="auto"/>
                <w:vertAlign w:val="superscript"/>
              </w:rPr>
              <w:t>(*)</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24.4 %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21.8 %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260 bps</w:t>
            </w: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36,611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11,593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25,018</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3"/>
        </w:trPr>
        <w:tc>
          <w:tcPr>
            <w:tcW w:w="4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13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If applicable, percentage changes that are not considered meaningful are denoted with “nm”.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Consolidated net sales decreased $5.4 million, or 0.7%, to $752.5 million. The decrease in net sales was driven by the U.S. Wholesale segment, partially offset by increased net sales in the International segment. Unit volume decreased by a mid-single digit percentage, primarily driven by U.S. Wholesale. AUR increased by a mid-single digit percentage, primarily reflecting higher realized pricing in each of our segments. Changes in foreign currency exchange rates used for translation had a favorable effect on our consolidated net sales of $0.9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Consolidated gross profit increased $13.1 million, or 3.8%, to $354.8 million, reflecting a higher gross margin, partially offset by lower net sales. Consolidated gross margin increased 200 bps to 47.1%, driven by higher AUR and favorable channel mix, partially offset by higher AUC. AUC increased by a low-single digit percentage, reflecting investments in product make, higher product costs, and higher incremental tariff-related costs, which were partially mitigated by negotiated vendor cost concessions. Incremental tariff-related costs, which represent tariff costs in excess of the duty rates in effect prior to the tariff actions initiated in fiscal 2025 and fiscal 2026, were unfavorable to the prior period by approximately $2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Consolidated SG&amp;A expenses decreased $13.8 million, or 4.3%, to $304.2 million and decreased as a percentage of consolidated net sales by 160 bps to 40.4%. The decrease in SG&amp;A rate primarily reflects costs related to organizational restructuring and operating model improvements in the third quarter of fiscal 2025 that did not reoccur in the third quarter of fiscal 2026, reduced costs resulting from these previously implemented restructuring actions, lower distribution and transportation costs, and lower bad debt expense. These decreases were partially offset by incremental marketing investments and inflationary pressure in retail store-related expenses.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Consolidated operating income increased $26.7 million, or 91.7%, to $55.8 million and increased as a percentage of net sales by 360 bps to 7.4%, primarily due to the factors previously discussed.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Consolidated interest expense increased $4.7 million, or 64.9%, to $11.8 million, reflecting the impact of the Company’s fourth quarter of fiscal 2025 issuance of $575.0 million principal amount of 7.375% senior notes due 2031 and redemption of $500.0 million principal amount of 5.625% senior notes due 2027.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Consolidated interest income increased $2.2 million, or 86.4%, to $4.8 million, primarily driven by higher cash balances and short-term investments during the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income tax provision increased $8.6 million to $11.8 million and the effective tax rate increased to 24.4% from 21.8% in the prior period. The increase in the consolidated income tax provision was driven by higher pre-tax income, while the increase in the effective tax rate for the period was driven by a higher estimated annual effective tax rate, reflecting a larger proportion of income generated in higher tax jurisdictions, including income from IEEPA tariff refunds in the U.S., as well as net unfavorable discrete tax items compared to the prior-year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Consolidated net income increased $25.0 million to $36.6 million, reflecting the factors discussed above and the non-recurrence of a non-cash pension settlement charge of $8.8 million recorded in the third quarter of fiscal 2025 related to the settlement of obligations under the frozen OshKosh B’Gosh Pension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Third Quarter of Fiscal 2026 compared to Third Quarter of Fiscal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segment and segment operating income for the third quarter of fiscal 2026 and the third quarter of fiscal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50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20" w:type="dxa"/>
            <w:vAlign w:val="bottom"/>
          </w:tcPr>
          <w:p>
            <w:pPr>
              <w:spacing w:after="0"/>
              <w:rPr>
                <w:sz w:val="13"/>
                <w:szCs w:val="13"/>
                <w:color w:val="auto"/>
              </w:rPr>
            </w:pPr>
          </w:p>
        </w:tc>
        <w:tc>
          <w:tcPr>
            <w:tcW w:w="12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8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362,624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362,307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273,110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283,805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116,722</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111,724</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Consolidated net sales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752,456</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757,836</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income:</w:t>
            </w: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Segment operating</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Segment operating</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19,307</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1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93.5 %</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43,998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11,705</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79,727</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63,146</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Items not included in segment operating income:</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Unallocated corporate expenses</w:t>
            </w:r>
            <w:r>
              <w:rPr>
                <w:rFonts w:ascii="Times New Roman" w:cs="Times New Roman" w:eastAsia="Times New Roman" w:hAnsi="Times New Roman"/>
                <w:sz w:val="21"/>
                <w:szCs w:val="21"/>
                <w:color w:val="auto"/>
                <w:vertAlign w:val="superscript"/>
              </w:rPr>
              <w:t>(1)</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(22,794)</w:t>
            </w: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(23,767)</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(973)</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IP litigation costs</w:t>
            </w:r>
            <w:r>
              <w:rPr>
                <w:rFonts w:ascii="Times New Roman" w:cs="Times New Roman" w:eastAsia="Times New Roman" w:hAnsi="Times New Roman"/>
                <w:sz w:val="21"/>
                <w:szCs w:val="21"/>
                <w:color w:val="auto"/>
                <w:vertAlign w:val="superscript"/>
              </w:rPr>
              <w:t>(2)</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3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Organizational restructuring</w:t>
            </w:r>
            <w:r>
              <w:rPr>
                <w:rFonts w:ascii="Times New Roman" w:cs="Times New Roman" w:eastAsia="Times New Roman" w:hAnsi="Times New Roman"/>
                <w:sz w:val="21"/>
                <w:szCs w:val="21"/>
                <w:color w:val="auto"/>
                <w:vertAlign w:val="superscript"/>
              </w:rPr>
              <w:t>(3)</w:t>
            </w: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Operating model improvement costs</w:t>
            </w:r>
            <w:r>
              <w:rPr>
                <w:rFonts w:ascii="Times New Roman" w:cs="Times New Roman" w:eastAsia="Times New Roman" w:hAnsi="Times New Roman"/>
                <w:sz w:val="21"/>
                <w:szCs w:val="21"/>
                <w:color w:val="auto"/>
                <w:vertAlign w:val="superscript"/>
              </w:rPr>
              <w:t>(4)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3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Leadership transition costs</w:t>
            </w:r>
            <w:r>
              <w:rPr>
                <w:rFonts w:ascii="Times New Roman" w:cs="Times New Roman" w:eastAsia="Times New Roman" w:hAnsi="Times New Roman"/>
                <w:sz w:val="21"/>
                <w:szCs w:val="21"/>
                <w:color w:val="auto"/>
                <w:vertAlign w:val="superscript"/>
              </w:rPr>
              <w:t>(5)</w:t>
            </w: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4"/>
        </w:trPr>
        <w:tc>
          <w:tcPr>
            <w:tcW w:w="3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26,677</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91.7 %</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260" w:hanging="332"/>
        <w:spacing w:after="0" w:line="280"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 w:lineRule="exact"/>
        <w:rPr>
          <w:rFonts w:ascii="Times New Roman" w:cs="Times New Roman" w:eastAsia="Times New Roman" w:hAnsi="Times New Roman"/>
          <w:sz w:val="14"/>
          <w:szCs w:val="14"/>
          <w:color w:val="auto"/>
        </w:rPr>
      </w:pPr>
    </w:p>
    <w:p>
      <w:pPr>
        <w:ind w:left="340" w:right="20" w:hanging="332"/>
        <w:spacing w:after="0" w:line="283"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Reflects third-party legal defense costs incurred in connection with a specific intellectual property litigation matter not in the ordinary course of business described in Note 15, </w:t>
      </w:r>
      <w:r>
        <w:rPr>
          <w:rFonts w:ascii="Times New Roman" w:cs="Times New Roman" w:eastAsia="Times New Roman" w:hAnsi="Times New Roman"/>
          <w:sz w:val="14"/>
          <w:szCs w:val="14"/>
          <w:i w:val="1"/>
          <w:iCs w:val="1"/>
          <w:color w:val="auto"/>
        </w:rPr>
        <w:t>Commitments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Contingencies, </w:t>
      </w:r>
      <w:r>
        <w:rPr>
          <w:rFonts w:ascii="Times New Roman" w:cs="Times New Roman" w:eastAsia="Times New Roman" w:hAnsi="Times New Roman"/>
          <w:sz w:val="14"/>
          <w:szCs w:val="14"/>
          <w:color w:val="auto"/>
        </w:rPr>
        <w:t>to the condensed consolidated financial statements. Amounts are reflected within Selling, general, and administrative expenses in our condensed consolidated statement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operations.</w:t>
      </w:r>
    </w:p>
    <w:p>
      <w:pPr>
        <w:spacing w:after="0" w:line="13" w:lineRule="exact"/>
        <w:rPr>
          <w:rFonts w:ascii="Times New Roman" w:cs="Times New Roman" w:eastAsia="Times New Roman" w:hAnsi="Times New Roman"/>
          <w:sz w:val="14"/>
          <w:szCs w:val="14"/>
          <w:color w:val="auto"/>
        </w:rPr>
      </w:pPr>
    </w:p>
    <w:p>
      <w:pPr>
        <w:ind w:left="340" w:right="180" w:hanging="332"/>
        <w:spacing w:after="0" w:line="29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charges for severance and other termination benefits as a result of an organizational restructuring. Amounts are reflected within Selling, general, and administrative expenses in our condensed consolidated statement of operations.</w:t>
      </w:r>
    </w:p>
    <w:p>
      <w:pPr>
        <w:spacing w:after="0" w:line="1" w:lineRule="exact"/>
        <w:rPr>
          <w:rFonts w:ascii="Times New Roman" w:cs="Times New Roman" w:eastAsia="Times New Roman" w:hAnsi="Times New Roman"/>
          <w:sz w:val="14"/>
          <w:szCs w:val="14"/>
          <w:color w:val="auto"/>
        </w:rPr>
      </w:pPr>
    </w:p>
    <w:p>
      <w:pPr>
        <w:ind w:left="340" w:right="340" w:hanging="332"/>
        <w:spacing w:after="0" w:line="30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improvements. Amounts are reflected within Selling, general, and administrative expenses in our condensed consolidated statement of operations.</w:t>
      </w:r>
    </w:p>
    <w:p>
      <w:pPr>
        <w:spacing w:after="0" w:line="1" w:lineRule="exact"/>
        <w:rPr>
          <w:rFonts w:ascii="Times New Roman" w:cs="Times New Roman" w:eastAsia="Times New Roman" w:hAnsi="Times New Roman"/>
          <w:sz w:val="14"/>
          <w:szCs w:val="14"/>
          <w:color w:val="auto"/>
        </w:rPr>
      </w:pPr>
    </w:p>
    <w:p>
      <w:pPr>
        <w:ind w:left="340" w:right="580" w:hanging="332"/>
        <w:spacing w:after="0" w:line="30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retirement of Michael D. Casey, the Company’s former CEO. Amounts are reflected within Selling, general, and administrative expenses in our condensed consolidated statement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U.S. Retail segment net sales increased $0.3 million, or 0.1%, to $362.6 million, driven by higher AUR, partially offset by lower unit volume. AUR increased by a low-single digit percentage, reflecting higher regular pricing partially offset by increased promotional activity. Unit volume decreased by a low-single digit percentage driven by the impact of net store closures, as well as lower traffic and conversion.</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Comparable net sales, including retail stores and eCommerce, increased 0.4% driven by higher average transaction size, reflecting higher AUR and higher units per transaction, partially offset by lower traffic and conversion. As of October 3, 2026, we operated 769 retail stores in the U.S. compared to 804 as of January 3, 2026, and 808 as of September 27, 2025.</w:t>
      </w:r>
    </w:p>
    <w:p>
      <w:pPr>
        <w:spacing w:after="0" w:line="13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U.S. Retail segment operating income increased $9.3 million, or 93.5%, to $19.3 million, primarily driven by an increase in gross profit of $7.7 million and a decrease in SG&amp;A expenses of $2.2 million. Segment operating margin increased 250 bps to 5.3%, primarily driven by a 210 bps increase in gross margin and a 70 bps decrease in SG&amp;A rate, partially offset by a 30 bps decrease in royalty income as a percentage of net sales. The increase in gross margin was driven by increased AUR discussed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above and a low-single digit percentage decrease in AUC. The decrease in SG&amp;A rate reflected reduced costs resulting from previously implemented restructuring actions, lower store count, and lower distribution and transportation costs, partially offset by incremental marketing investments and inflationary pressure in store-related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U.S. Wholesale segment net sales decreased $10.7 million, or 3.8%, to $273.1 million, driven by lower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reflecting lower replenishment demand and the timing of Fall product shipments, a portion of which shifted into the second quarter of fiscal 2026. AUR increased by a mid-single digit percentage, primarily reflecting higher realized pricing. Unit volume decreased by a high-single digit percentage, primarily reflecting the lower exclusive brands’ sales discussed above.</w:t>
      </w:r>
    </w:p>
    <w:p>
      <w:pPr>
        <w:spacing w:after="0" w:line="1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U.S. Wholesale segment operating income increased $4.7 million, or 10.7%, to $48.7 million, primarily due to an increase in gross profit of $1.2 million and a decrease in SG&amp;A expenses of $3.3 million. Segment operating margin increased 230 bps to 17.8%, primarily driven by a 150 bps increase in gross margin and a 70 bps decrease in SG&amp;A rate. The increase in gross margin was driven by higher AUR and favorable customer mix, partially offset by higher AUC. AUC increased by a low-single digit percentage primarily driven by investments in product make, product mix, and higher incremental tariff-related costs, which were partially mitigated by negotiated vendor cost concessions. The decrease in the SG&amp;A rate reflected lower bad debt expense, partially offset by incremental marketing investments.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International segment net sales increased $5.0 million, or 4.5%, to $116.7 million, driven by growth in Canada and Mexico, as well as higher demand from our international partners. In Canada, comparable net sales increased 1.7%, driven by higher AUR, partially offset by lower unit volume. In Mexico, net sales growth primarily reflected the contribution from new retail stores, increased comparable net sales, and favorable changes in foreign currency exchange rates used for translation.</w:t>
      </w:r>
    </w:p>
    <w:p>
      <w:pPr>
        <w:spacing w:after="0" w:line="15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International segment AUR increased by a mid-single digit percentage, driven by higher realized pricing, the favorable impact of foreign currency exchange rates, and favorable product mix. International segment unit volume decreased by a low-single digit percentage, primarily driven by Canada. Changes in foreign currency exchange rates used for translation had a $0.9 million favorable effect on International segment net sales.</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October 3, 2026, we operated 189 stores and 77 stores in Canada and Mexico, respectively, compared to 192 and 72 as of January 3, 2026, and 192 and 65 as of September 27, 2025.</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International segment operating income increased $2.5 million, or 27.6%, to $11.7 million, primarily due to an increase in gross profit of $4.2 million, partially offset by an increase in SG&amp;A expenses of $1.8 million. Segment operating margin increased 180 bps to 10.0%, driven by a 160 bps increase in gross margin and a 20 bps decrease in the SG&amp;A rate. The increase in gross margin was driven by higher AUR and favorable channel mix, partially offset by higher AUC. AUC increased by a low-single digit percentage, driven by higher product costs, partially offset by the favorable impact of foreign currency exchange rates on U.S. dollar-denominated product purchases. The decrease in the SG&amp;A rate was driven by fixed cost leverage on increased net sales, reduced costs resulting from previously implemented restructuring actions, and lower distribution costs, partially offset by higher store-related costs and incremental marketing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$1.0 million, or 4.1%, to $22.8 million. Unallocated corporate expenses, as a percentage of consolidated net sales, decreased 10 bps to 3.0%, driven by reduced costs resulting from previously implemented restructuring actions and lower severance, relocation, and recruiting costs, partially offset by higher legal costs.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ind w:right="340"/>
        <w:spacing w:after="0" w:line="379" w:lineRule="auto"/>
        <w:rPr>
          <w:sz w:val="20"/>
          <w:szCs w:val="20"/>
          <w:color w:val="auto"/>
        </w:rPr>
      </w:pPr>
      <w:r>
        <w:rPr>
          <w:rFonts w:ascii="Times New Roman" w:cs="Times New Roman" w:eastAsia="Times New Roman" w:hAnsi="Times New Roman"/>
          <w:sz w:val="18"/>
          <w:szCs w:val="18"/>
          <w:b w:val="1"/>
          <w:bCs w:val="1"/>
          <w:color w:val="auto"/>
        </w:rPr>
        <w:t xml:space="preserve">THREE FISCAL QUARTERS ENDED OCTOBER 3, 2026 COMPARED TO THREE FISCAL QUARTERS ENDED SEPTEMBER 27, 2025 </w:t>
      </w:r>
      <w:r>
        <w:rPr>
          <w:rFonts w:ascii="Times New Roman" w:cs="Times New Roman" w:eastAsia="Times New Roman" w:hAnsi="Times New Roman"/>
          <w:sz w:val="18"/>
          <w:szCs w:val="18"/>
          <w:color w:val="auto"/>
        </w:rPr>
        <w:t>The following table summarizes our results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 / bps Change</w:t>
            </w:r>
          </w:p>
        </w:tc>
      </w:tr>
      <w:tr>
        <w:trPr>
          <w:trHeight w:val="21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2,049,060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1,972,975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76,085</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987,822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1,058,497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(70,675)</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1,061,238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914,478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146,760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Gross profit as % of consolidated net sales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51.8 %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46.4 %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540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Royalty income, net as % of consolidated net sales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850,357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869,246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4"/>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SG&amp;A expenses as % of consolidated net sales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41.5 %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44.1 %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(260) bps</w:t>
            </w:r>
          </w:p>
        </w:tc>
      </w:tr>
      <w:tr>
        <w:trPr>
          <w:trHeight w:val="21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224,039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59,240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164,799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income as % of consolidated net sales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790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34,895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22,849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12,046</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52.7 %</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(16,536)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65.2 %</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plan settlement</w:t>
            </w:r>
          </w:p>
        </w:tc>
        <w:tc>
          <w:tcPr>
            <w:tcW w:w="24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204,914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37,886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167,028</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49,009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10,308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38,701</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2"/>
        </w:trPr>
        <w:tc>
          <w:tcPr>
            <w:tcW w:w="412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i w:val="1"/>
                <w:iCs w:val="1"/>
                <w:color w:val="auto"/>
              </w:rPr>
              <w:t>Effective tax rate</w:t>
            </w:r>
            <w:r>
              <w:rPr>
                <w:rFonts w:ascii="Times New Roman" w:cs="Times New Roman" w:eastAsia="Times New Roman" w:hAnsi="Times New Roman"/>
                <w:sz w:val="21"/>
                <w:szCs w:val="21"/>
                <w:i w:val="1"/>
                <w:iCs w:val="1"/>
                <w:color w:val="auto"/>
                <w:vertAlign w:val="superscript"/>
              </w:rPr>
              <w:t>(*)</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23.9 %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27.2 %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(330) bps</w:t>
            </w: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155,905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27,578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128,327</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3"/>
        </w:trPr>
        <w:tc>
          <w:tcPr>
            <w:tcW w:w="4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bl>
    <w:p>
      <w:pPr>
        <w:spacing w:after="0" w:line="13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If applicable, percentage changes that are not considered meaningful are denoted with “nm”.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Consolidated net sales increased $76.1 million, or 3.9%, to $2.05 billion. The increase in net sales was driven by growth in each of our U.S. Retail, U.S. Wholesale, and International segments. AUR increased by a mid-single digit percentage, primarily reflecting higher realized pricing in each of our segments, as well as the favorable impact of changes in foreign currency exchange rates used for translation. Unit volume decreased by a low-single digit percentage driven by U.S. Wholesale, partially offset by growth in our U.S. Retail segment. Changes in foreign currency exchange rates used for translation had a favorable effect on our consolidated net sales of $8.9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Consolidated gross profit increased $146.8 million, or 16.0%, to $1.06 billion, reflecting increased net sales and a higher gross margin. Consolidated gross margin increased 540 bps to 51.8%, driven by $128 million of IEEPA tariff refund recoveries, higher AUR, and favorable channel mix, partially offset by higher AUC. AUC, which excludes the impact of IEEPA tariff refund recoveries, increased by a high-single digit percentage, driven by incremental domestic and international tariff-related costs and investments in product make, partially offset by negotiated vendor cost concessions. Incremental tariff-related costs, which represent tariff costs in excess of the duty rates in effect prior to the tariff actions initiated in fiscal 2025 and fiscal 2026, were unfavorable to the prior period by approximately $80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Consolidated SG&amp;A expenses decreased $18.9 million, or 2.2%, to $850.4 million and decreased as a percentage of consolidated net sales by 260 bps to 41.5%. The decrease in SG&amp;A rate was driven by fixed cost leverage on higher net sales, costs related to organizational restructuring and operating model improvements in the first three quarters of fiscal 2025 that did not reoccur in the first three quarters of fiscal 2026, lower leadership transition costs, and lower distribution costs. These were partially offset by incremental marketing investments and inflationary pressure in retail store-related expenses.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Consolidated operating income increased $164.8 million to $224.0 million and increased as a percentage of net sales by 790 bps to 10.9%, primarily due to the factors previously discussed.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Consolidated interest expense increased $12.0 million, or 52.7%, to $34.9 million, reflecting the impact of the Company’s fourth quarter of fiscal 2025 issuance of $575.0 million principal amount of 7.375% senior notes due 2031 and redemption of $500.0 million principal amount of 5.625% senior notes due 2027.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Consolidated interest income increased $6.5 million, or 65.2%, to $16.5 million, primarily driven by $4 million of interest recognized on IEEPA tariff refund recoveries and higher cash balances and short-term investments during the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Consolidated income tax provision increased $38.7 million to $49.0 million, and the effective tax rate decreased 330 bps to 23.9%. The increase in the consolidated income tax provision was driven by higher pre-tax income, while the decrease in the effective tax rate was driven by discrete tax items recognized in the prior-year period, including incremental tax expense related to expiration of stock-based compensation awards, which had a disproportionate impact on that period’s rate given its lower level of pre-tax income. This was partially offset by a higher estimated annual effective tax rate, reflecting a larger proportion of income generated in higher tax jurisdictions.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Consolidated net income increased $128.3 million to $155.9 million, primarily due to the factors discussed above and the non-recurrence of a non-cash pension settlement charge of $8.8 million recorded in the first three quarters of fiscal 2025.</w:t>
      </w: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0"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First Three Quarters of Fiscal 2026 compared to First Three Quarters of Fiscal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and segment operating income, by segment, for the first three quarters of fiscal 2026 and fiscal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5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540" w:type="dxa"/>
            <w:vAlign w:val="bottom"/>
            <w:gridSpan w:val="3"/>
            <w:vMerge w:val="continue"/>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999,549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956,288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740,069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726,899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309,442</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289,788</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19,654</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2,049,060</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1,972,975</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income:</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Segment operating</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Segment operating</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32,597</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16,052</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115,240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21,273</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12,564</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8,709</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69.3 %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169,110</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154,985</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Items not included in segment operating</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7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6"/>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Tariff refund recovery</w:t>
            </w:r>
            <w:r>
              <w:rPr>
                <w:rFonts w:ascii="Times New Roman" w:cs="Times New Roman" w:eastAsia="Times New Roman" w:hAnsi="Times New Roman"/>
                <w:sz w:val="21"/>
                <w:szCs w:val="21"/>
                <w:color w:val="auto"/>
                <w:vertAlign w:val="superscript"/>
              </w:rPr>
              <w:t>(1)</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127,669</w:t>
            </w: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6"/>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Unallocated corporate expenses</w:t>
            </w:r>
            <w:r>
              <w:rPr>
                <w:rFonts w:ascii="Times New Roman" w:cs="Times New Roman" w:eastAsia="Times New Roman" w:hAnsi="Times New Roman"/>
                <w:sz w:val="9"/>
                <w:szCs w:val="9"/>
                <w:color w:val="auto"/>
              </w:rPr>
              <w:t>(2)</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(65,635)</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(68,465)</w:t>
            </w: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(2,830)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6"/>
        </w:trPr>
        <w:tc>
          <w:tcPr>
            <w:tcW w:w="3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Leadership transition costs</w:t>
            </w:r>
            <w:r>
              <w:rPr>
                <w:rFonts w:ascii="Times New Roman" w:cs="Times New Roman" w:eastAsia="Times New Roman" w:hAnsi="Times New Roman"/>
                <w:sz w:val="21"/>
                <w:szCs w:val="21"/>
                <w:color w:val="auto"/>
                <w:vertAlign w:val="superscript"/>
              </w:rPr>
              <w:t>(3)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120" w:type="dxa"/>
            <w:vAlign w:val="bottom"/>
          </w:tcPr>
          <w:p>
            <w:pPr>
              <w:spacing w:after="0"/>
              <w:rPr>
                <w:sz w:val="18"/>
                <w:szCs w:val="18"/>
                <w:color w:val="auto"/>
              </w:rPr>
            </w:pPr>
          </w:p>
        </w:tc>
        <w:tc>
          <w:tcPr>
            <w:tcW w:w="172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6"/>
        </w:trPr>
        <w:tc>
          <w:tcPr>
            <w:tcW w:w="3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IP litigation costs</w:t>
            </w:r>
            <w:r>
              <w:rPr>
                <w:rFonts w:ascii="Times New Roman" w:cs="Times New Roman" w:eastAsia="Times New Roman" w:hAnsi="Times New Roman"/>
                <w:sz w:val="21"/>
                <w:szCs w:val="21"/>
                <w:color w:val="auto"/>
                <w:vertAlign w:val="superscript"/>
              </w:rPr>
              <w:t>(4)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6"/>
        </w:trPr>
        <w:tc>
          <w:tcPr>
            <w:tcW w:w="30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Organizational restructuring</w:t>
            </w:r>
            <w:r>
              <w:rPr>
                <w:rFonts w:ascii="Times New Roman" w:cs="Times New Roman" w:eastAsia="Times New Roman" w:hAnsi="Times New Roman"/>
                <w:sz w:val="21"/>
                <w:szCs w:val="21"/>
                <w:color w:val="auto"/>
                <w:vertAlign w:val="superscript"/>
              </w:rPr>
              <w:t>(5)</w:t>
            </w: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120" w:type="dxa"/>
            <w:vAlign w:val="bottom"/>
          </w:tcPr>
          <w:p>
            <w:pPr>
              <w:spacing w:after="0"/>
              <w:rPr>
                <w:sz w:val="18"/>
                <w:szCs w:val="18"/>
                <w:color w:val="auto"/>
              </w:rPr>
            </w:pPr>
          </w:p>
        </w:tc>
        <w:tc>
          <w:tcPr>
            <w:tcW w:w="172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6"/>
        </w:trPr>
        <w:tc>
          <w:tcPr>
            <w:tcW w:w="308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Operating model improvement costs</w:t>
            </w:r>
            <w:r>
              <w:rPr>
                <w:rFonts w:ascii="Times New Roman" w:cs="Times New Roman" w:eastAsia="Times New Roman" w:hAnsi="Times New Roman"/>
                <w:sz w:val="21"/>
                <w:szCs w:val="21"/>
                <w:color w:val="auto"/>
                <w:vertAlign w:val="superscript"/>
              </w:rPr>
              <w:t>(6)</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w:t>
            </w: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0"/>
        </w:trPr>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224,039</w:t>
            </w: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59,240</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164,799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0"/>
        </w:trPr>
        <w:tc>
          <w:tcPr>
            <w:tcW w:w="3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180" w:hanging="332"/>
        <w:spacing w:after="0" w:line="30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$128 million of IEEPA tariff refund recoveries, excluding interest received, which are reflected as a reduction of Cost of goods sold in our condensed consolidated statement of operations.</w:t>
      </w:r>
    </w:p>
    <w:p>
      <w:pPr>
        <w:spacing w:after="0" w:line="1" w:lineRule="exact"/>
        <w:rPr>
          <w:rFonts w:ascii="Times New Roman" w:cs="Times New Roman" w:eastAsia="Times New Roman" w:hAnsi="Times New Roman"/>
          <w:sz w:val="14"/>
          <w:szCs w:val="14"/>
          <w:color w:val="auto"/>
        </w:rPr>
      </w:pPr>
    </w:p>
    <w:p>
      <w:pPr>
        <w:ind w:left="340" w:right="260" w:hanging="332"/>
        <w:spacing w:after="0" w:line="27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21" w:lineRule="exact"/>
        <w:rPr>
          <w:rFonts w:ascii="Times New Roman" w:cs="Times New Roman" w:eastAsia="Times New Roman" w:hAnsi="Times New Roman"/>
          <w:sz w:val="14"/>
          <w:szCs w:val="14"/>
          <w:color w:val="auto"/>
        </w:rPr>
      </w:pPr>
    </w:p>
    <w:p>
      <w:pPr>
        <w:ind w:left="340" w:right="220" w:hanging="332"/>
        <w:spacing w:after="0" w:line="30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retirement of Michael D. Casey, the Company’s former CEO, in fiscal 2025 and costs related to the departure of Douglas C. Palladini, the Company’s former CEO, in the second quarter of fiscal 2026. Amounts are reflected within Selling, general, and administrative expenses in our condensed consolidated statement of operations.</w:t>
      </w:r>
    </w:p>
    <w:p>
      <w:pPr>
        <w:spacing w:after="0" w:line="1" w:lineRule="exact"/>
        <w:rPr>
          <w:rFonts w:ascii="Times New Roman" w:cs="Times New Roman" w:eastAsia="Times New Roman" w:hAnsi="Times New Roman"/>
          <w:sz w:val="14"/>
          <w:szCs w:val="14"/>
          <w:color w:val="auto"/>
        </w:rPr>
      </w:pPr>
    </w:p>
    <w:p>
      <w:pPr>
        <w:jc w:val="both"/>
        <w:ind w:left="340" w:right="620" w:hanging="332"/>
        <w:spacing w:after="0" w:line="27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Reflects third-party legal defense costs incurred in connection with a specific intellectual property litigation matter not in the ordinary course of business, as described in Note 15, </w:t>
      </w:r>
      <w:r>
        <w:rPr>
          <w:rFonts w:ascii="Times New Roman" w:cs="Times New Roman" w:eastAsia="Times New Roman" w:hAnsi="Times New Roman"/>
          <w:sz w:val="14"/>
          <w:szCs w:val="14"/>
          <w:i w:val="1"/>
          <w:iCs w:val="1"/>
          <w:color w:val="auto"/>
        </w:rPr>
        <w:t xml:space="preserve">Commitments and Contingencies, </w:t>
      </w:r>
      <w:r>
        <w:rPr>
          <w:rFonts w:ascii="Times New Roman" w:cs="Times New Roman" w:eastAsia="Times New Roman" w:hAnsi="Times New Roman"/>
          <w:sz w:val="14"/>
          <w:szCs w:val="14"/>
          <w:color w:val="auto"/>
        </w:rPr>
        <w:t>to the condensed consolidated financial statements. Amounts are reflected within Selling, general, and administrative expenses in our condensed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consolidated statement of operations.</w:t>
      </w:r>
    </w:p>
    <w:p>
      <w:pPr>
        <w:spacing w:after="0" w:line="21" w:lineRule="exact"/>
        <w:rPr>
          <w:rFonts w:ascii="Times New Roman" w:cs="Times New Roman" w:eastAsia="Times New Roman" w:hAnsi="Times New Roman"/>
          <w:sz w:val="14"/>
          <w:szCs w:val="14"/>
          <w:color w:val="auto"/>
        </w:rPr>
      </w:pPr>
    </w:p>
    <w:p>
      <w:pPr>
        <w:ind w:left="340" w:right="180" w:hanging="332"/>
        <w:spacing w:after="0" w:line="30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charges for severance and other termination benefits as a result of an organizational restructuring. Amounts are reflected within Selling, general, and administrative expenses in our condensed consolidated statement of operations.</w:t>
      </w:r>
    </w:p>
    <w:p>
      <w:pPr>
        <w:spacing w:after="0" w:line="1" w:lineRule="exact"/>
        <w:rPr>
          <w:rFonts w:ascii="Times New Roman" w:cs="Times New Roman" w:eastAsia="Times New Roman" w:hAnsi="Times New Roman"/>
          <w:sz w:val="14"/>
          <w:szCs w:val="14"/>
          <w:color w:val="auto"/>
        </w:rPr>
      </w:pPr>
    </w:p>
    <w:p>
      <w:pPr>
        <w:ind w:left="340" w:right="340" w:hanging="332"/>
        <w:spacing w:after="0" w:line="28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improvements. Amounts are reflected within Selling, general, and administrative expenses in our condensed consolidated statement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U.S. Retail segment net sales increased $43.3 million, or 4.5%, to $999.5 million. The increase in net sales was driven by higher unit volume and AUR. Unit volume increased by a low-single digit percentage driven by higher traffic, transactions, and units per transaction in both stores and eCommerce, partially offset by the sales impact of net store closures. AUR increased by a low-single digit percentage, reflecting higher pricing, partially offset by product mix, which reflects a higher proportion of opening price point product, and increased promotional activity. Comparable net sales, including retail stores and eCommerce, increased 5.0% driven by the factors mentioned above.</w:t>
      </w:r>
    </w:p>
    <w:p>
      <w:pPr>
        <w:spacing w:after="0" w:line="1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U.S. Retail segment operating income increased $16.5 million to $32.6 million, primarily due to an increase in gross profit of $19.5 million, partially offset by an increase in SG&amp;A expenses of $2.7 million. Segment operating margin increased 160 bps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3.3%, driven by a 220 bps decrease in the SG&amp;A rate, partially offset by a 60 bps decrease in gross margin. The decrease in gross margin was driven by a mid-single digit percentage increase in AUC, reflecting incremental tariff-related costs net of negotiated vendor cost concessions, partially offset by increased AUR. The decrease in the SG&amp;A rate was driven by fixed cost leverage on higher net sales, reduced costs resulting from previously implemented restructuring actions, and lower distribution and transportation costs, partially offset by incremental marketing investments and inflationary pressure in retail store-related expenses.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U.S. Wholesale segment net sales increased $13.2 million, or 1.8%, to $740.1 million, driven by growth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partially offset by lower demand from certain customers and lower sales of excess product to our off-price wholesale channel customers. AUR increased by a high-single digit percentage, primarily reflecting higher realized pricing and the lower proportion of off-price sales. Unit volume decreased by a mid-single digit percentage, primarily reflecting the lower demand from certain customers and off-price sales discussed above.</w:t>
      </w:r>
    </w:p>
    <w:p>
      <w:pPr>
        <w:spacing w:after="0" w:line="14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U.S. Wholesale segment operating income decreased $11.1 million, or 8.8%, to $115.2 million, primarily due to a decrease in gross profit of $16.6 million, partially offset by a decrease in SG&amp;A expenses of $6.1 million. Segment operating margin decreased 180 bps to 15.6%. The drivers of the decrease in operating margin were a 280 bps decrease in gross margin, partially offset by a 100 bps decrease in SG&amp;A rate. The decrease in gross margin was driven by a low-double digit percentage increase in AUC, reflecting incremental tariff-related costs and investments in product make, net of negotiated vendor cost concessions. This was partially offset by higher AUR and favorable customer mix. The decrease in the SG&amp;A rate was driven by fixed cost leverage on increased net sales, lower distribution costs, lower performance-based compensation expense, and lower bad debt expense, partially offset by incremental marketing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International segment net sales increased $19.7 million, or 6.8%, to $309.4 million, driven by growth in Mexico and Canada, partially offset by lower sales to international partners. In Mexico, net sales growth reflected higher AUR and the contribution from new retail stores. Canadian comparable net sales, including retail stores and eCommerce, increased 2.3% driven by higher AUR. International segment AUR increased by a mid-single digit percentage driven by pricing and the favorable impact of foreign currency exchange rates. International segment unit volume increased by a low-single digit percentage. Changes in foreign currency exchange rates used for translation had an $8.9 million favorable effect on International segment net sales.</w:t>
      </w:r>
    </w:p>
    <w:p>
      <w:pPr>
        <w:spacing w:after="0" w:line="1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International segment operating income increased $8.7 million, or 69.3%, to $21.3 million, primarily due to an increase in gross profit of $16.2 million, partially offset by an increase in SG&amp;A expenses of $7.5 million. Segment operating margin increased 260 bps to 6.9%, driven by a 230 bps increase in gross margin and a 30 bps decrease in the SG&amp;A rate. The increase in gross margin was driven by higher AUR and favorable channel mix, partially offset by increased AUC. AUC increased by a low-single digit percentage driven by higher product costs, partially offset by the favorable impact of foreign currency exchange rates on U.S. dollar-denominated product purchases. The decrease in the SG&amp;A rate was driven by fixed cost leverage on increased net sales and reduced costs resulting from previously implemented restructuring actions, partially offset by increased store-related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$2.8 million, or 4.1%, to $65.6 million. Unallocated corporate expenses, as a percentage of consolidated net sales, decreased 30 bps to 3.2% driven by reduced costs resulting from previously implemented restructuring actions, lower performance-based compensation, and lower consulting costs.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provided non-GAAP adjusted cost of goods sold, gross profit, SG&amp;A expenses, operating income, interest income, income tax provision, net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cost of goods sold, gross profit, SG&amp;A expenses, operating income, interest income, income tax provision, net income, and diluted net income per common share, respectively. Adjusted cost of goods sold, gross profit, SG&amp;A expenses, operating income, interest income, income tax provision, net income, and diluted net income per common share should not be considered in isolation or as a substitute for analysis of our results as reported in accordance with GAAP. Other companies may calculate adjusted cost of goods sold, gross profit, SG&amp;A expenses, operating income, interest income, income tax provision, net income, and diluted net income per common share differently than we do, limiting the usefulness of the measures for comparisons with other companies.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12"/>
          </w:tcPr>
          <w:p>
            <w:pPr>
              <w:ind w:left="180"/>
              <w:spacing w:after="0"/>
              <w:rPr>
                <w:sz w:val="20"/>
                <w:szCs w:val="20"/>
                <w:color w:val="auto"/>
              </w:rPr>
            </w:pPr>
            <w:r>
              <w:rPr>
                <w:rFonts w:ascii="Times New Roman" w:cs="Times New Roman" w:eastAsia="Times New Roman" w:hAnsi="Times New Roman"/>
                <w:sz w:val="15"/>
                <w:szCs w:val="15"/>
                <w:b w:val="1"/>
                <w:bCs w:val="1"/>
                <w:color w:val="auto"/>
              </w:rPr>
              <w:t>Fiscal quarter ended October 3, 2026</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54"/>
        </w:trPr>
        <w:tc>
          <w:tcPr>
            <w:tcW w:w="242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i w:val="1"/>
                <w:iCs w:val="1"/>
                <w:color w:val="auto"/>
              </w:rPr>
              <w:t>(dollars in millions, except earnings</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Cost of</w:t>
            </w: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54" w:lineRule="exact"/>
              <w:rPr>
                <w:sz w:val="20"/>
                <w:szCs w:val="20"/>
                <w:color w:val="auto"/>
              </w:rPr>
            </w:pPr>
            <w:r>
              <w:rPr>
                <w:rFonts w:ascii="Times New Roman" w:cs="Times New Roman" w:eastAsia="Times New Roman" w:hAnsi="Times New Roman"/>
                <w:sz w:val="15"/>
                <w:szCs w:val="15"/>
                <w:b w:val="1"/>
                <w:bCs w:val="1"/>
                <w:color w:val="auto"/>
              </w:rPr>
              <w:t>Gross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rPr>
              <w:t>SG&amp;A</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64"/>
              <w:spacing w:after="0" w:line="154" w:lineRule="exact"/>
              <w:rPr>
                <w:sz w:val="20"/>
                <w:szCs w:val="20"/>
                <w:color w:val="auto"/>
              </w:rPr>
            </w:pPr>
            <w:r>
              <w:rPr>
                <w:rFonts w:ascii="Times New Roman" w:cs="Times New Roman" w:eastAsia="Times New Roman" w:hAnsi="Times New Roman"/>
                <w:sz w:val="15"/>
                <w:szCs w:val="15"/>
                <w:b w:val="1"/>
                <w:bCs w:val="1"/>
                <w:color w:val="auto"/>
              </w:rPr>
              <w:t>Operating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center"/>
              <w:ind w:right="100"/>
              <w:spacing w:after="0" w:line="154" w:lineRule="exact"/>
              <w:rPr>
                <w:sz w:val="20"/>
                <w:szCs w:val="20"/>
                <w:color w:val="auto"/>
              </w:rPr>
            </w:pPr>
            <w:r>
              <w:rPr>
                <w:rFonts w:ascii="Times New Roman" w:cs="Times New Roman" w:eastAsia="Times New Roman" w:hAnsi="Times New Roman"/>
                <w:sz w:val="15"/>
                <w:szCs w:val="15"/>
                <w:b w:val="1"/>
                <w:bCs w:val="1"/>
                <w:color w:val="auto"/>
              </w:rPr>
              <w:t>% Net</w:t>
            </w:r>
          </w:p>
        </w:tc>
        <w:tc>
          <w:tcPr>
            <w:tcW w:w="40" w:type="dxa"/>
            <w:vAlign w:val="bottom"/>
          </w:tcPr>
          <w:p>
            <w:pPr>
              <w:spacing w:after="0"/>
              <w:rPr>
                <w:sz w:val="13"/>
                <w:szCs w:val="13"/>
                <w:color w:val="auto"/>
              </w:rPr>
            </w:pPr>
          </w:p>
        </w:tc>
        <w:tc>
          <w:tcPr>
            <w:tcW w:w="780" w:type="dxa"/>
            <w:vAlign w:val="bottom"/>
            <w:gridSpan w:val="4"/>
          </w:tcPr>
          <w:p>
            <w:pPr>
              <w:ind w:left="80"/>
              <w:spacing w:after="0" w:line="154" w:lineRule="exact"/>
              <w:rPr>
                <w:sz w:val="20"/>
                <w:szCs w:val="20"/>
                <w:color w:val="auto"/>
              </w:rPr>
            </w:pPr>
            <w:r>
              <w:rPr>
                <w:rFonts w:ascii="Times New Roman" w:cs="Times New Roman" w:eastAsia="Times New Roman" w:hAnsi="Times New Roman"/>
                <w:sz w:val="15"/>
                <w:szCs w:val="15"/>
                <w:b w:val="1"/>
                <w:bCs w:val="1"/>
                <w:color w:val="auto"/>
              </w:rPr>
              <w:t>Interest</w:t>
            </w:r>
          </w:p>
        </w:tc>
        <w:tc>
          <w:tcPr>
            <w:tcW w:w="40" w:type="dxa"/>
            <w:vAlign w:val="bottom"/>
          </w:tcPr>
          <w:p>
            <w:pPr>
              <w:spacing w:after="0"/>
              <w:rPr>
                <w:sz w:val="13"/>
                <w:szCs w:val="13"/>
                <w:color w:val="auto"/>
              </w:rPr>
            </w:pPr>
          </w:p>
        </w:tc>
        <w:tc>
          <w:tcPr>
            <w:tcW w:w="780" w:type="dxa"/>
            <w:vAlign w:val="bottom"/>
            <w:gridSpan w:val="4"/>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Income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Net</w:t>
            </w:r>
          </w:p>
        </w:tc>
        <w:tc>
          <w:tcPr>
            <w:tcW w:w="20" w:type="dxa"/>
            <w:vAlign w:val="bottom"/>
          </w:tcPr>
          <w:p>
            <w:pPr>
              <w:spacing w:after="0"/>
              <w:rPr>
                <w:sz w:val="13"/>
                <w:szCs w:val="13"/>
                <w:color w:val="auto"/>
              </w:rPr>
            </w:pPr>
          </w:p>
        </w:tc>
        <w:tc>
          <w:tcPr>
            <w:tcW w:w="1440" w:type="dxa"/>
            <w:vAlign w:val="bottom"/>
            <w:gridSpan w:val="3"/>
          </w:tcPr>
          <w:p>
            <w:pPr>
              <w:ind w:left="80"/>
              <w:spacing w:after="0" w:line="154" w:lineRule="exact"/>
              <w:rPr>
                <w:sz w:val="20"/>
                <w:szCs w:val="20"/>
                <w:color w:val="auto"/>
              </w:rPr>
            </w:pPr>
            <w:r>
              <w:rPr>
                <w:rFonts w:ascii="Times New Roman" w:cs="Times New Roman" w:eastAsia="Times New Roman" w:hAnsi="Times New Roman"/>
                <w:sz w:val="15"/>
                <w:szCs w:val="15"/>
                <w:b w:val="1"/>
                <w:bCs w:val="1"/>
                <w:color w:val="auto"/>
              </w:rPr>
              <w:t>Diluted Net Income</w:t>
            </w:r>
          </w:p>
        </w:tc>
      </w:tr>
      <w:tr>
        <w:trPr>
          <w:trHeight w:val="206"/>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per share)</w:t>
            </w: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Goods Sold</w:t>
            </w:r>
          </w:p>
        </w:tc>
        <w:tc>
          <w:tcPr>
            <w:tcW w:w="14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Profit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Sales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Taxes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per Common Share</w:t>
            </w:r>
          </w:p>
        </w:tc>
      </w:tr>
      <w:tr>
        <w:trPr>
          <w:trHeight w:val="200"/>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reported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397.7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354.8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304.2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55.8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7.4 %</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w:t>
            </w:r>
          </w:p>
        </w:tc>
        <w:tc>
          <w:tcPr>
            <w:tcW w:w="40" w:type="dxa"/>
            <w:vAlign w:val="bottom"/>
            <w:tcBorders>
              <w:top w:val="single" w:sz="8" w:color="auto"/>
            </w:tcBorders>
            <w:shd w:val="clear" w:color="auto" w:fill="CCEEFF"/>
          </w:tcPr>
          <w:p>
            <w:pPr>
              <w:spacing w:after="0"/>
              <w:rPr>
                <w:sz w:val="17"/>
                <w:szCs w:val="17"/>
                <w:color w:val="auto"/>
              </w:rPr>
            </w:pPr>
          </w:p>
        </w:tc>
      </w:tr>
      <w:tr>
        <w:trPr>
          <w:trHeight w:val="203"/>
        </w:trPr>
        <w:tc>
          <w:tcPr>
            <w:tcW w:w="24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IP litigation costs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40" w:type="dxa"/>
            <w:vAlign w:val="bottom"/>
          </w:tcPr>
          <w:p>
            <w:pPr>
              <w:spacing w:after="0"/>
              <w:rPr>
                <w:sz w:val="17"/>
                <w:szCs w:val="17"/>
                <w:color w:val="auto"/>
              </w:rPr>
            </w:pPr>
          </w:p>
        </w:tc>
      </w:tr>
      <w:tr>
        <w:trPr>
          <w:trHeight w:val="221"/>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adjusted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354.8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56.9</w:t>
            </w:r>
          </w:p>
        </w:tc>
        <w:tc>
          <w:tcPr>
            <w:tcW w:w="860" w:type="dxa"/>
            <w:vAlign w:val="bottom"/>
            <w:tcBorders>
              <w:top w:val="single" w:sz="8" w:color="CCEEFF"/>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67"/>
        </w:trPr>
        <w:tc>
          <w:tcPr>
            <w:tcW w:w="2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5"/>
                <w:szCs w:val="15"/>
                <w:b w:val="1"/>
                <w:bCs w:val="1"/>
                <w:color w:val="auto"/>
              </w:rPr>
              <w:t>Three fiscal quarters ended October 3, 2026</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4"/>
        </w:trPr>
        <w:tc>
          <w:tcPr>
            <w:tcW w:w="242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i w:val="1"/>
                <w:iCs w:val="1"/>
                <w:color w:val="auto"/>
              </w:rPr>
              <w:t>(dollars in millions, except earnings</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Cost of</w:t>
            </w:r>
          </w:p>
        </w:tc>
        <w:tc>
          <w:tcPr>
            <w:tcW w:w="140" w:type="dxa"/>
            <w:vAlign w:val="bottom"/>
          </w:tcPr>
          <w:p>
            <w:pPr>
              <w:spacing w:after="0"/>
              <w:rPr>
                <w:sz w:val="13"/>
                <w:szCs w:val="13"/>
                <w:color w:val="auto"/>
              </w:rPr>
            </w:pPr>
          </w:p>
        </w:tc>
        <w:tc>
          <w:tcPr>
            <w:tcW w:w="720" w:type="dxa"/>
            <w:vAlign w:val="bottom"/>
            <w:gridSpan w:val="2"/>
          </w:tcPr>
          <w:p>
            <w:pPr>
              <w:jc w:val="right"/>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Gross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rPr>
              <w:t>SG&amp;A</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44"/>
              <w:spacing w:after="0" w:line="154" w:lineRule="exact"/>
              <w:rPr>
                <w:sz w:val="20"/>
                <w:szCs w:val="20"/>
                <w:color w:val="auto"/>
              </w:rPr>
            </w:pPr>
            <w:r>
              <w:rPr>
                <w:rFonts w:ascii="Times New Roman" w:cs="Times New Roman" w:eastAsia="Times New Roman" w:hAnsi="Times New Roman"/>
                <w:sz w:val="15"/>
                <w:szCs w:val="15"/>
                <w:b w:val="1"/>
                <w:bCs w:val="1"/>
                <w:color w:val="auto"/>
              </w:rPr>
              <w:t>Operating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center"/>
              <w:ind w:right="60"/>
              <w:spacing w:after="0" w:line="154" w:lineRule="exact"/>
              <w:rPr>
                <w:sz w:val="20"/>
                <w:szCs w:val="20"/>
                <w:color w:val="auto"/>
              </w:rPr>
            </w:pPr>
            <w:r>
              <w:rPr>
                <w:rFonts w:ascii="Times New Roman" w:cs="Times New Roman" w:eastAsia="Times New Roman" w:hAnsi="Times New Roman"/>
                <w:sz w:val="15"/>
                <w:szCs w:val="15"/>
                <w:b w:val="1"/>
                <w:bCs w:val="1"/>
                <w:color w:val="auto"/>
              </w:rPr>
              <w:t>% Net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Interest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rPr>
              <w:t>Income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ind w:right="180"/>
              <w:spacing w:after="0" w:line="154" w:lineRule="exact"/>
              <w:rPr>
                <w:sz w:val="20"/>
                <w:szCs w:val="20"/>
                <w:color w:val="auto"/>
              </w:rPr>
            </w:pPr>
            <w:r>
              <w:rPr>
                <w:rFonts w:ascii="Times New Roman" w:cs="Times New Roman" w:eastAsia="Times New Roman" w:hAnsi="Times New Roman"/>
                <w:sz w:val="15"/>
                <w:szCs w:val="15"/>
                <w:b w:val="1"/>
                <w:bCs w:val="1"/>
                <w:color w:val="auto"/>
              </w:rPr>
              <w:t>Net</w:t>
            </w:r>
          </w:p>
        </w:tc>
        <w:tc>
          <w:tcPr>
            <w:tcW w:w="20" w:type="dxa"/>
            <w:vAlign w:val="bottom"/>
          </w:tcPr>
          <w:p>
            <w:pPr>
              <w:spacing w:after="0"/>
              <w:rPr>
                <w:sz w:val="13"/>
                <w:szCs w:val="13"/>
                <w:color w:val="auto"/>
              </w:rPr>
            </w:pPr>
          </w:p>
        </w:tc>
        <w:tc>
          <w:tcPr>
            <w:tcW w:w="14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Diluted Net Income</w:t>
            </w:r>
          </w:p>
        </w:tc>
        <w:tc>
          <w:tcPr>
            <w:tcW w:w="40" w:type="dxa"/>
            <w:vAlign w:val="bottom"/>
          </w:tcPr>
          <w:p>
            <w:pPr>
              <w:spacing w:after="0"/>
              <w:rPr>
                <w:sz w:val="13"/>
                <w:szCs w:val="13"/>
                <w:color w:val="auto"/>
              </w:rPr>
            </w:pPr>
          </w:p>
        </w:tc>
      </w:tr>
      <w:tr>
        <w:trPr>
          <w:trHeight w:val="206"/>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per share)</w:t>
            </w: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Goods Sold</w:t>
            </w:r>
          </w:p>
        </w:tc>
        <w:tc>
          <w:tcPr>
            <w:tcW w:w="14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Profit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Sales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Taxes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0" w:type="dxa"/>
            <w:vAlign w:val="bottom"/>
          </w:tcPr>
          <w:p>
            <w:pPr>
              <w:spacing w:after="0"/>
              <w:rPr>
                <w:sz w:val="17"/>
                <w:szCs w:val="17"/>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per Common Share</w:t>
            </w:r>
          </w:p>
        </w:tc>
      </w:tr>
      <w:tr>
        <w:trPr>
          <w:trHeight w:val="200"/>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reported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987.8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1,061.2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850.4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224.0</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10.9 %</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155.9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4.27</w:t>
            </w:r>
          </w:p>
        </w:tc>
        <w:tc>
          <w:tcPr>
            <w:tcW w:w="40" w:type="dxa"/>
            <w:vAlign w:val="bottom"/>
          </w:tcPr>
          <w:p>
            <w:pPr>
              <w:spacing w:after="0"/>
              <w:rPr>
                <w:sz w:val="17"/>
                <w:szCs w:val="17"/>
                <w:color w:val="auto"/>
              </w:rPr>
            </w:pPr>
          </w:p>
        </w:tc>
      </w:tr>
      <w:tr>
        <w:trPr>
          <w:trHeight w:val="203"/>
        </w:trPr>
        <w:tc>
          <w:tcPr>
            <w:tcW w:w="24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Tariff refund recovery</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40" w:type="dxa"/>
            <w:vAlign w:val="bottom"/>
          </w:tcPr>
          <w:p>
            <w:pPr>
              <w:spacing w:after="0"/>
              <w:rPr>
                <w:sz w:val="17"/>
                <w:szCs w:val="17"/>
                <w:color w:val="auto"/>
              </w:rPr>
            </w:pPr>
          </w:p>
        </w:tc>
      </w:tr>
      <w:tr>
        <w:trPr>
          <w:trHeight w:val="203"/>
        </w:trPr>
        <w:tc>
          <w:tcPr>
            <w:tcW w:w="24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Leadership transition costs</w:t>
            </w:r>
            <w:r>
              <w:rPr>
                <w:rFonts w:ascii="Times New Roman" w:cs="Times New Roman" w:eastAsia="Times New Roman" w:hAnsi="Times New Roman"/>
                <w:sz w:val="19"/>
                <w:szCs w:val="19"/>
                <w:color w:val="auto"/>
                <w:vertAlign w:val="superscript"/>
              </w:rPr>
              <w:t>(3)</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40" w:type="dxa"/>
            <w:vAlign w:val="bottom"/>
          </w:tcPr>
          <w:p>
            <w:pPr>
              <w:spacing w:after="0"/>
              <w:rPr>
                <w:sz w:val="17"/>
                <w:szCs w:val="17"/>
                <w:color w:val="auto"/>
              </w:rPr>
            </w:pPr>
          </w:p>
        </w:tc>
      </w:tr>
      <w:tr>
        <w:trPr>
          <w:trHeight w:val="203"/>
        </w:trPr>
        <w:tc>
          <w:tcPr>
            <w:tcW w:w="242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5"/>
                <w:szCs w:val="15"/>
                <w:color w:val="auto"/>
              </w:rPr>
              <w:t>IP litigation costs</w:t>
            </w:r>
            <w:r>
              <w:rPr>
                <w:rFonts w:ascii="Times New Roman" w:cs="Times New Roman" w:eastAsia="Times New Roman" w:hAnsi="Times New Roman"/>
                <w:sz w:val="19"/>
                <w:szCs w:val="19"/>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40" w:type="dxa"/>
            <w:vAlign w:val="bottom"/>
          </w:tcPr>
          <w:p>
            <w:pPr>
              <w:spacing w:after="0"/>
              <w:rPr>
                <w:sz w:val="17"/>
                <w:szCs w:val="17"/>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adjusted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843.2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103.5</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5.0 %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1.68</w:t>
            </w:r>
          </w:p>
        </w:tc>
        <w:tc>
          <w:tcPr>
            <w:tcW w:w="40" w:type="dxa"/>
            <w:vAlign w:val="bottom"/>
          </w:tcPr>
          <w:p>
            <w:pPr>
              <w:spacing w:after="0"/>
              <w:rPr>
                <w:sz w:val="18"/>
                <w:szCs w:val="18"/>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4" w:lineRule="exact"/>
        <w:rPr>
          <w:sz w:val="20"/>
          <w:szCs w:val="20"/>
          <w:color w:val="auto"/>
        </w:rPr>
      </w:pPr>
    </w:p>
    <w:p>
      <w:pPr>
        <w:ind w:left="340" w:right="20" w:hanging="332"/>
        <w:spacing w:after="0" w:line="303"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Reflects third-party legal defense costs incurred in connection with a specific intellectual property litigation matter not in the ordinary course of business described in Note 15, </w:t>
      </w:r>
      <w:r>
        <w:rPr>
          <w:rFonts w:ascii="Times New Roman" w:cs="Times New Roman" w:eastAsia="Times New Roman" w:hAnsi="Times New Roman"/>
          <w:sz w:val="14"/>
          <w:szCs w:val="14"/>
          <w:i w:val="1"/>
          <w:iCs w:val="1"/>
          <w:color w:val="auto"/>
        </w:rPr>
        <w:t>Commitments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Contingencies, </w:t>
      </w:r>
      <w:r>
        <w:rPr>
          <w:rFonts w:ascii="Times New Roman" w:cs="Times New Roman" w:eastAsia="Times New Roman" w:hAnsi="Times New Roman"/>
          <w:sz w:val="14"/>
          <w:szCs w:val="14"/>
          <w:color w:val="auto"/>
        </w:rPr>
        <w:t>to the condensed consolidated financial statements.</w:t>
      </w: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$132 million of IEEPA tariff refund recoveries, including $4 million of interest received.</w:t>
      </w:r>
    </w:p>
    <w:p>
      <w:pPr>
        <w:spacing w:after="0" w:line="55" w:lineRule="exact"/>
        <w:rPr>
          <w:rFonts w:ascii="Times New Roman" w:cs="Times New Roman" w:eastAsia="Times New Roman" w:hAnsi="Times New Roman"/>
          <w:sz w:val="14"/>
          <w:szCs w:val="14"/>
          <w:color w:val="auto"/>
        </w:rPr>
      </w:pPr>
    </w:p>
    <w:p>
      <w:pPr>
        <w:ind w:left="340" w:right="380" w:hanging="332"/>
        <w:spacing w:after="0" w:line="300"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departure of Douglas C. Palladini, the Company’s former CEO, in the second quarter of fiscal 2026, and the related leadership transition, including executive recruiting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1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Fiscal quarter ended September 27, 2025</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48"/>
        </w:trPr>
        <w:tc>
          <w:tcPr>
            <w:tcW w:w="244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i w:val="1"/>
                <w:iCs w:val="1"/>
                <w:color w:val="auto"/>
              </w:rPr>
              <w:t>(dollars in millions, except earnings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5"/>
                <w:szCs w:val="15"/>
                <w:b w:val="1"/>
                <w:bCs w:val="1"/>
                <w:color w:val="auto"/>
              </w:rPr>
              <w:t>Cost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Gross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SG&amp;A</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84"/>
              <w:spacing w:after="0" w:line="149" w:lineRule="exact"/>
              <w:rPr>
                <w:sz w:val="20"/>
                <w:szCs w:val="20"/>
                <w:color w:val="auto"/>
              </w:rPr>
            </w:pPr>
            <w:r>
              <w:rPr>
                <w:rFonts w:ascii="Times New Roman" w:cs="Times New Roman" w:eastAsia="Times New Roman" w:hAnsi="Times New Roman"/>
                <w:sz w:val="15"/>
                <w:szCs w:val="15"/>
                <w:b w:val="1"/>
                <w:bCs w:val="1"/>
                <w:color w:val="auto"/>
              </w:rPr>
              <w:t>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5"/>
                <w:szCs w:val="15"/>
                <w:b w:val="1"/>
                <w:bCs w:val="1"/>
                <w:color w:val="auto"/>
              </w:rPr>
              <w:t>%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Interest</w:t>
            </w:r>
          </w:p>
        </w:tc>
        <w:tc>
          <w:tcPr>
            <w:tcW w:w="100" w:type="dxa"/>
            <w:vAlign w:val="bottom"/>
          </w:tcPr>
          <w:p>
            <w:pPr>
              <w:spacing w:after="0"/>
              <w:rPr>
                <w:sz w:val="12"/>
                <w:szCs w:val="12"/>
                <w:color w:val="auto"/>
              </w:rPr>
            </w:pPr>
          </w:p>
        </w:tc>
        <w:tc>
          <w:tcPr>
            <w:tcW w:w="7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Income</w:t>
            </w:r>
          </w:p>
        </w:tc>
        <w:tc>
          <w:tcPr>
            <w:tcW w:w="12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Net</w:t>
            </w:r>
          </w:p>
        </w:tc>
        <w:tc>
          <w:tcPr>
            <w:tcW w:w="13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5"/>
                <w:szCs w:val="15"/>
                <w:b w:val="1"/>
                <w:bCs w:val="1"/>
                <w:color w:val="auto"/>
              </w:rPr>
              <w:t>Diluted Net Income</w:t>
            </w: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per share)</w:t>
            </w:r>
          </w:p>
        </w:tc>
        <w:tc>
          <w:tcPr>
            <w:tcW w:w="60" w:type="dxa"/>
            <w:vAlign w:val="bottom"/>
          </w:tcPr>
          <w:p>
            <w:pPr>
              <w:spacing w:after="0"/>
              <w:rPr>
                <w:sz w:val="18"/>
                <w:szCs w:val="18"/>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Goods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Profit</w:t>
            </w:r>
          </w:p>
        </w:tc>
        <w:tc>
          <w:tcPr>
            <w:tcW w:w="4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00" w:type="dxa"/>
            <w:vAlign w:val="bottom"/>
          </w:tcPr>
          <w:p>
            <w:pPr>
              <w:spacing w:after="0"/>
              <w:rPr>
                <w:sz w:val="18"/>
                <w:szCs w:val="18"/>
                <w:color w:val="auto"/>
              </w:rPr>
            </w:pPr>
          </w:p>
        </w:tc>
        <w:tc>
          <w:tcPr>
            <w:tcW w:w="7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Taxes</w:t>
            </w:r>
          </w:p>
        </w:tc>
        <w:tc>
          <w:tcPr>
            <w:tcW w:w="120" w:type="dxa"/>
            <w:vAlign w:val="bottom"/>
          </w:tcPr>
          <w:p>
            <w:pPr>
              <w:spacing w:after="0"/>
              <w:rPr>
                <w:sz w:val="18"/>
                <w:szCs w:val="18"/>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per Common Share</w:t>
            </w:r>
          </w:p>
        </w:tc>
      </w:tr>
      <w:tr>
        <w:trPr>
          <w:trHeight w:val="203"/>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reported (GAAP)</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416.2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341.6</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318.0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29.1</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3.8 %</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0.32</w:t>
            </w:r>
          </w:p>
        </w:tc>
        <w:tc>
          <w:tcPr>
            <w:tcW w:w="40" w:type="dxa"/>
            <w:vAlign w:val="bottom"/>
            <w:tcBorders>
              <w:top w:val="single" w:sz="8" w:color="auto"/>
            </w:tcBorders>
            <w:shd w:val="clear" w:color="auto" w:fill="CCEEFF"/>
          </w:tcPr>
          <w:p>
            <w:pPr>
              <w:spacing w:after="0"/>
              <w:rPr>
                <w:sz w:val="17"/>
                <w:szCs w:val="17"/>
                <w:color w:val="auto"/>
              </w:rPr>
            </w:pPr>
          </w:p>
        </w:tc>
      </w:tr>
      <w:tr>
        <w:trPr>
          <w:trHeight w:val="203"/>
        </w:trPr>
        <w:tc>
          <w:tcPr>
            <w:tcW w:w="244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Organizational restructuring</w:t>
            </w:r>
            <w:r>
              <w:rPr>
                <w:rFonts w:ascii="Times New Roman" w:cs="Times New Roman" w:eastAsia="Times New Roman" w:hAnsi="Times New Roman"/>
                <w:sz w:val="19"/>
                <w:szCs w:val="19"/>
                <w:color w:val="auto"/>
                <w:vertAlign w:val="superscript"/>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40" w:type="dxa"/>
            <w:vAlign w:val="bottom"/>
          </w:tcPr>
          <w:p>
            <w:pPr>
              <w:spacing w:after="0"/>
              <w:rPr>
                <w:sz w:val="17"/>
                <w:szCs w:val="17"/>
                <w:color w:val="auto"/>
              </w:rPr>
            </w:pPr>
          </w:p>
        </w:tc>
      </w:tr>
      <w:tr>
        <w:trPr>
          <w:trHeight w:val="203"/>
        </w:trPr>
        <w:tc>
          <w:tcPr>
            <w:tcW w:w="24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Operating model improvement costs</w:t>
            </w:r>
            <w:r>
              <w:rPr>
                <w:rFonts w:ascii="Times New Roman" w:cs="Times New Roman" w:eastAsia="Times New Roman" w:hAnsi="Times New Roman"/>
                <w:sz w:val="19"/>
                <w:szCs w:val="19"/>
                <w:color w:val="auto"/>
                <w:vertAlign w:val="superscript"/>
              </w:rPr>
              <w:t>(2)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0.08</w:t>
            </w:r>
          </w:p>
        </w:tc>
        <w:tc>
          <w:tcPr>
            <w:tcW w:w="40" w:type="dxa"/>
            <w:vAlign w:val="bottom"/>
            <w:shd w:val="clear" w:color="auto" w:fill="CCEEFF"/>
          </w:tcPr>
          <w:p>
            <w:pPr>
              <w:spacing w:after="0"/>
              <w:rPr>
                <w:sz w:val="17"/>
                <w:szCs w:val="17"/>
                <w:color w:val="auto"/>
              </w:rPr>
            </w:pPr>
          </w:p>
        </w:tc>
      </w:tr>
      <w:tr>
        <w:trPr>
          <w:trHeight w:val="203"/>
        </w:trPr>
        <w:tc>
          <w:tcPr>
            <w:tcW w:w="244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Leadership transition costs</w:t>
            </w:r>
            <w:r>
              <w:rPr>
                <w:rFonts w:ascii="Times New Roman" w:cs="Times New Roman" w:eastAsia="Times New Roman" w:hAnsi="Times New Roman"/>
                <w:sz w:val="19"/>
                <w:szCs w:val="19"/>
                <w:color w:val="auto"/>
                <w:vertAlign w:val="superscript"/>
              </w:rPr>
              <w:t>(3)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40" w:type="dxa"/>
            <w:vAlign w:val="bottom"/>
          </w:tcPr>
          <w:p>
            <w:pPr>
              <w:spacing w:after="0"/>
              <w:rPr>
                <w:sz w:val="17"/>
                <w:szCs w:val="17"/>
                <w:color w:val="auto"/>
              </w:rPr>
            </w:pPr>
          </w:p>
        </w:tc>
      </w:tr>
      <w:tr>
        <w:trPr>
          <w:trHeight w:val="203"/>
        </w:trPr>
        <w:tc>
          <w:tcPr>
            <w:tcW w:w="24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Pension plan settlement</w:t>
            </w:r>
            <w:r>
              <w:rPr>
                <w:rFonts w:ascii="Times New Roman" w:cs="Times New Roman" w:eastAsia="Times New Roman" w:hAnsi="Times New Roman"/>
                <w:sz w:val="19"/>
                <w:szCs w:val="19"/>
                <w:color w:val="auto"/>
                <w:vertAlign w:val="superscript"/>
              </w:rPr>
              <w:t>(4)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w:t>
            </w:r>
          </w:p>
        </w:tc>
        <w:tc>
          <w:tcPr>
            <w:tcW w:w="40" w:type="dxa"/>
            <w:vAlign w:val="bottom"/>
            <w:shd w:val="clear" w:color="auto" w:fill="CCEEFF"/>
          </w:tcPr>
          <w:p>
            <w:pPr>
              <w:spacing w:after="0"/>
              <w:rPr>
                <w:sz w:val="17"/>
                <w:szCs w:val="17"/>
                <w:color w:val="auto"/>
              </w:rPr>
            </w:pPr>
          </w:p>
        </w:tc>
      </w:tr>
      <w:tr>
        <w:trPr>
          <w:trHeight w:val="148"/>
        </w:trPr>
        <w:tc>
          <w:tcPr>
            <w:tcW w:w="244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Deferred compensation plan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440" w:type="dxa"/>
            <w:vAlign w:val="bottom"/>
          </w:tcPr>
          <w:p>
            <w:pPr>
              <w:ind w:left="20"/>
              <w:spacing w:after="0" w:line="216" w:lineRule="exact"/>
              <w:rPr>
                <w:sz w:val="20"/>
                <w:szCs w:val="20"/>
                <w:color w:val="auto"/>
              </w:rPr>
            </w:pPr>
            <w:r>
              <w:rPr>
                <w:rFonts w:ascii="Times New Roman" w:cs="Times New Roman" w:eastAsia="Times New Roman" w:hAnsi="Times New Roman"/>
                <w:sz w:val="15"/>
                <w:szCs w:val="15"/>
                <w:color w:val="auto"/>
              </w:rPr>
              <w:t>termination</w:t>
            </w:r>
            <w:r>
              <w:rPr>
                <w:rFonts w:ascii="Times New Roman" w:cs="Times New Roman" w:eastAsia="Times New Roman" w:hAnsi="Times New Roman"/>
                <w:sz w:val="19"/>
                <w:szCs w:val="19"/>
                <w:color w:val="auto"/>
                <w:vertAlign w:val="superscript"/>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40" w:type="dxa"/>
            <w:vAlign w:val="bottom"/>
          </w:tcPr>
          <w:p>
            <w:pPr>
              <w:spacing w:after="0"/>
              <w:rPr>
                <w:sz w:val="18"/>
                <w:szCs w:val="18"/>
                <w:color w:val="auto"/>
              </w:rPr>
            </w:pPr>
          </w:p>
        </w:tc>
      </w:tr>
      <w:tr>
        <w:trPr>
          <w:trHeight w:val="221"/>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adjusted</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307.7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39.4</w:t>
            </w:r>
          </w:p>
        </w:tc>
        <w:tc>
          <w:tcPr>
            <w:tcW w:w="880" w:type="dxa"/>
            <w:vAlign w:val="bottom"/>
            <w:tcBorders>
              <w:top w:val="single" w:sz="8" w:color="CCEEFF"/>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0.74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69"/>
        </w:trPr>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9"/>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Three fiscal quarters ended September 27, 2025</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6"/>
        </w:trPr>
        <w:tc>
          <w:tcPr>
            <w:tcW w:w="25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i w:val="1"/>
                <w:iCs w:val="1"/>
                <w:color w:val="auto"/>
              </w:rPr>
              <w:t>(dollars in millions, except earnings per</w:t>
            </w:r>
          </w:p>
        </w:tc>
        <w:tc>
          <w:tcPr>
            <w:tcW w:w="100" w:type="dxa"/>
            <w:vAlign w:val="bottom"/>
          </w:tcPr>
          <w:p>
            <w:pPr>
              <w:spacing w:after="0"/>
              <w:rPr>
                <w:sz w:val="12"/>
                <w:szCs w:val="12"/>
                <w:color w:val="auto"/>
              </w:rPr>
            </w:pPr>
          </w:p>
        </w:tc>
        <w:tc>
          <w:tcPr>
            <w:tcW w:w="90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5"/>
                <w:szCs w:val="15"/>
                <w:b w:val="1"/>
                <w:bCs w:val="1"/>
                <w:color w:val="auto"/>
              </w:rPr>
              <w:t>Cost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80"/>
              <w:spacing w:after="0" w:line="146" w:lineRule="exact"/>
              <w:rPr>
                <w:sz w:val="20"/>
                <w:szCs w:val="20"/>
                <w:color w:val="auto"/>
              </w:rPr>
            </w:pPr>
            <w:r>
              <w:rPr>
                <w:rFonts w:ascii="Times New Roman" w:cs="Times New Roman" w:eastAsia="Times New Roman" w:hAnsi="Times New Roman"/>
                <w:sz w:val="15"/>
                <w:szCs w:val="15"/>
                <w:b w:val="1"/>
                <w:bCs w:val="1"/>
                <w:color w:val="auto"/>
              </w:rPr>
              <w:t>Gross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5"/>
                <w:szCs w:val="15"/>
                <w:b w:val="1"/>
                <w:bCs w:val="1"/>
                <w:color w:val="auto"/>
              </w:rPr>
              <w:t>SG&amp;A</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4"/>
              <w:spacing w:after="0" w:line="146" w:lineRule="exact"/>
              <w:rPr>
                <w:sz w:val="20"/>
                <w:szCs w:val="20"/>
                <w:color w:val="auto"/>
              </w:rPr>
            </w:pPr>
            <w:r>
              <w:rPr>
                <w:rFonts w:ascii="Times New Roman" w:cs="Times New Roman" w:eastAsia="Times New Roman" w:hAnsi="Times New Roman"/>
                <w:sz w:val="15"/>
                <w:szCs w:val="15"/>
                <w:b w:val="1"/>
                <w:bCs w:val="1"/>
                <w:color w:val="auto"/>
              </w:rPr>
              <w:t>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5"/>
                <w:szCs w:val="15"/>
                <w:b w:val="1"/>
                <w:bCs w:val="1"/>
                <w:color w:val="auto"/>
              </w:rPr>
              <w:t>%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Interest</w:t>
            </w:r>
          </w:p>
        </w:tc>
        <w:tc>
          <w:tcPr>
            <w:tcW w:w="100" w:type="dxa"/>
            <w:vAlign w:val="bottom"/>
          </w:tcPr>
          <w:p>
            <w:pPr>
              <w:spacing w:after="0"/>
              <w:rPr>
                <w:sz w:val="12"/>
                <w:szCs w:val="12"/>
                <w:color w:val="auto"/>
              </w:rPr>
            </w:pPr>
          </w:p>
        </w:tc>
        <w:tc>
          <w:tcPr>
            <w:tcW w:w="70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5"/>
                <w:szCs w:val="15"/>
                <w:b w:val="1"/>
                <w:bCs w:val="1"/>
                <w:color w:val="auto"/>
              </w:rPr>
              <w:t>Income</w:t>
            </w:r>
          </w:p>
        </w:tc>
        <w:tc>
          <w:tcPr>
            <w:tcW w:w="120" w:type="dxa"/>
            <w:vAlign w:val="bottom"/>
          </w:tcPr>
          <w:p>
            <w:pPr>
              <w:spacing w:after="0"/>
              <w:rPr>
                <w:sz w:val="12"/>
                <w:szCs w:val="12"/>
                <w:color w:val="auto"/>
              </w:rPr>
            </w:pPr>
          </w:p>
        </w:tc>
        <w:tc>
          <w:tcPr>
            <w:tcW w:w="74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5"/>
                <w:szCs w:val="15"/>
                <w:b w:val="1"/>
                <w:bCs w:val="1"/>
                <w:color w:val="auto"/>
                <w:w w:val="97"/>
              </w:rPr>
              <w:t>Net</w:t>
            </w:r>
          </w:p>
        </w:tc>
        <w:tc>
          <w:tcPr>
            <w:tcW w:w="13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Diluted Net Income</w:t>
            </w:r>
          </w:p>
        </w:tc>
        <w:tc>
          <w:tcPr>
            <w:tcW w:w="40" w:type="dxa"/>
            <w:vAlign w:val="bottom"/>
          </w:tcPr>
          <w:p>
            <w:pPr>
              <w:spacing w:after="0"/>
              <w:rPr>
                <w:sz w:val="12"/>
                <w:szCs w:val="12"/>
                <w:color w:val="auto"/>
              </w:rPr>
            </w:pPr>
          </w:p>
        </w:tc>
      </w:tr>
      <w:tr>
        <w:trPr>
          <w:trHeight w:val="209"/>
        </w:trPr>
        <w:tc>
          <w:tcPr>
            <w:tcW w:w="24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share)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Goods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Profit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00" w:type="dxa"/>
            <w:vAlign w:val="bottom"/>
          </w:tcPr>
          <w:p>
            <w:pPr>
              <w:spacing w:after="0"/>
              <w:rPr>
                <w:sz w:val="18"/>
                <w:szCs w:val="18"/>
                <w:color w:val="auto"/>
              </w:rPr>
            </w:pPr>
          </w:p>
        </w:tc>
        <w:tc>
          <w:tcPr>
            <w:tcW w:w="7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Taxes</w:t>
            </w:r>
          </w:p>
        </w:tc>
        <w:tc>
          <w:tcPr>
            <w:tcW w:w="120" w:type="dxa"/>
            <w:vAlign w:val="bottom"/>
          </w:tcPr>
          <w:p>
            <w:pPr>
              <w:spacing w:after="0"/>
              <w:rPr>
                <w:sz w:val="18"/>
                <w:szCs w:val="18"/>
                <w:color w:val="auto"/>
              </w:rPr>
            </w:pPr>
          </w:p>
        </w:tc>
        <w:tc>
          <w:tcPr>
            <w:tcW w:w="74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per Common Share</w:t>
            </w:r>
          </w:p>
        </w:tc>
      </w:tr>
      <w:tr>
        <w:trPr>
          <w:trHeight w:val="203"/>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reported (GAAP)</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1,058.5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914.5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869.2</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59.2</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3.0 %</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10.0</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10.3</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0.75</w:t>
            </w:r>
          </w:p>
        </w:tc>
        <w:tc>
          <w:tcPr>
            <w:tcW w:w="40" w:type="dxa"/>
            <w:vAlign w:val="bottom"/>
          </w:tcPr>
          <w:p>
            <w:pPr>
              <w:spacing w:after="0"/>
              <w:rPr>
                <w:sz w:val="17"/>
                <w:szCs w:val="17"/>
                <w:color w:val="auto"/>
              </w:rPr>
            </w:pPr>
          </w:p>
        </w:tc>
      </w:tr>
      <w:tr>
        <w:trPr>
          <w:trHeight w:val="203"/>
        </w:trPr>
        <w:tc>
          <w:tcPr>
            <w:tcW w:w="244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Organizational restructuring</w:t>
            </w:r>
            <w:r>
              <w:rPr>
                <w:rFonts w:ascii="Times New Roman" w:cs="Times New Roman" w:eastAsia="Times New Roman" w:hAnsi="Times New Roman"/>
                <w:sz w:val="19"/>
                <w:szCs w:val="19"/>
                <w:color w:val="auto"/>
                <w:vertAlign w:val="superscript"/>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40" w:type="dxa"/>
            <w:vAlign w:val="bottom"/>
          </w:tcPr>
          <w:p>
            <w:pPr>
              <w:spacing w:after="0"/>
              <w:rPr>
                <w:sz w:val="17"/>
                <w:szCs w:val="17"/>
                <w:color w:val="auto"/>
              </w:rPr>
            </w:pPr>
          </w:p>
        </w:tc>
      </w:tr>
      <w:tr>
        <w:trPr>
          <w:trHeight w:val="203"/>
        </w:trPr>
        <w:tc>
          <w:tcPr>
            <w:tcW w:w="24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Operating model improvement costs</w:t>
            </w:r>
            <w:r>
              <w:rPr>
                <w:rFonts w:ascii="Times New Roman" w:cs="Times New Roman" w:eastAsia="Times New Roman" w:hAnsi="Times New Roman"/>
                <w:sz w:val="19"/>
                <w:szCs w:val="19"/>
                <w:color w:val="auto"/>
                <w:vertAlign w:val="superscript"/>
              </w:rPr>
              <w:t>(2)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0.29</w:t>
            </w:r>
          </w:p>
        </w:tc>
        <w:tc>
          <w:tcPr>
            <w:tcW w:w="40" w:type="dxa"/>
            <w:vAlign w:val="bottom"/>
          </w:tcPr>
          <w:p>
            <w:pPr>
              <w:spacing w:after="0"/>
              <w:rPr>
                <w:sz w:val="17"/>
                <w:szCs w:val="17"/>
                <w:color w:val="auto"/>
              </w:rPr>
            </w:pPr>
          </w:p>
        </w:tc>
      </w:tr>
      <w:tr>
        <w:trPr>
          <w:trHeight w:val="203"/>
        </w:trPr>
        <w:tc>
          <w:tcPr>
            <w:tcW w:w="244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Leadership transition costs</w:t>
            </w:r>
            <w:r>
              <w:rPr>
                <w:rFonts w:ascii="Times New Roman" w:cs="Times New Roman" w:eastAsia="Times New Roman" w:hAnsi="Times New Roman"/>
                <w:sz w:val="19"/>
                <w:szCs w:val="19"/>
                <w:color w:val="auto"/>
                <w:vertAlign w:val="superscript"/>
              </w:rPr>
              <w:t>(3)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40" w:type="dxa"/>
            <w:vAlign w:val="bottom"/>
          </w:tcPr>
          <w:p>
            <w:pPr>
              <w:spacing w:after="0"/>
              <w:rPr>
                <w:sz w:val="17"/>
                <w:szCs w:val="17"/>
                <w:color w:val="auto"/>
              </w:rPr>
            </w:pPr>
          </w:p>
        </w:tc>
      </w:tr>
      <w:tr>
        <w:trPr>
          <w:trHeight w:val="203"/>
        </w:trPr>
        <w:tc>
          <w:tcPr>
            <w:tcW w:w="24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Pension plan settlement</w:t>
            </w:r>
            <w:r>
              <w:rPr>
                <w:rFonts w:ascii="Times New Roman" w:cs="Times New Roman" w:eastAsia="Times New Roman" w:hAnsi="Times New Roman"/>
                <w:sz w:val="19"/>
                <w:szCs w:val="19"/>
                <w:color w:val="auto"/>
                <w:vertAlign w:val="superscript"/>
              </w:rPr>
              <w:t>(4)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40" w:type="dxa"/>
            <w:vAlign w:val="bottom"/>
          </w:tcPr>
          <w:p>
            <w:pPr>
              <w:spacing w:after="0"/>
              <w:rPr>
                <w:sz w:val="17"/>
                <w:szCs w:val="17"/>
                <w:color w:val="auto"/>
              </w:rPr>
            </w:pPr>
          </w:p>
        </w:tc>
      </w:tr>
      <w:tr>
        <w:trPr>
          <w:trHeight w:val="148"/>
        </w:trPr>
        <w:tc>
          <w:tcPr>
            <w:tcW w:w="244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Deferred compensation plan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4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5"/>
                <w:szCs w:val="15"/>
                <w:color w:val="auto"/>
              </w:rPr>
              <w:t>termination</w:t>
            </w:r>
            <w:r>
              <w:rPr>
                <w:rFonts w:ascii="Times New Roman" w:cs="Times New Roman" w:eastAsia="Times New Roman" w:hAnsi="Times New Roman"/>
                <w:sz w:val="19"/>
                <w:szCs w:val="19"/>
                <w:color w:val="auto"/>
                <w:vertAlign w:val="superscript"/>
              </w:rPr>
              <w:t>(5)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40" w:type="dxa"/>
            <w:vAlign w:val="bottom"/>
          </w:tcPr>
          <w:p>
            <w:pPr>
              <w:spacing w:after="0"/>
              <w:rPr>
                <w:sz w:val="18"/>
                <w:szCs w:val="18"/>
                <w:color w:val="auto"/>
              </w:rPr>
            </w:pPr>
          </w:p>
        </w:tc>
      </w:tr>
      <w:tr>
        <w:trPr>
          <w:trHeight w:val="21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adjusted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1,058.5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914.5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842.0</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86.5</w:t>
            </w:r>
          </w:p>
        </w:tc>
        <w:tc>
          <w:tcPr>
            <w:tcW w:w="9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4.4 %</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1.57</w:t>
            </w:r>
          </w:p>
        </w:tc>
        <w:tc>
          <w:tcPr>
            <w:tcW w:w="40" w:type="dxa"/>
            <w:vAlign w:val="bottom"/>
          </w:tcPr>
          <w:p>
            <w:pPr>
              <w:spacing w:after="0"/>
              <w:rPr>
                <w:sz w:val="18"/>
                <w:szCs w:val="18"/>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charges for severance and other termination benefits as a result of organizational restructuring.</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retirement of Michael D. Casey, the Company’s former CEO.</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non-cash charges as a result of pension plan settlements.</w:t>
      </w:r>
    </w:p>
    <w:p>
      <w:pPr>
        <w:spacing w:after="0" w:line="68" w:lineRule="exact"/>
        <w:rPr>
          <w:rFonts w:ascii="Times New Roman" w:cs="Times New Roman" w:eastAsia="Times New Roman" w:hAnsi="Times New Roman"/>
          <w:sz w:val="14"/>
          <w:szCs w:val="14"/>
          <w:color w:val="auto"/>
        </w:rPr>
      </w:pPr>
    </w:p>
    <w:p>
      <w:pPr>
        <w:ind w:right="3140" w:firstLine="8"/>
        <w:spacing w:after="0" w:line="382" w:lineRule="auto"/>
        <w:tabs>
          <w:tab w:leader="none" w:pos="3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Related to the incremental income tax impact resulting from the announced termination of the Company’s deferred compensation plan. </w:t>
      </w:r>
      <w:r>
        <w:rPr>
          <w:rFonts w:ascii="Times New Roman" w:cs="Times New Roman" w:eastAsia="Times New Roman" w:hAnsi="Times New Roman"/>
          <w:sz w:val="14"/>
          <w:szCs w:val="14"/>
          <w:i w:val="1"/>
          <w:iCs w:val="1"/>
          <w:color w:val="auto"/>
        </w:rPr>
        <w:t>Note: Results may not be additive due to rounding.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ongoing cash needs are primarily for working capital (consisting primarily of inventory), capital expenditures, employee compensation, interest on debt, the return of capital to our shareholders, and other general corporate purposes. We expect that our primary sources of liquidity will be cash and cash equivalents on hand, short-term investments, cash flow from operations, and available borrowing capacity under our secured asset-based revolving credit facility. We believe that our sources of liquidity are sufficient to meet our cash requirements for at least the next twelve months. However, these sources of liquidity may be affected by events described in the “Forward-Looking Statements” section of this Form 10-Q, including, but not limited to, our risk factors discussed under the heading “Risk Factors” in Part II, Item 1A. of this Quarterly Report on Form 10-Q, the risk factors discussed under the heading “Risk Factors” in our most recently filed Annual Report on Form 10-K, and in other reports filed with the Securities and Exchange Commission from time to time.</w:t>
      </w:r>
    </w:p>
    <w:p>
      <w:pPr>
        <w:spacing w:after="0" w:line="1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discussed under the heading “Known or Anticipated Trends” in our most recently filed Annual Report on Form 10-K, the impacts of new tariffs and other trade measures have had and may continue to have an adverse impact on our cost structure and supply chain, which may impact our working capital needs in the near term. While recent developments, including those discussed in “Recent Developments” in this Quarterly Report on Form 10-Q, may affect our future exposure to these tariffs, the trade policy environment remains dynamic and the ultimate impacts are uncertain. We continue to evaluate and mitigate these impacts and may experience volatility in cash flows in the near term. However, we believe our sources of liquidity, including cash and available borrowing capacity under our secured asset-based revolving credit facility, will be sufficient to manage these developments.</w:t>
      </w:r>
    </w:p>
    <w:p>
      <w:pPr>
        <w:spacing w:after="0" w:line="14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third quarter of fiscal 2026, we invested $100.0 million of our U.S. cash balances in a laddered portfolio of certificates of deposit with original maturities of three, six, and nine months, to increase the yield earned on excess cash while preserving liquidity. As of October 3, 2026, $75.0 million of these certificates of deposit, which have original maturities greater than three months, are classified as Short-term investments, and the remaining $25.0 million is included in Cash and cash equivalents.</w:t>
      </w:r>
    </w:p>
    <w:p>
      <w:pPr>
        <w:spacing w:after="0" w:line="15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October 3, 2026, we had $451.0 million of cash and cash equivalents and $75.0 million of short-term investments. Cash and cash equivalents included $60.4 million held at financial institutions located outside of the United States. We do not expect any material restrictions on our ability to access or use cash held outside of the United States. We maintain cash deposits and certificates of deposit with major financial institutions in amounts that exceed the insurance coverage limits provided by the Federal Deposit Insurance Corporation in the United States and by similar insurers for deposits located outside the United States. To mitigate this risk, we utilize a policy of allocating cash deposits and certificates of deposit among major financial institutions that have been evaluated by us and third-party rating agencies as having acceptable risk profiles.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accounts receivable at October 3, 2026 were $228.9 million compared to $237.9 million at September 27, 2025 and $178.6 million at January 3, 2026. The decrease of $9.0 million, or 3.8%, at October 3, 2026 compared to September 27, 2025 primarily reflects the timing of wholesale customer shipments. Due to the seasonal nature of our operations, the net accounts receivable balance at October 3, 2026 is not comparable to the net accounts receivable balance at January 3, 2026.</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Inventories at October 3, 2026 were $587.0 million compared to $656.1 million at September 27, 2025 and $544.6 million at January 3, 2026. The decrease of $69.1 million, or 10.5%, at October 3, 2026 compared to September 27, 2025 was driven by the timing of inbound inventory receipts and lower incremental tariffs imposed on products imported into the United States. Due to the seasonal nature of our operations, the inventory balance at October 3, 2026 is not comparable to the inventory balance at January 3, 2026.</w:t>
      </w:r>
    </w:p>
    <w:p>
      <w:pPr>
        <w:spacing w:after="0" w:line="1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Prepaid expenses and other current assets at October 3, 2026 were $74.5 million compared to $55.6 million at September 27, 2025 and $60.5 million at January 3, 2026. The increase of $18.9 million, or 34.0%, at October 3, 2026 compared to September 27, 2025 was primarily driven by the reclassification of the Rabbi Trust assets from long-term to current, reflecting their liquidation in the fourth quarter of fiscal 2026 in connection with the settlement of the related deferred compensation liabilities.</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Accounts payable at October 3, 2026 were $254.4 million compared to $240.2 million at September 27, 2025 and $235.7 million at January 3, 2026. The increase of $14.1 million, or 5.9%, at October 3, 2026 compared to September 27, 2025 was driven by the timing of vendor payments. Due to the seasonal nature of our operations, the accounts payable balance at October 3, 2026 is not comparable to the accounts payable balance at January 3, 2026.</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current liabilities at October 3, 2026 were $123.8 million compared to $110.9 million at September 27, 2025 and $133.8 million at January 3, 2026. The increase of $12.9 million, or 11.6%, at October 3, 2026 compared to September 27, 2025 was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primarily driven by the reclassification of deferred compensation liabilities from long-term to current, reflecting their settlement in the fourth quarter of fiscal 2026, and higher income taxes payable due to the timing of estimated income tax payments, partially offset by lower accrued performance-based compensation.</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 long-term liabilities at October 3, 2026 were $14.8 million compared to $34.0 million at September 27, 2025 and $19.4 million at January 3, 2026. The decrease of $19.3 million, or 56.6%, at October 3, 2026 compared to September 27, 2025 was primarily driven by the reclassification of deferred compensation liabilities from long-term to current, reflecting their settlement in the fourth quarter of fiscal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$101.8 million for the first three quarters of fiscal 2026 compared to net cash used in operating activities of $136.3 million in the first three quarters of fiscal 2025. Our cash flow provided by operating activities is driven by net income and changes in our working capital. The increase in operating cash flow was primarily driven by $132 million of IEEPA tariff refund recoveries, including interest, and the timing of inbound inventory receipts.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9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Net cash used in investing activities was $104.7 million for the first three quarters of fiscal 2026 compared to $42.7 million in the first three quarters of fiscal 2025. The increase in net cash used in investing activities was driven by $75.0 million of purchases of short-term investments, partially offset by lower capital expenditures, reflecting fewer retail store openings and remodels in the United States. We plan to invest approximately $50 million in capital expenditures in fiscal 2026, primarily for our distribution facilities, strategic information technology initiatives, and retail store openings in Mexico.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$31.3 million in the first three quarters of fiscal 2026 compared to $52.1 million in the first three quarters of fiscal 2025. The decrease in net cash used in financing activities was primarily driven by lower cash dividends distributed to shareholders during the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and retire any shares of its common stock through open market transactions during the first three quarters of fiscal 2026 and 2025. The total remaining capacity under outstanding repurchase authorizations as of October 3, 2026 was approximately $599.0 million, based on settled repurchase transactions. The share repurchase authorizations have no expiration dates.</w:t>
      </w:r>
    </w:p>
    <w:p>
      <w:pPr>
        <w:spacing w:after="0" w:line="14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secured asset-based revolving credit facility and considerations given to market conditions, stock price, other investment priorities, excise taxes,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each of the first three quarters of fiscal 2026, the Company’s Board declared, and the Company paid, a cash dividend per common share of $0.25 (for an aggregate cash dividend per common share of $0.75 for the first three quarters of fiscal 2026). Additionally, in the first, second, and third quarters of fiscal 2025, the Board declared, and the Company paid, a cash dividend per common share of $0.80, $0.25, and $0.25, respectively (for an aggregate cash dividend per common share of $1.30 for the first three quarters of fiscal 2025). Our Board will evaluate future dividend declarations based on a number of factors, including restrictions under our secured asset-based revolving credit facility (“ABL facility”), business conditions, our financial performance, and other considerations.</w:t>
      </w:r>
    </w:p>
    <w:p>
      <w:pPr>
        <w:spacing w:after="0" w:line="1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Provisions in our ABL facility could have the effect of restricting our ability to pay cash dividends on, or make future repurchases of, our common stock, as further described in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condensed consolidated financial statements</w:t>
      </w:r>
      <w:r>
        <w:rPr>
          <w:rFonts w:ascii="Times New Roman" w:cs="Times New Roman" w:eastAsia="Times New Roman" w:hAnsi="Times New Roman"/>
          <w:sz w:val="18"/>
          <w:szCs w:val="18"/>
          <w:i w:val="1"/>
          <w:i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Facility</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October 3, 2026 and January 3, 2026, we had no outstanding borrowings under our ABL facility, exclusive of $5.8 million and $6.3 million of outstanding letters of credit, respectively. As of September 27, 2025, we had no outstanding borrowings under our secured cash-flow-based revolving credit facility, exclusive of $6.9 million of outstanding letters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credit. As of October 3, 2026, January 3, 2026, and September 27, 2025, there was approximately $540.5 million, $743.7 million, and $843.1 million available for future borrowing, respectively. Any outstanding borrowings under our ABL facility are classified as non-current liabilities on our condensed consolidated balance sheets due to contractual repayment terms under the ABL facility. However, these repayment terms also allow us to repay some or all of the outstanding borrowings at any time.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Facility</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17, 2025, the Company, through its wholly owned subsidiary, The William Carter Company (“TWCC”), entered into a new five-year ABL facility of up to $750.0 million. The ABL facility replaced the Company’s existing $850.0 million secured cash-flow-based revolving credit facility due April 2027. Borrowings under the ABL facility will mature, and lending commitments thereunder will terminate, in November 2030.</w:t>
      </w:r>
    </w:p>
    <w:p>
      <w:pPr>
        <w:spacing w:after="0" w:line="13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ABL facility contains various covenants, including those that restrict the Company’s ability and the ability of its restricted subsidiaries to incur certain indebtedness, pay dividends or make distributions or other restricted payments, or to grant certain liens on their respective property or assets, among other things. The ABL facility also includes a springing financial covenant, consisting of, if the excess availability falls below certain thresholds, a fixed charge coverage ratio not to be less than 1.00 to 1.00.</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availability under the ABL facility was $540.5 million and $743.7 million as of October 3, 2026 and January 3, 2026, respectively. Availability is determined using borrowing base calculations of eligible inventory, accounts receivable, and intellectual property balances, less availability reserves, current outstanding borrowings under the ABL facility, and outstanding letters of credit. Availability may fluctuate throughout the year principally based on changes in eligible inventory and accounts receivable balances. As of October 3, 2026, the borrowing rate for a term Secured Overnight Financing Rate (“SOFR”) loan would have been 5.16%, which includes an excess availability-based adjustment of 1.25%.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2026, the Company was in compliance with its covenants and requirements under the ABL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October 3, 2026, the Company had $575.0 million principal amount of senior notes outstanding, bearing interest at a rate of 7.375% per annum, and maturing on February 15, 2031. On our condensed consolidated balance sheets, the $575.0 million of outstanding senior notes as of October 3, 2026 is reported net of $6.9 million of unamortized debt issuance-related costs.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13, 2025, TWCC issued the $575.0 million principal amount of senior notes due 2031. TWCC received net proceeds from the offering of the senior notes of approximately $567.0 million, after deducting underwriting fees and other expenses, which TWCC used to redeem the senior notes discussed below and for other general corporate purposes. Approximately $8.0 million, including both bank fees and other third-party expenses, was capitalized in connection with the issuance and is being amortized over the term of the senior notes.</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27, 2025, TWCC redeemed $500.0 million principal amount of senior notes, bearing interest at a rate of 5.625% per annum, and originally maturing on March 15, 2027. Pursuant to the optional redemption provisions described in the indenture dated as of March 14, 2019, TWCC paid the outstanding principal plus accrued and unpaid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under the heading “Critical Accounting Policies and Estimates” in Item 7 of our most recent Annual Report on Form 10-K for the 2025 fiscal year ended January 3, 2026.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other indefinite-lived intangible assets,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2025, the Company performed an annual quantitative impairment test on the goodwill ascribed to each of the Company’s reporting units and on the value of its indefinite-lived intangible tradename assets as of January 3, 2026. The assumptions used in the quantitative impairment test of the goodwill of our reporting units include projected revenue growth and profitability, terminal growth rates, discount rates, market multiples, and applicable control premiums. The assumptions used in the quantitative impairment test of our indefinite-lived intangible tradename assets include projected revenue growth and profitability, terminal growth rates, discount rates, and royalty rates.</w:t>
      </w:r>
    </w:p>
    <w:p>
      <w:pPr>
        <w:spacing w:after="0" w:line="1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Based upon this assessment, there were no impairments on the value of goodwill or indefinite-lived intangible tradename assets. The annual assessment indicated that the fair value of assets for the U.S. Wholesale, U.S. Retail, and Other International reporting units exceeded its carrying values by at least 25%. The fair value of assets for the Canada reporting unit exceeded its carrying value by approximately 8%. The assessment indicated that the fair value of our indefinite-lived tradename assets exceeded the carrying values by at least 35%.</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Sensitivity tests on the Canada reporting unit showed that a 100 bps increase in the discount rate, a 50 bps decrease in the long-term revenue growth rate, a 250 bps decrease in revenue growth rates, or a 50 bps decrease in operating margins would not change the conclusion and would not result in an impairment charge.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the assumptions used in the impairment tests are reasonable and supportable as of October 3, 2026, and therefore, there were no impairment charges recorded in the third quarter or first three quarters of fiscal 2026. As of October 3, 2026, the carrying value of the goodwill ascribed to the Canada reporting unit was $37.2 million.</w:t>
      </w:r>
    </w:p>
    <w:p>
      <w:pPr>
        <w:spacing w:after="0" w:line="13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degree of uncertainty associated with the assumptions used in our impairment tests is elevated in the current macroeconomic environment due to evolving trade policies. The Company continues to monitor these macroeconomic conditions, including the potential impacts from new tariffs or trade restrictions, which could adversely affect the financial performance of our reporting units and indefinite-lived intangible tradename assets. Should these conditions lead to a significant decline in projected financial results, there could be impairment charges to these assets mentioned above, to the goodwill ascribed to our other reporting units, or to our other indefinite-lived intangible tradename assets.</w:t>
      </w:r>
    </w:p>
    <w:p>
      <w:pPr>
        <w:spacing w:after="0" w:line="152" w:lineRule="exact"/>
        <w:rPr>
          <w:sz w:val="20"/>
          <w:szCs w:val="20"/>
          <w:color w:val="auto"/>
        </w:rPr>
      </w:pPr>
    </w:p>
    <w:p>
      <w:pPr>
        <w:ind w:right="4060"/>
        <w:spacing w:after="0" w:line="354"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contract to purchase product from third parties, primarily in Asia. While these contracts are stated in U.S. dollars, there can be no assurance that the cost for the future production of our products will not be affected by exchange rate fluctuations between the U.S. dollar and the local currencies of these contracted manufacturers. Due to the number of currencies involved, we cannot quantify the potential impact that future currency fluctuations may have on our results of operations in future periods.</w:t>
      </w:r>
    </w:p>
    <w:p>
      <w:pPr>
        <w:spacing w:after="0" w:line="1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The resulting translation adjustments are recorded as a component of Accumulated other comprehensive loss.</w:t>
      </w:r>
    </w:p>
    <w:p>
      <w:pPr>
        <w:spacing w:after="0" w:line="14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foreign subsidiaries typically record sales denominated in currencies other than the U.S. dollar, which are then translated into U.S. dollars using weighted-average exchange rates. The changes in foreign currency exchange rates used for translation 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third quarter of fiscal 2026, compared to the third quarter of fiscal 2025, had a $0.9 million favorable effect on our consolidated net sales. Changes in foreign currency exchange rates used for translation in the first three quarters of fiscal 2026, compared to the first three quarters of fiscal 2025, had an $8.9 million favorable effect on our consolidated net sales.</w:t>
      </w:r>
    </w:p>
    <w:p>
      <w:pPr>
        <w:spacing w:after="0" w:line="13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condensed consolidated statement of operations, these gains and losses are recorded within Other expense (income), net. Foreign currency transaction gains and losses related to intercompany loans with foreign subsidiaries that are of a long-term nature are accounted for as translation adjustments and are included in Accumulated other comprehensive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ABL facility, which carries variable interest rates. As of October 3, 2026, there were no variable rate borrowings outstanding under the ABL facility. As a result, the impact of a hypothetical 100 bps increase in the effective interest rate would not result in a material amount of additional interest expense over a twelve-month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Quarterly Report on Form 10-Q. Based upon that evaluation, our principal executive officer and principal financial officer have concluded that our disclosure controls and procedures are effective as of October 3,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October 3, 2026 that have materially affected, or which are reasonably likely to materially affect, Internal Control.</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that materially affected, or were reasonably likely to materially affect, such control over financial reporting during the fiscal quarter ended October 3,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described in our Form 10-K for the 2025 fiscal year ended January 3, 2026.</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negatively impacted by political and economic risks, including from the conflict between the United States, Israel, and Iran and related geopolitical instability, that we are exposed to as a result of our global operations.</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general political and economic risks in connection with our global operations, including political instability (both in the United States and globally, including the ongoing conflict between Russia and Ukraine and the related economic and retaliatory measures), frequent hostilities between Israel and Hamas, persistent conflict in the Red Sea region, terrorist attacks, and changes in diplomatic and trade relationships, any of which may have a significant adverse effect on our business, financial condition, and results of operations. Economic uncertainty in the United States and abroad has led to growing concerns about the systemic impact of rising energy costs, geopolitical issues, or the availability and cost of credit and higher interest rates, which could further lead to increased market volatility, decreased consumer confidence, and diminished growth expectations in the U.S. economy and abroad. As our customers react to global economic conditions, we have seen and may see customers reduce spending on our products and take additional precautionary measures to limit or delay expenditures and preserve capital and liquidity, thereby adversely affecting our customers’ ability or willingness to purchase our products.</w:t>
      </w:r>
    </w:p>
    <w:p>
      <w:pPr>
        <w:spacing w:after="0" w:line="14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in late February 2026, the United States and Israel launched coordinated military strikes against Iran, which retaliated with missile attacks across the region. Although we do not have material operations in the Middle East, the ongoing conflict and any further escalation, including additional military actions, retaliatory measures, sanctions, disruptions to trade or transportation routes, cyberattacks, or other governmental or market responses, has caused, and could continue to cause, significant disruptions of global energy supplies and increases in global energy prices, heightened inflationary pressures on our input costs and supply chain, negative effects on global supply chains, energy markets, commodity prices, currency exchange rates, financial markets and overall macroeconomic conditions, and adversely impact customer spending patterns in markets in which we operate. While we expect the impacts of conflict between the United States, Israel, and Iran to continue to have an effect on our business, financial condition, and results of operations, we are unable to predict the extent or nature of these impacts at this time.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2" w:name="page43"/>
    <w:bookmarkEnd w:id="42"/>
    <w:p>
      <w:pPr>
        <w:ind w:right="4140"/>
        <w:spacing w:after="0" w:line="362"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Share Repurchases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third quarter of fiscal 2026:</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July 5, 2026 through August 1, 2026</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August 2, 2026 through August 29, 2026</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August 30, 2026 through October 3, 2026</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89"/>
        </w:trPr>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4"/>
        </w:trPr>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39"/>
              <w:spacing w:after="0" w:line="165"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57"/>
        </w:trPr>
        <w:tc>
          <w:tcPr>
            <w:tcW w:w="16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(3)</w:t>
            </w:r>
          </w:p>
        </w:tc>
        <w:tc>
          <w:tcPr>
            <w:tcW w:w="0" w:type="dxa"/>
            <w:vAlign w:val="bottom"/>
          </w:tcPr>
          <w:p>
            <w:pPr>
              <w:spacing w:after="0"/>
              <w:rPr>
                <w:sz w:val="1"/>
                <w:szCs w:val="1"/>
                <w:color w:val="auto"/>
              </w:rPr>
            </w:pPr>
          </w:p>
        </w:tc>
      </w:tr>
      <w:tr>
        <w:trPr>
          <w:trHeight w:val="204"/>
        </w:trPr>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20" w:type="dxa"/>
            <w:vAlign w:val="bottom"/>
            <w:tcBorders>
              <w:top w:val="single" w:sz="8" w:color="auto"/>
            </w:tcBorders>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598,966,271</w:t>
            </w:r>
          </w:p>
        </w:tc>
        <w:tc>
          <w:tcPr>
            <w:tcW w:w="0" w:type="dxa"/>
            <w:vAlign w:val="bottom"/>
          </w:tcPr>
          <w:p>
            <w:pPr>
              <w:spacing w:after="0"/>
              <w:rPr>
                <w:sz w:val="1"/>
                <w:szCs w:val="1"/>
                <w:color w:val="auto"/>
              </w:rPr>
            </w:pPr>
          </w:p>
        </w:tc>
      </w:tr>
      <w:tr>
        <w:trPr>
          <w:trHeight w:val="378"/>
        </w:trPr>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18,496</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20" w:type="dxa"/>
            <w:vAlign w:val="bottom"/>
          </w:tcPr>
          <w:p>
            <w:pPr>
              <w:spacing w:after="0"/>
              <w:rPr>
                <w:sz w:val="24"/>
                <w:szCs w:val="24"/>
                <w:color w:val="auto"/>
              </w:rPr>
            </w:pPr>
          </w:p>
        </w:tc>
        <w:tc>
          <w:tcPr>
            <w:tcW w:w="16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598,966,271</w:t>
            </w:r>
          </w:p>
        </w:tc>
        <w:tc>
          <w:tcPr>
            <w:tcW w:w="0" w:type="dxa"/>
            <w:vAlign w:val="bottom"/>
          </w:tcPr>
          <w:p>
            <w:pPr>
              <w:spacing w:after="0"/>
              <w:rPr>
                <w:sz w:val="1"/>
                <w:szCs w:val="1"/>
                <w:color w:val="auto"/>
              </w:rPr>
            </w:pPr>
          </w:p>
        </w:tc>
      </w:tr>
      <w:tr>
        <w:trPr>
          <w:trHeight w:val="378"/>
        </w:trPr>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598,966,271</w:t>
            </w: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-659130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-419735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-179070</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-908050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640" w:space="720"/>
            <w:col w:w="6880"/>
          </w:cols>
          <w:pgMar w:left="320" w:top="1265" w:right="339" w:bottom="1440" w:gutter="0" w:footer="0" w:header="0"/>
          <w:type w:val="continuous"/>
        </w:sectPr>
      </w:pPr>
    </w:p>
    <w:p>
      <w:pPr>
        <w:ind w:left="340" w:right="480" w:hanging="332"/>
        <w:spacing w:after="0" w:line="300"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shares purchased represent shares of our common stock surrendered by our employees to satisfy required tax withholding upon the vesting of restricted stock awards between August 2, 2026 and August 29, 2026.</w:t>
      </w:r>
    </w:p>
    <w:p>
      <w:pPr>
        <w:ind w:left="340" w:right="140" w:hanging="332"/>
        <w:spacing w:after="0" w:line="285"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did not repurchase shares in open market transactions during the third quarter of fiscal 2026. Refer to the open market repurchases as disclosed in Note 7,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to our accompanying unaudited condensed consolidated financial statements included in Part I, Item 1 of this Quarterly Report on Form 10-Q.</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share repurchase authorizations approved by our Board of Directors, which have no expiration 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October 3, 2026, none of the Company’s directors or officers, as defined in Section 16 of the Exchange Act, adopted or terminated any contract, instruction or written plan for the purchase or sale of Company securities that was intended to satisfy the affirmative defense conditions of Rule 10b5-1(c) or any “non-Rule 10b5-1 trading arrangement” as defined under Item 408(a) of Regulation 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Elimination of Series A Junior Participating Preferred Stock</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22, 2025, the Board adopted a limited duration shareholder rights plan and declared a dividend of one right (a “Right”) for each outstanding share of common stock of the Company. Each Right entitled its holder to purchase from the Company one ten-thousandth of a share of Series A Junior Participating Preferred Stock, subject to the terms of the Shareholder Rights Agreement, dated as of September 22, 2025, by and between the Company and Equiniti Trust Company, LLC, as rights agent (the “Rights Agreement”).</w:t>
      </w:r>
    </w:p>
    <w:p>
      <w:pPr>
        <w:spacing w:after="0" w:line="15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September 21, 2026, the Rights expired in accordance with the terms of the Rights Agreement. Accordingly, on October 27, 2026, the Company filed with the Secretary of State of the State of Delaware a Certificate of Elimination to eliminate the Series A Junior Participating Preferred Stock, which had been designated for potential use in connection with the Rights Agreement, from the Company’s Amended and Restated Certificate of Incorporation. As a result, all shares designated as Series A Junior Participating Preferred Stock were eliminated and returned to the status of authorized, unissued shares of preferred stock, without designation.</w:t>
      </w:r>
    </w:p>
    <w:p>
      <w:pPr>
        <w:spacing w:after="0" w:line="14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Elimination does not purport to be complete and is subject to and qualified in its entirety by reference to the full text of the Certificate of Elimination, which is included as Exhibit 3.3 hereto,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Leadership Evolution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30, 2026, the Company announced the evolution of its leadership change, consisting of the following appointments:</w:t>
      </w:r>
    </w:p>
    <w:p>
      <w:pPr>
        <w:spacing w:after="0" w:line="10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Product Officer</w:t>
      </w:r>
      <w:r>
        <w:rPr>
          <w:rFonts w:ascii="Times New Roman" w:cs="Times New Roman" w:eastAsia="Times New Roman" w:hAnsi="Times New Roman"/>
          <w:sz w:val="18"/>
          <w:szCs w:val="18"/>
          <w:color w:val="auto"/>
        </w:rPr>
        <w:t>: Maria Gemzell, who is expected to join the Company in early 2027;</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Commercial Officer</w:t>
      </w:r>
      <w:r>
        <w:rPr>
          <w:rFonts w:ascii="Times New Roman" w:cs="Times New Roman" w:eastAsia="Times New Roman" w:hAnsi="Times New Roman"/>
          <w:sz w:val="18"/>
          <w:szCs w:val="18"/>
          <w:color w:val="auto"/>
          <w:highlight w:val="white"/>
        </w:rPr>
        <w:t>: Allison Peterson;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Strategy and Business Development Officer</w:t>
      </w:r>
      <w:r>
        <w:rPr>
          <w:rFonts w:ascii="Times New Roman" w:cs="Times New Roman" w:eastAsia="Times New Roman" w:hAnsi="Times New Roman"/>
          <w:sz w:val="18"/>
          <w:szCs w:val="18"/>
          <w:color w:val="auto"/>
          <w:highlight w:val="white"/>
        </w:rPr>
        <w:t>: Emily Evert;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Brand Officer</w:t>
      </w:r>
      <w:r>
        <w:rPr>
          <w:rFonts w:ascii="Times New Roman" w:cs="Times New Roman" w:eastAsia="Times New Roman" w:hAnsi="Times New Roman"/>
          <w:sz w:val="18"/>
          <w:szCs w:val="18"/>
          <w:color w:val="auto"/>
        </w:rPr>
        <w:t>: Sarah Crockett.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announced the following changes to its leadership team:</w:t>
      </w:r>
    </w:p>
    <w:p>
      <w:pPr>
        <w:spacing w:after="0" w:line="104" w:lineRule="exact"/>
        <w:rPr>
          <w:sz w:val="20"/>
          <w:szCs w:val="20"/>
          <w:color w:val="auto"/>
        </w:rPr>
      </w:pPr>
    </w:p>
    <w:p>
      <w:pPr>
        <w:ind w:left="660" w:right="40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commencing a search for a standalone Chief Operating Officer, and Richard Westenberger, who is currently serving as Chief Operating Officer and Chief Financial Officer, has decided to step down as Chief Operating Officer (to be effective upon the Company’s appointment of a new Chief Operating Officer). Mr. Westenberger will continue to serve as Chief Financial Officer;</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Julie D’Emilio, Chief Sales Officer, has decided to retire from Carter’s. Ms. D’Emilio’s last day as Chief Sales Officer is October 30, 2026 and Ms. D’Emilio will serve as an advisor through year-end to assist with the transition; and</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Karen Smith, Chief Supply Chain Officer, will retire from Carter’s in March 2027 after serving Carter’s for almost five years and more than 35 years in the apparel industry. Ms. Smith informed the Company of her decision in February 2026 and will continue to serve in her role through her retirement date to assist with the transition.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04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4"/>
                <w:szCs w:val="14"/>
                <w:color w:val="auto"/>
              </w:rPr>
            </w:pPr>
          </w:p>
        </w:tc>
        <w:tc>
          <w:tcPr>
            <w:tcW w:w="5260" w:type="dxa"/>
            <w:vAlign w:val="bottom"/>
            <w:gridSpan w:val="8"/>
            <w:vMerge w:val="restart"/>
          </w:tcPr>
          <w:p>
            <w:pPr>
              <w:ind w:left="188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94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Filed Herewith</w:t>
            </w:r>
          </w:p>
        </w:tc>
        <w:tc>
          <w:tcPr>
            <w:tcW w:w="0" w:type="dxa"/>
            <w:vAlign w:val="bottom"/>
          </w:tcPr>
          <w:p>
            <w:pPr>
              <w:spacing w:after="0"/>
              <w:rPr>
                <w:sz w:val="1"/>
                <w:szCs w:val="1"/>
                <w:color w:val="auto"/>
              </w:rPr>
            </w:pPr>
          </w:p>
        </w:tc>
      </w:tr>
      <w:tr>
        <w:trPr>
          <w:trHeight w:val="214"/>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5260" w:type="dxa"/>
            <w:vAlign w:val="bottom"/>
            <w:gridSpan w:val="8"/>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8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94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160" w:type="dxa"/>
            <w:vAlign w:val="bottom"/>
            <w:tcBorders>
              <w:top w:val="single" w:sz="8" w:color="auto"/>
            </w:tcBorders>
            <w:gridSpan w:val="7"/>
            <w:shd w:val="clear" w:color="auto" w:fill="CCEEFF"/>
          </w:tcPr>
          <w:p>
            <w:pPr>
              <w:spacing w:after="0" w:line="184"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Amended and Restated Certificate of Incorporation of Carter’s, Inc.</w:t>
              </w:r>
            </w:hyperlink>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May 23, 2017</w:t>
            </w:r>
          </w:p>
        </w:tc>
        <w:tc>
          <w:tcPr>
            <w:tcW w:w="1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60" w:type="dxa"/>
            <w:vAlign w:val="bottom"/>
            <w:tcBorders>
              <w:top w:val="single" w:sz="8" w:color="0000FF"/>
            </w:tcBorders>
            <w:gridSpan w:val="6"/>
          </w:tcPr>
          <w:p>
            <w:pPr>
              <w:spacing w:after="0" w:line="18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Amended and Restated By-Laws of Carter’s, Inc.</w:t>
              </w:r>
            </w:hyperlink>
          </w:p>
        </w:tc>
        <w:tc>
          <w:tcPr>
            <w:tcW w:w="400" w:type="dxa"/>
            <w:vAlign w:val="bottom"/>
            <w:tcBorders>
              <w:top w:val="single" w:sz="8" w:color="CCEEFF"/>
            </w:tcBorders>
            <w:gridSpan w:val="2"/>
          </w:tcPr>
          <w:p>
            <w:pPr>
              <w:spacing w:after="0"/>
              <w:rPr>
                <w:sz w:val="16"/>
                <w:szCs w:val="16"/>
                <w:color w:val="auto"/>
              </w:rPr>
            </w:pPr>
          </w:p>
        </w:tc>
        <w:tc>
          <w:tcPr>
            <w:tcW w:w="660" w:type="dxa"/>
            <w:vAlign w:val="bottom"/>
            <w:tcBorders>
              <w:top w:val="single" w:sz="8" w:color="CCEEFF"/>
            </w:tcBorders>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top w:val="single" w:sz="8" w:color="CCEEFF"/>
            </w:tcBorders>
          </w:tcPr>
          <w:p>
            <w:pPr>
              <w:spacing w:after="0"/>
              <w:rPr>
                <w:sz w:val="16"/>
                <w:szCs w:val="16"/>
                <w:color w:val="auto"/>
              </w:rPr>
            </w:pPr>
          </w:p>
        </w:tc>
        <w:tc>
          <w:tcPr>
            <w:tcW w:w="1980" w:type="dxa"/>
            <w:vAlign w:val="bottom"/>
            <w:tcBorders>
              <w:top w:val="single" w:sz="8" w:color="CCEEFF"/>
            </w:tcBorders>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rPr>
              <w:t>November 13, 2025</w:t>
            </w:r>
          </w:p>
        </w:tc>
        <w:tc>
          <w:tcPr>
            <w:tcW w:w="13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Certificate of Elimination of Series A Junior Participating Preferred</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0"/>
        </w:trPr>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380" w:type="dxa"/>
            <w:vAlign w:val="bottom"/>
            <w:tcBorders>
              <w:top w:val="single" w:sz="8" w:color="0000FF"/>
              <w:bottom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8"/>
              </w:rPr>
              <w:t>Stock of the Company, dated October 27, 2026</w:t>
            </w:r>
          </w:p>
        </w:tc>
        <w:tc>
          <w:tcPr>
            <w:tcW w:w="148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4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tcPr>
          <w:p>
            <w:pPr>
              <w:jc w:val="right"/>
              <w:ind w:right="91"/>
              <w:spacing w:after="0" w:line="189" w:lineRule="exact"/>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Form of Carter's Employment Agreement (October 2026)</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13a-15(e)/15d-15(e) and 13a-15(f)/15d-15(f) Certification.</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Rule 13a-15(e)/15d-15(e) and 13a-15(f)/15d-15(f) Certification.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Section 1350 Certification.</w:t>
            </w:r>
          </w:p>
        </w:tc>
        <w:tc>
          <w:tcPr>
            <w:tcW w:w="3320" w:type="dxa"/>
            <w:vAlign w:val="bottom"/>
            <w:tcBorders>
              <w:bottom w:val="single" w:sz="8" w:color="CCEEFF"/>
            </w:tcBorders>
            <w:gridSpan w:val="7"/>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1040" w:type="dxa"/>
            <w:vAlign w:val="bottom"/>
            <w:gridSpan w:val="2"/>
          </w:tcPr>
          <w:p>
            <w:pPr>
              <w:jc w:val="center"/>
              <w:ind w:right="40"/>
              <w:spacing w:after="0" w:line="176" w:lineRule="exact"/>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5"/>
                <w:szCs w:val="15"/>
                <w:color w:val="auto"/>
              </w:rPr>
            </w:pPr>
          </w:p>
        </w:tc>
        <w:tc>
          <w:tcPr>
            <w:tcW w:w="52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instant document does not appear in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shd w:val="clear" w:color="auto" w:fill="CCEEFF"/>
          </w:tcPr>
          <w:p>
            <w:pPr>
              <w:spacing w:after="0"/>
              <w:rPr>
                <w:sz w:val="20"/>
                <w:szCs w:val="20"/>
                <w:color w:val="auto"/>
              </w:rPr>
            </w:pPr>
          </w:p>
        </w:tc>
        <w:tc>
          <w:tcPr>
            <w:tcW w:w="52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shd w:val="clear" w:color="auto" w:fill="CCEEFF"/>
          </w:tcPr>
          <w:p>
            <w:pPr>
              <w:spacing w:after="0"/>
              <w:rPr>
                <w:sz w:val="19"/>
                <w:szCs w:val="19"/>
                <w:color w:val="auto"/>
              </w:rPr>
            </w:pPr>
          </w:p>
        </w:tc>
        <w:tc>
          <w:tcPr>
            <w:tcW w:w="52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shd w:val="clear" w:color="auto" w:fill="CCEEFF"/>
          </w:tcPr>
          <w:p>
            <w:pPr>
              <w:spacing w:after="0"/>
              <w:rPr>
                <w:sz w:val="19"/>
                <w:szCs w:val="19"/>
                <w:color w:val="auto"/>
              </w:rPr>
            </w:pPr>
          </w:p>
        </w:tc>
        <w:tc>
          <w:tcPr>
            <w:tcW w:w="52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The cover page from this Quarterly Report on Form 10-Q formatted as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a management contract or compensatory plan.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5" w:name="page46"/>
    <w:bookmarkEnd w:id="45"/>
    <w:p>
      <w:pPr>
        <w:spacing w:after="0" w:line="2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0"/>
        <w:spacing w:after="0"/>
        <w:tabs>
          <w:tab w:leader="none" w:pos="4980" w:val="left"/>
        </w:tabs>
        <w:rPr>
          <w:sz w:val="20"/>
          <w:szCs w:val="20"/>
          <w:color w:val="auto"/>
        </w:rPr>
      </w:pPr>
      <w:r>
        <w:rPr>
          <w:rFonts w:ascii="Times New Roman" w:cs="Times New Roman" w:eastAsia="Times New Roman" w:hAnsi="Times New Roman"/>
          <w:sz w:val="16"/>
          <w:szCs w:val="16"/>
          <w:color w:val="auto"/>
        </w:rPr>
        <w:t>October 30, 2026</w:t>
      </w:r>
      <w:r>
        <w:rPr>
          <w:sz w:val="20"/>
          <w:szCs w:val="20"/>
          <w:color w:val="auto"/>
        </w:rPr>
        <w:tab/>
      </w:r>
      <w:r>
        <w:rPr>
          <w:rFonts w:ascii="Times New Roman" w:cs="Times New Roman" w:eastAsia="Times New Roman" w:hAnsi="Times New Roman"/>
          <w:sz w:val="16"/>
          <w:szCs w:val="16"/>
          <w:color w:val="auto"/>
        </w:rPr>
        <w:t>/s/ SHARON PRICE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29210</wp:posOffset>
            </wp:positionV>
            <wp:extent cx="25971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5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Sharon Price John</w:t>
      </w:r>
    </w:p>
    <w:p>
      <w:pPr>
        <w:spacing w:after="0" w:line="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Chief Executive Officer &amp; President</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0"/>
        <w:spacing w:after="0"/>
        <w:tabs>
          <w:tab w:leader="none" w:pos="4980" w:val="left"/>
        </w:tabs>
        <w:rPr>
          <w:sz w:val="20"/>
          <w:szCs w:val="20"/>
          <w:color w:val="auto"/>
        </w:rPr>
      </w:pPr>
      <w:r>
        <w:rPr>
          <w:rFonts w:ascii="Times New Roman" w:cs="Times New Roman" w:eastAsia="Times New Roman" w:hAnsi="Times New Roman"/>
          <w:sz w:val="16"/>
          <w:szCs w:val="16"/>
          <w:color w:val="auto"/>
        </w:rPr>
        <w:t>October 30, 2026</w:t>
      </w:r>
      <w:r>
        <w:rPr>
          <w:sz w:val="20"/>
          <w:szCs w:val="20"/>
          <w:color w:val="auto"/>
        </w:rPr>
        <w:tab/>
      </w:r>
      <w:r>
        <w:rPr>
          <w:rFonts w:ascii="Times New Roman" w:cs="Times New Roman" w:eastAsia="Times New Roman" w:hAnsi="Times New Roman"/>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37465</wp:posOffset>
            </wp:positionV>
            <wp:extent cx="25971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6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Richard F. Westenberger</w:t>
      </w:r>
    </w:p>
    <w:p>
      <w:pPr>
        <w:spacing w:after="0" w:line="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Chief Financial Officer &amp; Chief Operating Officer</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(Principal Financial &amp;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280"/>
          </w:cols>
          <w:pgMar w:left="320" w:top="1440" w:right="1299" w:bottom="1440" w:gutter="0" w:footer="0" w:header="0"/>
        </w:sectPr>
      </w:pPr>
    </w:p>
    <w:bookmarkStart w:id="46" w:name="page47"/>
    <w:bookmarkEnd w:id="46"/>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3.3</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ELIMINATION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SERIES A JUNIOR PARTICIPATING PREFERRED STOCK</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CARTER’S,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151 of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Corporation Law of the State of Delaware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Carter’s, Inc., a Delaware corporation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hereby certifies as follows:</w:t>
      </w:r>
    </w:p>
    <w:p>
      <w:pPr>
        <w:spacing w:after="0" w:line="243" w:lineRule="exact"/>
        <w:rPr>
          <w:sz w:val="20"/>
          <w:szCs w:val="20"/>
          <w:color w:val="auto"/>
        </w:rPr>
      </w:pPr>
    </w:p>
    <w:p>
      <w:pPr>
        <w:jc w:val="both"/>
        <w:ind w:left="660" w:hanging="328"/>
        <w:spacing w:after="0" w:line="260" w:lineRule="auto"/>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151 of the General Corporation Law of the State of Delaware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and the authority conferred upon the Corporation’s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in accordance with the Corporation’s Amended and Restated Certificate of Incorporation and Amended and Restated By-Laws, the Board adopted the following resolutions with respect to the Corporation’s Series A Junior Participating Preferred Stock, which resolutions have not been amended or rescinded:</w:t>
      </w:r>
    </w:p>
    <w:p>
      <w:pPr>
        <w:spacing w:after="0" w:line="205"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effective September 22, 2025, the Board authorized the issuance of a series of 15,000 shares of Series A Junior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Participating Preferred Stock, par value $0.01 per share (the “</w:t>
      </w:r>
      <w:r>
        <w:rPr>
          <w:rFonts w:ascii="Times New Roman" w:cs="Times New Roman" w:eastAsia="Times New Roman" w:hAnsi="Times New Roman"/>
          <w:sz w:val="20"/>
          <w:szCs w:val="20"/>
          <w:b w:val="1"/>
          <w:bCs w:val="1"/>
          <w:i w:val="1"/>
          <w:iCs w:val="1"/>
          <w:color w:val="auto"/>
        </w:rPr>
        <w:t>Series A Preferred Stock</w:t>
      </w:r>
      <w:r>
        <w:rPr>
          <w:rFonts w:ascii="Times New Roman" w:cs="Times New Roman" w:eastAsia="Times New Roman" w:hAnsi="Times New Roman"/>
          <w:sz w:val="20"/>
          <w:szCs w:val="20"/>
          <w:color w:val="auto"/>
        </w:rPr>
        <w:t>”); and</w:t>
      </w:r>
    </w:p>
    <w:p>
      <w:pPr>
        <w:spacing w:after="0" w:line="192"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deems it advisable and in the best interests of the Corporation and its stockholders to eliminate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Series A Preferred Stock.</w:t>
      </w:r>
    </w:p>
    <w:p>
      <w:pPr>
        <w:spacing w:after="0" w:line="192"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NOW, THEREFORE, BE IT RESOLVED</w:t>
      </w:r>
      <w:r>
        <w:rPr>
          <w:rFonts w:ascii="Times New Roman" w:cs="Times New Roman" w:eastAsia="Times New Roman" w:hAnsi="Times New Roman"/>
          <w:sz w:val="20"/>
          <w:szCs w:val="20"/>
          <w:color w:val="auto"/>
        </w:rPr>
        <w:t>, that none of the authorized shares of Series A Preferred Stock are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none will be issued subject to the Certificate of Designations of Series A Preferred Stock previously filed with the Secretary of State of the State of Delaware with respect to such Series A Preferred Stock (the “</w:t>
      </w:r>
      <w:r>
        <w:rPr>
          <w:rFonts w:ascii="Times New Roman" w:cs="Times New Roman" w:eastAsia="Times New Roman" w:hAnsi="Times New Roman"/>
          <w:sz w:val="20"/>
          <w:szCs w:val="20"/>
          <w:b w:val="1"/>
          <w:bCs w:val="1"/>
          <w:i w:val="1"/>
          <w:iCs w:val="1"/>
          <w:color w:val="auto"/>
        </w:rPr>
        <w:t>Certificate of Designations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RESOLVED FURTHER</w:t>
      </w:r>
      <w:r>
        <w:rPr>
          <w:rFonts w:ascii="Times New Roman" w:cs="Times New Roman" w:eastAsia="Times New Roman" w:hAnsi="Times New Roman"/>
          <w:sz w:val="20"/>
          <w:szCs w:val="20"/>
          <w:color w:val="auto"/>
        </w:rPr>
        <w:t>, that the President and Chief Executive Officer, Chief Financial Officer, or General Counsel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Secretary of the Corporation (each, an “</w:t>
      </w:r>
      <w:r>
        <w:rPr>
          <w:rFonts w:ascii="Times New Roman" w:cs="Times New Roman" w:eastAsia="Times New Roman" w:hAnsi="Times New Roman"/>
          <w:sz w:val="20"/>
          <w:szCs w:val="20"/>
          <w:b w:val="1"/>
          <w:bCs w:val="1"/>
          <w:i w:val="1"/>
          <w:iCs w:val="1"/>
          <w:color w:val="auto"/>
        </w:rPr>
        <w:t>Authorized Officer</w:t>
      </w:r>
      <w:r>
        <w:rPr>
          <w:rFonts w:ascii="Times New Roman" w:cs="Times New Roman" w:eastAsia="Times New Roman" w:hAnsi="Times New Roman"/>
          <w:sz w:val="20"/>
          <w:szCs w:val="20"/>
          <w:color w:val="auto"/>
        </w:rPr>
        <w:t>”) be, and each of them individually hereby is, authorized and directed to take any and all actions as any of such Authorized Officers deem necessary and appropriate to eliminate such Series A Preferred Stock, including to execute and file, or cause to be executed and filed, a Certificate of Elimination of the Series A Preferred Stock (the “</w:t>
      </w:r>
      <w:r>
        <w:rPr>
          <w:rFonts w:ascii="Times New Roman" w:cs="Times New Roman" w:eastAsia="Times New Roman" w:hAnsi="Times New Roman"/>
          <w:sz w:val="20"/>
          <w:szCs w:val="20"/>
          <w:b w:val="1"/>
          <w:bCs w:val="1"/>
          <w:i w:val="1"/>
          <w:iCs w:val="1"/>
          <w:color w:val="auto"/>
        </w:rPr>
        <w:t>Certificate of Elimination</w:t>
      </w:r>
      <w:r>
        <w:rPr>
          <w:rFonts w:ascii="Times New Roman" w:cs="Times New Roman" w:eastAsia="Times New Roman" w:hAnsi="Times New Roman"/>
          <w:sz w:val="20"/>
          <w:szCs w:val="20"/>
          <w:color w:val="auto"/>
        </w:rPr>
        <w:t>”) with the Secretary of State of the State of Delaware; and</w:t>
      </w:r>
    </w:p>
    <w:p>
      <w:pPr>
        <w:spacing w:after="0" w:line="214"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RESOLVED FURTHER</w:t>
      </w:r>
      <w:r>
        <w:rPr>
          <w:rFonts w:ascii="Times New Roman" w:cs="Times New Roman" w:eastAsia="Times New Roman" w:hAnsi="Times New Roman"/>
          <w:sz w:val="20"/>
          <w:szCs w:val="20"/>
          <w:color w:val="auto"/>
        </w:rPr>
        <w:t>, that when the Certificate of Elimination setting forth these resolutions becomes effective, it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the effect of eliminating from the Corporation’s Amended and Restated Certificate of Incorporation, all matters set forth in the Certificate of Designations with respect to such Series A Preferred Stock, and all of the shares</w:t>
      </w:r>
    </w:p>
    <w:p>
      <w:pPr>
        <w:sectPr>
          <w:pgSz w:w="11900" w:h="16838" w:orient="portrait"/>
          <w:cols w:equalWidth="0" w:num="1">
            <w:col w:w="11240"/>
          </w:cols>
          <w:pgMar w:left="320" w:top="1440" w:right="339" w:bottom="1440" w:gutter="0" w:footer="0" w:header="0"/>
        </w:sectPr>
      </w:pPr>
    </w:p>
    <w:bookmarkStart w:id="47" w:name="page48"/>
    <w:bookmarkEnd w:id="47"/>
    <w:p>
      <w:pPr>
        <w:ind w:left="660"/>
        <w:spacing w:after="0" w:line="283" w:lineRule="auto"/>
        <w:rPr>
          <w:sz w:val="20"/>
          <w:szCs w:val="20"/>
          <w:color w:val="auto"/>
        </w:rPr>
      </w:pPr>
      <w:r>
        <w:rPr>
          <w:rFonts w:ascii="Times New Roman" w:cs="Times New Roman" w:eastAsia="Times New Roman" w:hAnsi="Times New Roman"/>
          <w:sz w:val="20"/>
          <w:szCs w:val="20"/>
          <w:color w:val="auto"/>
        </w:rPr>
        <w:t>that were designated as Series A Preferred Stock shall be returned to the status of authorized, unissued preferred shares of the Corporation, without designation.</w:t>
      </w:r>
    </w:p>
    <w:p>
      <w:pPr>
        <w:spacing w:after="0" w:line="16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Elimination shall be effective as of October 27, 2026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151 of the DGCL, as of the Effective Date, all matters set forth in the Certificate of Designations with respect to the Series A Preferred Stock, previously filed with the Secretary of State of the State of Delaware on September 22, 2025, are hereby eliminated.</w:t>
      </w:r>
    </w:p>
    <w:p>
      <w:pPr>
        <w:spacing w:after="0" w:line="20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Corporation has caused this Certificate to be signed by its duly Authorized Officer this 27th day of October 2026.</w:t>
      </w:r>
    </w:p>
    <w:p>
      <w:pPr>
        <w:spacing w:after="0" w:line="19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CARTER’S, INC.</w:t>
      </w:r>
    </w:p>
    <w:p>
      <w:pPr>
        <w:spacing w:after="0" w:line="287" w:lineRule="exact"/>
        <w:rPr>
          <w:sz w:val="20"/>
          <w:szCs w:val="20"/>
          <w:color w:val="auto"/>
        </w:rPr>
      </w:pPr>
    </w:p>
    <w:p>
      <w:pPr>
        <w:ind w:left="3560"/>
        <w:spacing w:after="0"/>
        <w:tabs>
          <w:tab w:leader="none" w:pos="42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Richard F. Westenberger</w:t>
      </w:r>
    </w:p>
    <w:p>
      <w:pPr>
        <w:spacing w:after="0" w:line="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-140335</wp:posOffset>
            </wp:positionV>
            <wp:extent cx="2459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3560"/>
        <w:spacing w:after="0" w:line="182" w:lineRule="auto"/>
        <w:tabs>
          <w:tab w:leader="none" w:pos="4200" w:val="left"/>
        </w:tabs>
        <w:rPr>
          <w:sz w:val="20"/>
          <w:szCs w:val="20"/>
          <w:color w:val="auto"/>
        </w:rPr>
      </w:pPr>
      <w:r>
        <w:rPr>
          <w:rFonts w:ascii="Times New Roman" w:cs="Times New Roman" w:eastAsia="Times New Roman" w:hAnsi="Times New Roman"/>
          <w:sz w:val="30"/>
          <w:szCs w:val="30"/>
          <w:color w:val="auto"/>
          <w:vertAlign w:val="subscript"/>
        </w:rPr>
        <w:t>Title:</w:t>
      </w:r>
      <w:r>
        <w:rPr>
          <w:sz w:val="20"/>
          <w:szCs w:val="20"/>
          <w:color w:val="auto"/>
        </w:rPr>
        <w:tab/>
      </w:r>
      <w:r>
        <w:rPr>
          <w:rFonts w:ascii="Times New Roman" w:cs="Times New Roman" w:eastAsia="Times New Roman" w:hAnsi="Times New Roman"/>
          <w:sz w:val="16"/>
          <w:szCs w:val="16"/>
          <w:color w:val="auto"/>
        </w:rPr>
        <w:t>Chief Financial Officer &amp; Chief Operating</w:t>
      </w:r>
    </w:p>
    <w:p>
      <w:pPr>
        <w:spacing w:after="0" w:line="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11240"/>
          </w:cols>
          <w:pgMar w:left="320" w:top="1413" w:right="339" w:bottom="1440" w:gutter="0" w:footer="0" w:header="0"/>
        </w:sectPr>
      </w:pPr>
    </w:p>
    <w:bookmarkStart w:id="48" w:name="page49"/>
    <w:bookmarkEnd w:id="48"/>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10" w:lineRule="exact"/>
        <w:rPr>
          <w:sz w:val="20"/>
          <w:szCs w:val="20"/>
          <w:color w:val="auto"/>
        </w:rPr>
      </w:pPr>
    </w:p>
    <w:p>
      <w:pPr>
        <w:ind w:right="440" w:firstLine="324"/>
        <w:spacing w:after="0" w:line="271"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The William Carter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[NAME] (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22"/>
          <w:szCs w:val="22"/>
          <w:color w:val="auto"/>
        </w:rPr>
        <w:t>WHEREAS, the Company has determined that given the key nature of Executive’s position, the interests of the Company will be best served by entering into an agreement with respect to certain aspects of the employment relationship and by providing Executive the assurance of severance pay and benefits in the event that Executive’s employment is terminated in specified circumstances.</w:t>
      </w:r>
    </w:p>
    <w:p>
      <w:pPr>
        <w:spacing w:after="0" w:line="220" w:lineRule="exact"/>
        <w:rPr>
          <w:sz w:val="20"/>
          <w:szCs w:val="20"/>
          <w:color w:val="auto"/>
        </w:rPr>
      </w:pPr>
    </w:p>
    <w:p>
      <w:pPr>
        <w:ind w:right="840" w:firstLine="324"/>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herein and for other good and valuable consideration, the parties agree as follows:</w:t>
      </w:r>
    </w:p>
    <w:p>
      <w:pPr>
        <w:spacing w:after="0" w:line="154" w:lineRule="exact"/>
        <w:rPr>
          <w:sz w:val="20"/>
          <w:szCs w:val="20"/>
          <w:color w:val="auto"/>
        </w:rPr>
      </w:pPr>
    </w:p>
    <w:p>
      <w:pPr>
        <w:jc w:val="both"/>
        <w:ind w:firstLine="656"/>
        <w:spacing w:after="0" w:line="224" w:lineRule="auto"/>
        <w:tabs>
          <w:tab w:leader="none" w:pos="1296" w:val="left"/>
        </w:tabs>
        <w:numPr>
          <w:ilvl w:val="0"/>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Position and Duties. </w:t>
      </w:r>
      <w:r>
        <w:rPr>
          <w:rFonts w:ascii="Times New Roman" w:cs="Times New Roman" w:eastAsia="Times New Roman" w:hAnsi="Times New Roman"/>
          <w:sz w:val="21"/>
          <w:szCs w:val="21"/>
          <w:color w:val="auto"/>
        </w:rPr>
        <w:t>During employment, Executive shall serve as [TITLE] of the Company and shall have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normal duties, responsibilities and authority of such position, subject to any limitations imposed by the bylaws of the Company and to the power of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other senior officers of the Company or its Company Affiliates to expand or limit such duties, responsibilities and authority and to override actions of Executive. Executive shall devote Executive’s best efforts and Executive’s full business time and attention (except for permitted vacation periods and reasonable periods of illness or other incapacity) to the business and affairs of the Company. Executive shall perform Executive’s duties and responsibilities to the best of Executive’s abilities in a diligent, trustworthy, business like and efficient manner.</w:t>
      </w:r>
    </w:p>
    <w:p>
      <w:pPr>
        <w:spacing w:after="0" w:line="150" w:lineRule="exact"/>
        <w:rPr>
          <w:rFonts w:ascii="Times New Roman" w:cs="Times New Roman" w:eastAsia="Times New Roman" w:hAnsi="Times New Roman"/>
          <w:sz w:val="21"/>
          <w:szCs w:val="21"/>
          <w:b w:val="1"/>
          <w:bCs w:val="1"/>
          <w:color w:val="auto"/>
        </w:rPr>
      </w:pPr>
    </w:p>
    <w:p>
      <w:pPr>
        <w:jc w:val="both"/>
        <w:ind w:firstLine="656"/>
        <w:spacing w:after="0" w:line="214" w:lineRule="auto"/>
        <w:tabs>
          <w:tab w:leader="none" w:pos="1296"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Base Salary and Bonus Opportunity. </w:t>
      </w:r>
      <w:r>
        <w:rPr>
          <w:rFonts w:ascii="Times New Roman" w:cs="Times New Roman" w:eastAsia="Times New Roman" w:hAnsi="Times New Roman"/>
          <w:sz w:val="22"/>
          <w:szCs w:val="22"/>
          <w:color w:val="auto"/>
        </w:rPr>
        <w:t>During the term of Executive’s employment hereunder, Executive’s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salary shall be at an annual rate of [●] $[●] and prorated for any partial years of employment. The base salary shall be subject to periodic review for possible increase by the Board , in its discretion. Base salary shall be payable by the Company in installments in accordance with the Company’s general payroll practices as in effect from time to time. During the term of Executive’s employment hereunder, Executive shall participate in the Company’s Amended and Restated Annual Incentive Compensation Plan (the “</w:t>
      </w:r>
      <w:r>
        <w:rPr>
          <w:rFonts w:ascii="Times New Roman" w:cs="Times New Roman" w:eastAsia="Times New Roman" w:hAnsi="Times New Roman"/>
          <w:sz w:val="22"/>
          <w:szCs w:val="22"/>
          <w:u w:val="single" w:color="auto"/>
          <w:color w:val="auto"/>
        </w:rPr>
        <w:t>Bonus Plan</w:t>
      </w:r>
      <w:r>
        <w:rPr>
          <w:rFonts w:ascii="Times New Roman" w:cs="Times New Roman" w:eastAsia="Times New Roman" w:hAnsi="Times New Roman"/>
          <w:sz w:val="22"/>
          <w:szCs w:val="22"/>
          <w:color w:val="auto"/>
        </w:rPr>
        <w:t>”), as in effect from time to time, in accordance with the terms of such Bonus Plan. Executive’s target bonus for fiscal year [●] shall be equivalent to ([●]%) of base salary.</w:t>
      </w:r>
    </w:p>
    <w:p>
      <w:pPr>
        <w:spacing w:after="0" w:line="14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 and Termination. </w:t>
      </w:r>
      <w:r>
        <w:rPr>
          <w:rFonts w:ascii="Times New Roman" w:cs="Times New Roman" w:eastAsia="Times New Roman" w:hAnsi="Times New Roman"/>
          <w:sz w:val="22"/>
          <w:szCs w:val="22"/>
          <w:color w:val="auto"/>
        </w:rPr>
        <w:t>Executive’s employment hereunder shall continue until terminated in accordance with</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Section 3.</w:t>
      </w:r>
    </w:p>
    <w:p>
      <w:pPr>
        <w:spacing w:after="0" w:line="155"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shall terminate automatically in the event of Executive’s death.</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Executive’s employment hereunder, upon notice to Executive, in the event that Executive becomes disabled during Executive’s employment hereunder. For purposes of this agreement, “disabled” means any illness, injury, accident or condition of either a physical or psychological nature and, as a result, is unable to perform substantially all of Executive’s duties and responsibilities hereunder (notwithstanding the provision of any reasonable accommodation) for one hundred eighty (180) days during any period of three hundred and sixty-five (365) consecutive calendar days. The Board may designate another employee to act in Executive’s place during any period of Executive’s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5560" w:hanging="128"/>
        <w:spacing w:after="0"/>
        <w:tabs>
          <w:tab w:leader="none" w:pos="5560" w:val="left"/>
        </w:tabs>
        <w:numPr>
          <w:ilvl w:val="2"/>
          <w:numId w:val="22"/>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240"/>
          </w:cols>
          <w:pgMar w:left="320" w:top="1440" w:right="339" w:bottom="1440" w:gutter="0" w:footer="0" w:header="0"/>
        </w:sectPr>
      </w:pPr>
    </w:p>
    <w:bookmarkStart w:id="49" w:name="page50"/>
    <w:bookmarkEnd w:id="49"/>
    <w:p>
      <w:pPr>
        <w:jc w:val="both"/>
        <w:spacing w:after="0" w:line="217" w:lineRule="auto"/>
        <w:rPr>
          <w:sz w:val="20"/>
          <w:szCs w:val="20"/>
          <w:color w:val="auto"/>
        </w:rPr>
      </w:pPr>
      <w:r>
        <w:rPr>
          <w:rFonts w:ascii="Times New Roman" w:cs="Times New Roman" w:eastAsia="Times New Roman" w:hAnsi="Times New Roman"/>
          <w:sz w:val="22"/>
          <w:szCs w:val="22"/>
          <w:color w:val="auto"/>
        </w:rPr>
        <w:t>disability (and such designation shall not constitute Good Reason, as such term is defined in Section 12). If any question shall arise as to whether during any period Executive is disabled, Executive may, and at the request of the Company shall, submit to a medical examination by a physician selected by the Company to determine whether Executive is so disabled and such determination shall for the purposes of this Agreement be conclusive. If such question shall arise and Executive shall fail to submit to such medical examination, the Company’s determination of the issue shall be binding on Executive.</w:t>
      </w:r>
    </w:p>
    <w:p>
      <w:pPr>
        <w:spacing w:after="0" w:line="152" w:lineRule="exact"/>
        <w:rPr>
          <w:sz w:val="20"/>
          <w:szCs w:val="20"/>
          <w:color w:val="auto"/>
        </w:rPr>
      </w:pPr>
    </w:p>
    <w:p>
      <w:pPr>
        <w:jc w:val="both"/>
        <w:ind w:firstLine="1304"/>
        <w:spacing w:after="0" w:line="225" w:lineRule="auto"/>
        <w:tabs>
          <w:tab w:leader="none" w:pos="1941"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Executive’s employment hereunder (i) for Cause (as defined in Section 12) at any time upon notice to Executive setting forth in reasonable detail the nature of such Cause, or (ii) at any time, without Cause, upon notice to Executive.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may terminate employment hereunder (i) for Good Reason (as defined and in accordance with the timing and procedural requirements set forth in Section 12) or (ii) without Good Reason at any time upon sixty (60) days’ prior written notice, which notice period (or any portion thereof) may be waived by the Company without any further payment to Executive.</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Payments and Benefits Upon Termination.</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11" w:lineRule="auto"/>
        <w:tabs>
          <w:tab w:leader="none" w:pos="194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employment, however so caused, the Company will pay Executive (i) any base salary earned but not paid during the final payroll period of Executive’s employment through the date of termination of employment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(ii) pay for any vacation time earned but not used through the Separation Date, as reflected in Company records; and (iii) any business expenses incurred by Executive but unreimbursed on the Separation Date, provided that such expenses and any required substantiation are submitted consistent with the terms of Company policy and that such expenses are reimbursable under Company policy (clauses (i), (ii) and (iii) together, “</w:t>
      </w:r>
      <w:r>
        <w:rPr>
          <w:rFonts w:ascii="Times New Roman" w:cs="Times New Roman" w:eastAsia="Times New Roman" w:hAnsi="Times New Roman"/>
          <w:sz w:val="22"/>
          <w:szCs w:val="22"/>
          <w:u w:val="single" w:color="auto"/>
          <w:color w:val="auto"/>
        </w:rPr>
        <w:t>Final Compensation</w:t>
      </w:r>
      <w:r>
        <w:rPr>
          <w:rFonts w:ascii="Times New Roman" w:cs="Times New Roman" w:eastAsia="Times New Roman" w:hAnsi="Times New Roman"/>
          <w:sz w:val="22"/>
          <w:szCs w:val="22"/>
          <w:color w:val="auto"/>
        </w:rPr>
        <w:t>”). Other than business expenses described in Section 4(a)(iii) (which shall be paid in accordance with Company policy, Final Compensation shall be paid to Executive (or Executive’s designated beneficiary or estate) within thirty (30) days following the Separation Date, or as otherwise required by applicable law. The Company shall not have any further obligations to Executive, except as set forth in Section 4(b) below.</w:t>
      </w:r>
    </w:p>
    <w:p>
      <w:pPr>
        <w:spacing w:after="0" w:line="151"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39"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Company terminates Executive’s employment other than for Cause (as defined in Section 12), or Executive terminates employment for Good Reason (as defined in Section 12), in addition to Final Compensation, the Company will provide Executive the following (clauses (i) through (iv), in the aggregate,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 provided that Executive meets all eligibility requirements for such Severance Benefits as set forth in this Agreement:</w:t>
      </w:r>
    </w:p>
    <w:p>
      <w:pPr>
        <w:spacing w:after="0" w:line="150" w:lineRule="exact"/>
        <w:rPr>
          <w:sz w:val="20"/>
          <w:szCs w:val="20"/>
          <w:color w:val="auto"/>
        </w:rPr>
      </w:pPr>
    </w:p>
    <w:p>
      <w:pPr>
        <w:jc w:val="both"/>
        <w:ind w:left="660" w:firstLine="644"/>
        <w:spacing w:after="0" w:line="215" w:lineRule="auto"/>
        <w:tabs>
          <w:tab w:leader="none" w:pos="19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continue to pay Executive’s base salary, at the same rate as was in effect on the Separation Date, for the period of [●] following the Separation Date. Subject to Sections 5 and 6 below, such payments shall be in the form of salary continuation, payable in accordance with the normal payroll practices of the Company for its executives, with the first payment, which shall be retroactive to the day immediately following the Separation Date, being due and payable on the Company’s next regular payday for executives that follows the expiration of sixty (60) calendar days from the Separation Date.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Executive a pro-rata bonus for the fiscal year in which the Separation Date occurs, determined following the end of such fiscal. The amount of any such bonus shall be determined by multiplying the amount of the bonus that would have been paid to Executive pursuant to the Company’s Bonus Plan had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5560" w:hanging="128"/>
        <w:spacing w:after="0"/>
        <w:tabs>
          <w:tab w:leader="none" w:pos="55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40"/>
          </w:cols>
          <w:pgMar w:left="320" w:top="1395" w:right="339" w:bottom="1440" w:gutter="0" w:footer="0" w:header="0"/>
        </w:sectPr>
      </w:pPr>
    </w:p>
    <w:bookmarkStart w:id="50" w:name="page51"/>
    <w:bookmarkEnd w:id="50"/>
    <w:p>
      <w:pPr>
        <w:jc w:val="both"/>
        <w:ind w:left="4"/>
        <w:spacing w:after="0" w:line="213" w:lineRule="auto"/>
        <w:rPr>
          <w:sz w:val="20"/>
          <w:szCs w:val="20"/>
          <w:color w:val="auto"/>
        </w:rPr>
      </w:pPr>
      <w:r>
        <w:rPr>
          <w:rFonts w:ascii="Times New Roman" w:cs="Times New Roman" w:eastAsia="Times New Roman" w:hAnsi="Times New Roman"/>
          <w:sz w:val="22"/>
          <w:szCs w:val="22"/>
          <w:color w:val="auto"/>
        </w:rPr>
        <w:t>Executive remained employed for the full fiscal year (which determination shall disregard any individual performance goals which may have been set for Executive pursuant to the Company’s Bonus Plan, and shall be based solely on the extent to which Company performance goals have been met) by a fraction, the numerator of which is the number of days Executive was employed during the fiscal year in which the Separation Date occurs and the denominator of which is three hundred and sixty-five (365) (the “</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 The Pro-Rata Bonus will be payable at the time provided for, and in accordance with the provisions of, the Bonus Plan, but in no event earlier than January 1st or later than December 31st of the year following the year in which the Separation Date occurs.</w:t>
      </w:r>
    </w:p>
    <w:p>
      <w:pPr>
        <w:spacing w:after="0" w:line="156" w:lineRule="exact"/>
        <w:rPr>
          <w:sz w:val="20"/>
          <w:szCs w:val="20"/>
          <w:color w:val="auto"/>
        </w:rPr>
      </w:pPr>
    </w:p>
    <w:p>
      <w:pPr>
        <w:jc w:val="both"/>
        <w:ind w:left="4" w:firstLine="644"/>
        <w:spacing w:after="0" w:line="211" w:lineRule="auto"/>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Executive and Executive’s dependents are eligible to continue participation in the Company’s group medical plans following the Separation Date under the federal law commonly known as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and elect to do so in a timely manner, then, until the earlier of (A) [●] following the Separation Date, (B) the date Executive becomes eligible for coverage under the medical plan of another employer, regardless of whether such coverage is actually elected(in which case, Executive shall promptly notify the Company in writing, but in no event later than ten (10) days following such event), or (C) the date Executive otherwise ceases to be eligible to continue participation in the Company’s medical plan under COBRA, the Company will cover the employer portion of premiums for the coverage at the same rate as if Executive remained an active employee of the Company. The premium contributions will be made directly to the Benefits administrator in this case, resulting in Executive being charged a lower monthly rate for COBRA coverage.</w:t>
      </w:r>
    </w:p>
    <w:p>
      <w:pPr>
        <w:spacing w:after="0" w:line="152" w:lineRule="exact"/>
        <w:rPr>
          <w:sz w:val="20"/>
          <w:szCs w:val="20"/>
          <w:color w:val="auto"/>
        </w:rPr>
      </w:pPr>
    </w:p>
    <w:p>
      <w:pPr>
        <w:jc w:val="both"/>
        <w:ind w:left="-656" w:firstLine="1304"/>
        <w:spacing w:after="0" w:line="215" w:lineRule="auto"/>
        <w:tabs>
          <w:tab w:leader="none" w:pos="128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within two (2) years following a Change of Control (as defined in Section 12), the Company terminates Executive’s employment other than for Cause (as defined in Section 12), or Executive terminates employment for Good Reason (as defined in Section 12) (such termination,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in addition to Final Compensation and the Severance Benefits provided pursuant to Section 4(b) of this Agreement, the Company will provide Executive the following benefits (“</w:t>
      </w:r>
      <w:r>
        <w:rPr>
          <w:rFonts w:ascii="Times New Roman" w:cs="Times New Roman" w:eastAsia="Times New Roman" w:hAnsi="Times New Roman"/>
          <w:sz w:val="22"/>
          <w:szCs w:val="22"/>
          <w:u w:val="single" w:color="auto"/>
          <w:color w:val="auto"/>
        </w:rPr>
        <w:t>Additional Severance Benefits</w:t>
      </w:r>
      <w:r>
        <w:rPr>
          <w:rFonts w:ascii="Times New Roman" w:cs="Times New Roman" w:eastAsia="Times New Roman" w:hAnsi="Times New Roman"/>
          <w:sz w:val="22"/>
          <w:szCs w:val="22"/>
          <w:color w:val="auto"/>
        </w:rPr>
        <w:t>”), provided that Executive meets all eligibility requirements for such Additional Severance Benefits as set forth in this Agreement:</w:t>
      </w:r>
    </w:p>
    <w:p>
      <w:pPr>
        <w:spacing w:after="0" w:line="152" w:lineRule="exact"/>
        <w:rPr>
          <w:sz w:val="20"/>
          <w:szCs w:val="20"/>
          <w:color w:val="auto"/>
        </w:rPr>
      </w:pPr>
    </w:p>
    <w:p>
      <w:pPr>
        <w:jc w:val="both"/>
        <w:ind w:left="4" w:firstLine="644"/>
        <w:spacing w:after="0" w:line="220" w:lineRule="auto"/>
        <w:tabs>
          <w:tab w:leader="none" w:pos="128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continue to pay Executive’s Base Salary, at the same rate as was in effect on the Separation Date, for an additional period of [●], following the completion of the salary continuation payments provided for in Section 4(b)(i) above. Subject to Sections 5 and 6 below, such payments shall be in the form of salary continuation, payable in accordance with the normal payroll practices of the Company for its executives.</w:t>
      </w:r>
    </w:p>
    <w:p>
      <w:pPr>
        <w:spacing w:after="0" w:line="14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Eligibility, Exclusivity of Benefits, Offset.</w:t>
      </w:r>
    </w:p>
    <w:p>
      <w:pPr>
        <w:spacing w:after="0" w:line="183" w:lineRule="exact"/>
        <w:rPr>
          <w:rFonts w:ascii="Times New Roman" w:cs="Times New Roman" w:eastAsia="Times New Roman" w:hAnsi="Times New Roman"/>
          <w:sz w:val="22"/>
          <w:szCs w:val="22"/>
          <w:b w:val="1"/>
          <w:bCs w:val="1"/>
          <w:color w:val="auto"/>
        </w:rPr>
      </w:pPr>
    </w:p>
    <w:p>
      <w:pPr>
        <w:jc w:val="both"/>
        <w:ind w:left="-656" w:firstLine="1304"/>
        <w:spacing w:after="0" w:line="211" w:lineRule="auto"/>
        <w:tabs>
          <w:tab w:leader="none" w:pos="128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of the Company to provide Executive the Severance Benefits or the Additional Severance Benefits, in each case, is conditioned on (i) Executive signing and returning to the Company (without revoking) a timely and effective release of claims in the form provided by the Company by the deadline specified therein, which in all events shall be no later than the fifty-third (53rd) calendar day following the date of termination (any such release submitted by such deadline, the “</w:t>
      </w: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(ii) Executive maintaining complete compliance with Executive’s obligations to the Company and its Company Affiliates during employment, including without limitation under Sections 8, 9, 10 and 11 of this Agreement, and (iii) Executive’s continued compliance with Executive’s obligations to the Company and its Company Affiliates that survive termination of Executive’s employment, including without limitation under Sections 8, 9, 10 and 11 of this Agreement. The Release of Claims required for Severance Benefits and Additional Severance Benefits creates legally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5" w:lineRule="exact"/>
        <w:rPr>
          <w:rFonts w:ascii="Times New Roman" w:cs="Times New Roman" w:eastAsia="Times New Roman" w:hAnsi="Times New Roman"/>
          <w:sz w:val="22"/>
          <w:szCs w:val="22"/>
          <w:color w:val="auto"/>
        </w:rPr>
      </w:pPr>
    </w:p>
    <w:p>
      <w:pPr>
        <w:ind w:left="4904" w:hanging="128"/>
        <w:spacing w:after="0"/>
        <w:tabs>
          <w:tab w:leader="none" w:pos="4904" w:val="left"/>
        </w:tabs>
        <w:numPr>
          <w:ilvl w:val="2"/>
          <w:numId w:val="29"/>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0584"/>
          </w:cols>
          <w:pgMar w:left="976" w:top="1395" w:right="339" w:bottom="1440" w:gutter="0" w:footer="0" w:header="0"/>
        </w:sectPr>
      </w:pPr>
    </w:p>
    <w:bookmarkStart w:id="51" w:name="page52"/>
    <w:bookmarkEnd w:id="51"/>
    <w:p>
      <w:pPr>
        <w:jc w:val="both"/>
        <w:spacing w:after="0" w:line="208" w:lineRule="auto"/>
        <w:rPr>
          <w:sz w:val="20"/>
          <w:szCs w:val="20"/>
          <w:color w:val="auto"/>
        </w:rPr>
      </w:pPr>
      <w:r>
        <w:rPr>
          <w:rFonts w:ascii="Times New Roman" w:cs="Times New Roman" w:eastAsia="Times New Roman" w:hAnsi="Times New Roman"/>
          <w:sz w:val="22"/>
          <w:szCs w:val="22"/>
          <w:color w:val="auto"/>
        </w:rPr>
        <w:t>binding obligations on the part of Executive and the Company therefore advises Executive to seek the advice of an attorney before signing the Release of Claims. It is expressly agreed and understood that no Severance Benefits or Additional Severance Benefits shall be required to be paid or provided unless and until the foregoing Release of Claims requirement is satisfied. Notwithstanding anything to the contrary in this Agreement, if the Release of Claims deadline straddles two (2) calendar years, no Severance Benefits or Additional Severance Benefits shall be paid to Executive until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calendar year (with any missed Severance Payments or Additional Severance Benefits being paid to Executive on the Company’s first normal payroll date occurring in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calendar year).</w:t>
      </w:r>
    </w:p>
    <w:p>
      <w:pPr>
        <w:spacing w:after="0" w:line="74" w:lineRule="exact"/>
        <w:rPr>
          <w:sz w:val="20"/>
          <w:szCs w:val="20"/>
          <w:color w:val="auto"/>
        </w:rPr>
      </w:pPr>
    </w:p>
    <w:p>
      <w:pPr>
        <w:jc w:val="both"/>
        <w:ind w:firstLine="1304"/>
        <w:spacing w:after="0" w:line="212" w:lineRule="auto"/>
        <w:tabs>
          <w:tab w:leader="none" w:pos="1939"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 determines after conclusion of Executive’s employment, that Executive had engaged in any conduct that would constitute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as defined herein, or that clawback of Executive’s Severance Benefits and/or Additional Severance Benefits is required pursuant to rules promulgated by the U.S. Securities and Exchange Commission and listing standards applicable to the Company, the Company may cease payment of all Severance Benefits and Additional Severance Benefits and shall likewise be entitled to the immediate forfeiture and recapture of all Severance Benefits and Additional Severance Benefits paid to Executive prior to its discovery of the same. For the avoidance of doubt, if Executive fails to satisfy the conditions for the receipt of the Severance Benefits, Executive shall not be entitled to any Additional Severance Benefits hereunder.</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the Severance Benefits and Additional Severance Benefits to be provided in accordance with the terms and conditions of this Agreement are exclusive and Executive acknowledges and agrees that Executive will not be eligible to participate in or receive benefits under any other plan, program, or policy of the Company or any of its Company Affiliates providing for severance or termination pay or benefits, including but not limited to the Company’s Severance Pay Plan. Executive also agrees that the Severance Benefits and Additional Severance Benefits shall be reduced by any other payments or benefits to which Executive is entitled under applicable law as a result of termination of employment, including without limitation any federal, state or local law with respect to plant closing, mass layoffs or group benefits plan continuation following termination or the like.</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409A Compliance.</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13" w:lineRule="auto"/>
        <w:tabs>
          <w:tab w:leader="none" w:pos="1941"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For purposes of this Agreement, references to termination of employment, Separation Date (as defined in Section 4(a) of this Agreement), retirement, separation from service and similar or correlative terms mean a “separation from service” (as defined at Section 1.409A-l(h) of the Treasury Regulations) from the Company and from all other corporations and trades or businesses, if any, that would be treated as a single “service recipient” with the Company under Section 1.409A-l(h)(3) of the Treasury Regulations. A termination of employment for Good Reason or by the Company without Cause under this Agreement is intended to satisfy the meaning of “involuntary separation from service” (as defined in Section 1.409A-l(n) of the Treasury Regulations).</w:t>
      </w:r>
    </w:p>
    <w:p>
      <w:pPr>
        <w:spacing w:after="0" w:line="156" w:lineRule="exact"/>
        <w:rPr>
          <w:rFonts w:ascii="Times New Roman" w:cs="Times New Roman" w:eastAsia="Times New Roman" w:hAnsi="Times New Roman"/>
          <w:sz w:val="22"/>
          <w:szCs w:val="22"/>
          <w:color w:val="auto"/>
        </w:rPr>
      </w:pPr>
    </w:p>
    <w:p>
      <w:pPr>
        <w:jc w:val="both"/>
        <w:ind w:firstLine="1304"/>
        <w:spacing w:after="0" w:line="207" w:lineRule="auto"/>
        <w:tabs>
          <w:tab w:leader="none" w:pos="1939" w:val="left"/>
        </w:tabs>
        <w:numPr>
          <w:ilvl w:val="2"/>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Exemption</w:t>
      </w:r>
      <w:r>
        <w:rPr>
          <w:rFonts w:ascii="Times New Roman" w:cs="Times New Roman" w:eastAsia="Times New Roman" w:hAnsi="Times New Roman"/>
          <w:sz w:val="21"/>
          <w:szCs w:val="21"/>
          <w:color w:val="auto"/>
        </w:rPr>
        <w:t>. Without limiting the generality of the foregoing, so much of Executive’s Severance Benefits and Additional Severance Benefits as does not exceed the “exempt amount” as hereinafter defined shall in no event be paid later than by December 31 of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calendar year following the calendar year in which the involuntary separation from service occurs. For purposes of the immediately preceding sentence, Executive’s “exempt amount” means the lesser of (i) Executive’s total separation pay, if any, or (ii) the lesser of (A) two (2) times the applicable limit under Section 401(a)</w:t>
      </w:r>
    </w:p>
    <w:p>
      <w:pPr>
        <w:spacing w:after="0" w:line="3" w:lineRule="exact"/>
        <w:rPr>
          <w:rFonts w:ascii="Times New Roman" w:cs="Times New Roman" w:eastAsia="Times New Roman" w:hAnsi="Times New Roman"/>
          <w:sz w:val="21"/>
          <w:szCs w:val="21"/>
          <w:color w:val="auto"/>
        </w:rPr>
      </w:pPr>
    </w:p>
    <w:p>
      <w:pPr>
        <w:jc w:val="both"/>
        <w:ind w:firstLine="8"/>
        <w:spacing w:after="0" w:line="218" w:lineRule="auto"/>
        <w:tabs>
          <w:tab w:leader="none" w:pos="41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for the year in which the involuntary separation from service occurs, or (B) two (2) times Executive’s annualized compensation determined under applicable Treasury Regulations by reference to Executive’s annual rate of pay for the calendar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5560" w:hanging="128"/>
        <w:spacing w:after="0"/>
        <w:tabs>
          <w:tab w:leader="none" w:pos="5560" w:val="left"/>
        </w:tabs>
        <w:numPr>
          <w:ilvl w:val="3"/>
          <w:numId w:val="32"/>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40"/>
          </w:cols>
          <w:pgMar w:left="320" w:top="1395" w:right="339" w:bottom="1440" w:gutter="0" w:footer="0" w:header="0"/>
        </w:sectPr>
      </w:pPr>
    </w:p>
    <w:bookmarkStart w:id="52" w:name="page53"/>
    <w:bookmarkEnd w:id="52"/>
    <w:p>
      <w:pPr>
        <w:jc w:val="both"/>
        <w:spacing w:after="0" w:line="225" w:lineRule="auto"/>
        <w:rPr>
          <w:sz w:val="20"/>
          <w:szCs w:val="20"/>
          <w:color w:val="auto"/>
        </w:rPr>
      </w:pPr>
      <w:r>
        <w:rPr>
          <w:rFonts w:ascii="Times New Roman" w:cs="Times New Roman" w:eastAsia="Times New Roman" w:hAnsi="Times New Roman"/>
          <w:sz w:val="22"/>
          <w:szCs w:val="22"/>
          <w:color w:val="auto"/>
        </w:rPr>
        <w:t>year preceding the calendar year in which the separation from service occurs. For purposes of the Treasury Regulations under Section 409A of the Code, each payment described in this Section shall be treated as a separate payment. Any amounts that exceed the exempt amount will be paid in accordance with the schedule of payments in Section 6(c).</w:t>
      </w:r>
    </w:p>
    <w:p>
      <w:pPr>
        <w:spacing w:after="0" w:line="153" w:lineRule="exact"/>
        <w:rPr>
          <w:sz w:val="20"/>
          <w:szCs w:val="20"/>
          <w:color w:val="auto"/>
        </w:rPr>
      </w:pPr>
    </w:p>
    <w:p>
      <w:pPr>
        <w:jc w:val="both"/>
        <w:ind w:firstLine="1304"/>
        <w:spacing w:after="0" w:line="211" w:lineRule="auto"/>
        <w:tabs>
          <w:tab w:leader="none" w:pos="194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If at the time of separation from service Executive is a specified employee as hereinafter defined, any and all amounts payable in connection with such separation from service that constitute deferred compensation subject to Section 409A of the Code, as determined by the Company in its sole discretion, and that would (but for this sentence) be payable within six (6) months following such separation from service, shall instead, to the extent required by Section 409A of the Code, be paid on the date that follows the date of such separation from service by six (6) months and one (1) day. For purposes of the preceding sentence, the term “specified employee” means an individual who is determined by the Company to be a specified employee as defined in subsection (a)(2)(B)(i) of Section 409A of the Code. The Company may, but need not, elect in writing, subject to the applicable limitations under Section 409A of the Code, any of the special elective rules prescribed in Section l.409A-l(i) of the Treasury Regulations for purposes of determining “specified employee” status. Any such written election shall be deemed part of this Agreement.</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409A Compliance</w:t>
      </w:r>
      <w:r>
        <w:rPr>
          <w:rFonts w:ascii="Times New Roman" w:cs="Times New Roman" w:eastAsia="Times New Roman" w:hAnsi="Times New Roman"/>
          <w:sz w:val="22"/>
          <w:szCs w:val="22"/>
          <w:color w:val="auto"/>
        </w:rPr>
        <w:t>. Notwithstanding any other provision hereunder, this Agreement and all compensation payments hereunder are intended to comply with, or be exempt from, the requirements of Section 409A of the Code, including the regulations, notices and exemptive provisions thereunder, and shall be construed and administered accordingly. In no event shall the Company have any liability relating to any payment or benefit under this Agreement failing to comply with, or be exempt from, the requirements of Section 409A of the Code.</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Termination.</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4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in Sections 4(b)(iii)above or as may be required by applicable law, Executive’s participation in all employee benefit plans of the Company will terminate, in accordance with the terms of those plans, based on the Separation Date.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Severance Benefits and Additional Severance Benefits, Executive shall have no further rights to any other compensation or benefits on or after the termination of employment.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of this Agreement shall survive any termination of Executive’s employment if so provided herein or if necessary or desirable to fully accomplish the purposes of other surviving provisions, including without limitation Executive’s obligations under Sections 8, 9, 10 and 11 hereof.</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13" w:lineRule="auto"/>
        <w:tabs>
          <w:tab w:leader="none" w:pos="194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and its Company Affiliates continually develop trade secrets and Confidential Information (as defined in Section 12 below), that Executive may have in the past and may in the future develop trade secrets and/or Confidential Information for the Company or its Company Affiliates, and that Executive may learn of trade secrets and Confidential Information during the course of employment. Executive acknowledges that the information obtained or created by Executive while employed by the Company or any Company Affiliate concerning the business or affairs of the Company or any Company Affiliate is the exclusive property of the Company or such Company Affiliate. Executive shall comply with the policies and procedures of the Company and its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5560" w:hanging="128"/>
        <w:spacing w:after="0"/>
        <w:tabs>
          <w:tab w:leader="none" w:pos="5560" w:val="left"/>
        </w:tabs>
        <w:numPr>
          <w:ilvl w:val="2"/>
          <w:numId w:val="34"/>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240"/>
          </w:cols>
          <w:pgMar w:left="320" w:top="1395" w:right="339" w:bottom="1440" w:gutter="0" w:footer="0" w:header="0"/>
        </w:sectPr>
      </w:pPr>
    </w:p>
    <w:bookmarkStart w:id="53" w:name="page54"/>
    <w:bookmarkEnd w:id="53"/>
    <w:p>
      <w:pPr>
        <w:jc w:val="both"/>
        <w:spacing w:after="0" w:line="208" w:lineRule="auto"/>
        <w:rPr>
          <w:sz w:val="20"/>
          <w:szCs w:val="20"/>
          <w:color w:val="auto"/>
        </w:rPr>
      </w:pPr>
      <w:r>
        <w:rPr>
          <w:rFonts w:ascii="Times New Roman" w:cs="Times New Roman" w:eastAsia="Times New Roman" w:hAnsi="Times New Roman"/>
          <w:sz w:val="22"/>
          <w:szCs w:val="22"/>
          <w:color w:val="auto"/>
        </w:rPr>
        <w:t>Affiliates for protecting trade secrets and Confidential Information. For purposes of this Agreement, the term “Confidential Information” does not include information that Executive can demonstrate (a) was in Executive’s possession prior to Executive’s initial employment with the Company or any Company Affiliate, provided that such information is not subject to another confidentiality agreement with, or other obligation of confidentiality to, the Company or any other party, (b) is generally known by the public and became generally known by the public other than as a result of any act by Executive, or (c) became available to Executive on a non-confidential basis from a third party, provided that such third party is not known by Executive to be bound by a confidentiality agreement with, or other obligation of secrecy to, the Company or another party or is not otherwise prohibited from providing such information to Executive by a contractual, legal or fiduciary obligation. Executive agrees that Executive will not disclose trade secrets or Confidential Information to any person (other than employees of the Company or any of its Company Affiliates or any other person expressly authorized by an appropriate officer of the Company to receive trade secrets or Confidential Information). Executive shall not use for Executive’s own account trade secrets or any Confidential Information, other than for a legitimate business purpose for the Company or its Company Affiliates. Executive acknowledges and agrees that Executive’s obligations under this Agreement with respect to trade secrets shall remain in effect for as long as such information shall remain a trade secret under applicable law, and that Executive’s obligations with regard to Confidential Information shall remain in effect while employed by the Company and for three (3) years after the Separation Date, regardless of the reason for termination of employment.</w:t>
      </w:r>
    </w:p>
    <w:p>
      <w:pPr>
        <w:spacing w:after="0" w:line="164" w:lineRule="exact"/>
        <w:rPr>
          <w:sz w:val="20"/>
          <w:szCs w:val="20"/>
          <w:color w:val="auto"/>
        </w:rPr>
      </w:pPr>
    </w:p>
    <w:p>
      <w:pPr>
        <w:jc w:val="both"/>
        <w:ind w:firstLine="1304"/>
        <w:spacing w:after="0" w:line="217" w:lineRule="auto"/>
        <w:tabs>
          <w:tab w:leader="none" w:pos="193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deliver to the Company on the Separation Date, or at any other time the Company’s [Board/Chief Executive Officer] may request in writing, all memoranda, notes, plans, records, reports, computer tapes and software and other documents and data (and copies thereof, including electronic copies), whether or not containing trade secrets or Confidential Information or Work Product, which Executive may then possess or have under Executive’s control. Executive shall not retain a copy of any Confidential Information or Work Product in any form for any purpose.</w:t>
      </w:r>
    </w:p>
    <w:p>
      <w:pPr>
        <w:spacing w:after="0" w:line="148"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Work Product. </w:t>
      </w:r>
      <w:r>
        <w:rPr>
          <w:rFonts w:ascii="Times New Roman" w:cs="Times New Roman" w:eastAsia="Times New Roman" w:hAnsi="Times New Roman"/>
          <w:sz w:val="22"/>
          <w:szCs w:val="22"/>
          <w:color w:val="auto"/>
        </w:rPr>
        <w:t>Executive agrees that all inventions, innovations, improvements, developments, methods, designs,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analyses, reports and all similar or related information which relate to the Company’s or any of its Company Affiliates’ actual or anticipated business, research and development or existing or future products or services and which are conceived, developed or made by Executive while employed with the Company (“</w:t>
      </w:r>
      <w:r>
        <w:rPr>
          <w:rFonts w:ascii="Times New Roman" w:cs="Times New Roman" w:eastAsia="Times New Roman" w:hAnsi="Times New Roman"/>
          <w:sz w:val="22"/>
          <w:szCs w:val="22"/>
          <w:u w:val="single" w:color="auto"/>
          <w:color w:val="auto"/>
        </w:rPr>
        <w:t>Work Product</w:t>
      </w:r>
      <w:r>
        <w:rPr>
          <w:rFonts w:ascii="Times New Roman" w:cs="Times New Roman" w:eastAsia="Times New Roman" w:hAnsi="Times New Roman"/>
          <w:sz w:val="22"/>
          <w:szCs w:val="22"/>
          <w:color w:val="auto"/>
        </w:rPr>
        <w:t>”) belong to the Company or such Company Affiliate. Executive hereby assigns and agrees to assign to the Company (or as otherwise directed by the Company) Executive’s full right, title and interest in and to all Work Product. Executive will promptly disclose such Work Product to the Company’s [Board/Chief Executive Officer]and perform all actions reasonably requested by the Company’s [Board/Chief Executive Officer] (whether during or after the Employment Period) to assign the Work Product to the Company and to otherwise establish and confirm such ownership.</w:t>
      </w:r>
    </w:p>
    <w:p>
      <w:pPr>
        <w:spacing w:after="0" w:line="14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Non-Competition, Non-Solicitation, Non-Disparagement, Compliance.</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12" w:lineRule="auto"/>
        <w:tabs>
          <w:tab w:leader="none" w:pos="1941"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in the course of Executive’s employment with the Company or its Company Affiliates, Executive has become and will become in the future familiar with the trade secrets and other Confidential Information of the Company and its Company Affiliates and that Executive’s services will be of special, unique and extraordinary value to the Company. Therefore, Executive agrees that, during Executive’s employment and for a period of [twenty-four (24) months] following the Separation Date, regardless of the basis or timing of termination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Executive shall not, directly or indirectly, provide services in a Restricted Capacity (as defined below) in the Restricted Territory (as defined below) to any person or entity with respect to any product or service of such person or entity which competes with any aspect of the Business of the Company or any of its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5560" w:hanging="128"/>
        <w:spacing w:after="0"/>
        <w:tabs>
          <w:tab w:leader="none" w:pos="5560" w:val="left"/>
        </w:tabs>
        <w:numPr>
          <w:ilvl w:val="2"/>
          <w:numId w:val="36"/>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240"/>
          </w:cols>
          <w:pgMar w:left="320" w:top="1395" w:right="339" w:bottom="1440" w:gutter="0" w:footer="0" w:header="0"/>
        </w:sectPr>
      </w:pPr>
    </w:p>
    <w:bookmarkStart w:id="54" w:name="page55"/>
    <w:bookmarkEnd w:id="54"/>
    <w:p>
      <w:pPr>
        <w:jc w:val="both"/>
        <w:spacing w:after="0" w:line="220" w:lineRule="auto"/>
        <w:rPr>
          <w:sz w:val="20"/>
          <w:szCs w:val="20"/>
          <w:color w:val="auto"/>
        </w:rPr>
      </w:pPr>
      <w:r>
        <w:rPr>
          <w:rFonts w:ascii="Times New Roman" w:cs="Times New Roman" w:eastAsia="Times New Roman" w:hAnsi="Times New Roman"/>
          <w:sz w:val="22"/>
          <w:szCs w:val="22"/>
          <w:color w:val="auto"/>
        </w:rPr>
        <w:t>Affiliates with respect to which Executive has had access to Confidential Information or customer goodwill as a result of Executive’s employment or other association with the Company. Nothing herein shall prohibit Executive from being a passive owner of not more than one percent (1%) of the outstanding stock of any class of a corporation which is publicly traded, so long as Executive has no active participation in the business of such corporation.</w:t>
      </w:r>
    </w:p>
    <w:p>
      <w:pPr>
        <w:spacing w:after="0" w:line="152"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w:t>
      </w:r>
    </w:p>
    <w:p>
      <w:pPr>
        <w:spacing w:after="0" w:line="179" w:lineRule="exact"/>
        <w:rPr>
          <w:sz w:val="20"/>
          <w:szCs w:val="20"/>
          <w:color w:val="auto"/>
        </w:rPr>
      </w:pPr>
    </w:p>
    <w:p>
      <w:pPr>
        <w:ind w:left="1960" w:hanging="656"/>
        <w:spacing w:after="0" w:line="236" w:lineRule="auto"/>
        <w:tabs>
          <w:tab w:leader="none" w:pos="19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Business of the Company or any of its Company Affiliates</w:t>
      </w:r>
      <w:r>
        <w:rPr>
          <w:rFonts w:ascii="Times New Roman" w:cs="Times New Roman" w:eastAsia="Times New Roman" w:hAnsi="Times New Roman"/>
          <w:sz w:val="22"/>
          <w:szCs w:val="22"/>
          <w:color w:val="auto"/>
        </w:rPr>
        <w:t>” shall include the wholesale and retail sale (including without limitation, electronic commerce) of children’s apparel and related accessories;</w:t>
      </w:r>
    </w:p>
    <w:p>
      <w:pPr>
        <w:spacing w:after="0" w:line="150" w:lineRule="exact"/>
        <w:rPr>
          <w:rFonts w:ascii="Times New Roman" w:cs="Times New Roman" w:eastAsia="Times New Roman" w:hAnsi="Times New Roman"/>
          <w:sz w:val="22"/>
          <w:szCs w:val="22"/>
          <w:color w:val="auto"/>
        </w:rPr>
      </w:pPr>
    </w:p>
    <w:p>
      <w:pPr>
        <w:jc w:val="both"/>
        <w:ind w:left="1960" w:hanging="656"/>
        <w:spacing w:after="0" w:line="225" w:lineRule="auto"/>
        <w:tabs>
          <w:tab w:leader="none" w:pos="19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means the territory where Executive provided services on behalf of the Company or any of its Company Affiliates during Executive’s employment, which Executive acknowledges to extend throughout each state in the United States;</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17" w:lineRule="auto"/>
        <w:tabs>
          <w:tab w:leader="none" w:pos="19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Capacity</w:t>
      </w:r>
      <w:r>
        <w:rPr>
          <w:rFonts w:ascii="Times New Roman" w:cs="Times New Roman" w:eastAsia="Times New Roman" w:hAnsi="Times New Roman"/>
          <w:sz w:val="22"/>
          <w:szCs w:val="22"/>
          <w:color w:val="auto"/>
        </w:rPr>
        <w:t>” means the provision of services to a competitor of the Company which is the same or comparable to the services Executive provided to the Company or any of its Company Affiliates or in which the Confidential Information, trade secrets or customer goodwill which Executive created or to which Executive had access during Executive’s employment with the Company or any of its Company Affiliates would give that competitor an unfair competitive advantage.</w:t>
      </w:r>
    </w:p>
    <w:p>
      <w:pPr>
        <w:spacing w:after="0" w:line="152" w:lineRule="exact"/>
        <w:rPr>
          <w:sz w:val="20"/>
          <w:szCs w:val="20"/>
          <w:color w:val="auto"/>
        </w:rPr>
      </w:pPr>
    </w:p>
    <w:p>
      <w:pPr>
        <w:jc w:val="both"/>
        <w:ind w:firstLine="1304"/>
        <w:spacing w:after="0" w:line="209" w:lineRule="auto"/>
        <w:tabs>
          <w:tab w:leader="none" w:pos="19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Executive shall not, directly or indirectly through another entity, (i) induce or attempt to induce any employee of the Company or any of its Company Affiliates to leave the employ of such person, (ii) solicit or encourage any independent contractor providing services to the Company or any of its Company Affiliates to terminate or diminish its relationship with them; or (iii) induce or attempt to induce any customer, supplier, licensee or other person having a business relationship with the Company or any of its Company Affiliates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to cease doing business with the Company or such Company Affiliate or seek to persuade any such Service Recipient to conduct with any other person or entity any business or activity which is conducted or could be conducted with the Company; provided, however, that the restrictions in clause (iii) shall apply (A) only with respect to those Service Recipients who have been such at any time within the immediately preceding two (2) year period or whose business has been solicited on behalf of the Company or any of its Company Affiliates within said two (2) year period, other than by form letter, blanket mailing or published advertisement, and (B) only if Executive had a business relationship with such Service Recipient as a result of Executive’s employment, or otherwise had access to Confidential Information as a result of Executive’s employment which would assist in the solicitation of such Service Recipient; and provided further that the restrictions in clauses (i) and (ii) shall apply only to employees and independent contractors who have provided services to the Company or any of its Company Affiliates within the two (2) years preceding the Separation Date.</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Until forty-five (45) days after the conclusion of the Restricted Period, Executive shall give notice to the Company of each new business activity Executive plans to undertake, at least fourteen (14) days prior to beginning such an activity. Executive shall provide the Company with such pertinent information concerning such business activity as the Company may reasonably request in order to determine Executive’s continued compliance with obligations under Sections 8, 9, 10 and 11 hereof.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5560" w:hanging="128"/>
        <w:spacing w:after="0"/>
        <w:tabs>
          <w:tab w:leader="none" w:pos="55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240"/>
          </w:cols>
          <w:pgMar w:left="320" w:top="1395" w:right="339" w:bottom="1440" w:gutter="0" w:footer="0" w:header="0"/>
        </w:sectPr>
      </w:pPr>
    </w:p>
    <w:bookmarkStart w:id="55" w:name="page56"/>
    <w:bookmarkEnd w:id="55"/>
    <w:p>
      <w:pPr>
        <w:jc w:val="both"/>
        <w:ind w:left="-656" w:firstLine="1304"/>
        <w:spacing w:after="0" w:line="213" w:lineRule="auto"/>
        <w:tabs>
          <w:tab w:leader="none" w:pos="128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agrees that Executive will not disparage the Company or any of its Company Affiliates, or any of their respective management, products or services and will not do or say anything that could reasonably be expected to disrupt the good morale of the employees of the Company or otherwise harm the business interests or reputation of the Company; provided, however, that nothing in this Agreement shall preclude Executive from providing truthful testimony in any court or regulatory action or proceeding or otherwise making good faith statements in connection with legal investigations or other proceedings. Executive understands and agrees that this restriction shall continue to apply during the Restricted Period, howsoever caused.</w:t>
      </w:r>
    </w:p>
    <w:p>
      <w:pPr>
        <w:spacing w:after="0" w:line="156" w:lineRule="exact"/>
        <w:rPr>
          <w:rFonts w:ascii="Times New Roman" w:cs="Times New Roman" w:eastAsia="Times New Roman" w:hAnsi="Times New Roman"/>
          <w:sz w:val="22"/>
          <w:szCs w:val="22"/>
          <w:color w:val="auto"/>
        </w:rPr>
      </w:pPr>
    </w:p>
    <w:p>
      <w:pPr>
        <w:jc w:val="both"/>
        <w:ind w:left="-656" w:firstLine="1304"/>
        <w:spacing w:after="0" w:line="236" w:lineRule="auto"/>
        <w:tabs>
          <w:tab w:leader="none" w:pos="128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w:t>
      </w:r>
      <w:r>
        <w:rPr>
          <w:rFonts w:ascii="Times New Roman" w:cs="Times New Roman" w:eastAsia="Times New Roman" w:hAnsi="Times New Roman"/>
          <w:sz w:val="21"/>
          <w:szCs w:val="21"/>
          <w:color w:val="auto"/>
        </w:rPr>
        <w:t>. Executive agrees at all times during the pendency of Executive’s employment to comply with all state and federal laws, and conduct himself or herself with the highest degree of fidelity to the Company, committing no acts of theft, embezzlement, misappropriation, insider trading or other forms of misconduct contrary to the interests of the Company.</w:t>
      </w:r>
    </w:p>
    <w:p>
      <w:pPr>
        <w:spacing w:after="0" w:line="147" w:lineRule="exact"/>
        <w:rPr>
          <w:rFonts w:ascii="Times New Roman" w:cs="Times New Roman" w:eastAsia="Times New Roman" w:hAnsi="Times New Roman"/>
          <w:sz w:val="21"/>
          <w:szCs w:val="21"/>
          <w:color w:val="auto"/>
        </w:rPr>
      </w:pPr>
    </w:p>
    <w:p>
      <w:pPr>
        <w:jc w:val="both"/>
        <w:ind w:left="-656" w:firstLine="656"/>
        <w:spacing w:after="0" w:line="208" w:lineRule="auto"/>
        <w:tabs>
          <w:tab w:leader="none" w:pos="628"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Enforcement of Covenants. </w:t>
      </w:r>
      <w:r>
        <w:rPr>
          <w:rFonts w:ascii="Times New Roman" w:cs="Times New Roman" w:eastAsia="Times New Roman" w:hAnsi="Times New Roman"/>
          <w:sz w:val="22"/>
          <w:szCs w:val="22"/>
          <w:color w:val="auto"/>
        </w:rPr>
        <w:t>Executive acknowledges that Executive has carefully read and considered all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this Agreement, including the restraints imposed upon Executive pursuant to Sections 8, 9, 10 and 11 hereof. Executive agrees without reservation that each of the restraints contained herein is necessary for the reasonable and proper protection of the goodwill, Confidential Information, trade secrets, and other legitimate interests of the Company and its Company Affiliates; that each and every one of those restraints is reasonable in respect to subject matter, length of time and geographic area; and that these restraints, individually or in the aggregate, will not prevent Executive from obtaining other suitable employment during the period in which Executive is bound by these restraints. Executive further acknowledges that, were Executive to breach any of the covenants contained in Sections 8, 9, 10 or 11 hereof, the damage to the Company would be irreparable. Executive therefore agrees that in the event of the breach or a threatened breach by Executive of any of the provisions of Sections 8, 9, 10 or 11 hereof, the Company, in addition and supplementary to other rights and remedies existing in its favor (including pursuant to Section 3(c) hereof), may apply to any court of law or equity of competent jurisdiction for specific performance or injunctive or other relief in order to enforce or prevent any violations of the provisions hereof (without posting a bond or other security). The parties further agree that if, at the time of enforcement of Sections 8, 9, 10 or 11,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revise the restrictions contained herein to cover the maximum period, scope and area permitted by law. Executive agrees that the Restricted Period shall be tolled, and shall not run, during any period of time in which Executive is in violation of the terms thereof, in order that the Company and its Company Affiliates shall have all of the agreed-upon temporal protection recited herein. No breach of any provision of this Agreement by the Company, or any other claimed breach of contract or violation of law, or change in the nature or scope of Executive’s employment relationship with the Company, shall operate to extinguish Executive’s obligation to comply with Sections 8, 9, 10 and 11 hereof.</w:t>
      </w:r>
    </w:p>
    <w:p>
      <w:pPr>
        <w:spacing w:after="0" w:line="147" w:lineRule="exact"/>
        <w:rPr>
          <w:rFonts w:ascii="Times New Roman" w:cs="Times New Roman" w:eastAsia="Times New Roman" w:hAnsi="Times New Roman"/>
          <w:sz w:val="22"/>
          <w:szCs w:val="22"/>
          <w:b w:val="1"/>
          <w:bCs w:val="1"/>
          <w:color w:val="auto"/>
        </w:rPr>
      </w:pPr>
    </w:p>
    <w:p>
      <w:pPr>
        <w:ind w:left="644" w:hanging="644"/>
        <w:spacing w:after="0"/>
        <w:tabs>
          <w:tab w:leader="none" w:pos="644"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As used in this Agreement, the following terms shall have the meaning set forth below:</w:t>
      </w:r>
    </w:p>
    <w:p>
      <w:pPr>
        <w:spacing w:after="0" w:line="183" w:lineRule="exact"/>
        <w:rPr>
          <w:rFonts w:ascii="Times New Roman" w:cs="Times New Roman" w:eastAsia="Times New Roman" w:hAnsi="Times New Roman"/>
          <w:sz w:val="22"/>
          <w:szCs w:val="22"/>
          <w:b w:val="1"/>
          <w:bCs w:val="1"/>
          <w:color w:val="auto"/>
        </w:rPr>
      </w:pPr>
    </w:p>
    <w:p>
      <w:pPr>
        <w:jc w:val="both"/>
        <w:ind w:left="-656" w:firstLine="1304"/>
        <w:spacing w:after="0" w:line="220" w:lineRule="auto"/>
        <w:tabs>
          <w:tab w:leader="none" w:pos="128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4904" w:hanging="128"/>
        <w:spacing w:after="0"/>
        <w:tabs>
          <w:tab w:leader="none" w:pos="4904" w:val="left"/>
        </w:tabs>
        <w:numPr>
          <w:ilvl w:val="2"/>
          <w:numId w:val="41"/>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0584"/>
          </w:cols>
          <w:pgMar w:left="976" w:top="1395" w:right="339" w:bottom="1440" w:gutter="0" w:footer="0" w:header="0"/>
        </w:sectPr>
      </w:pPr>
    </w:p>
    <w:bookmarkStart w:id="56" w:name="page57"/>
    <w:bookmarkEnd w:id="56"/>
    <w:p>
      <w:pPr>
        <w:spacing w:after="0" w:line="236" w:lineRule="auto"/>
        <w:rPr>
          <w:sz w:val="20"/>
          <w:szCs w:val="20"/>
          <w:color w:val="auto"/>
        </w:rPr>
      </w:pPr>
      <w:r>
        <w:rPr>
          <w:rFonts w:ascii="Times New Roman" w:cs="Times New Roman" w:eastAsia="Times New Roman" w:hAnsi="Times New Roman"/>
          <w:sz w:val="22"/>
          <w:szCs w:val="22"/>
          <w:color w:val="auto"/>
        </w:rPr>
        <w:t>directly or indirectly, of the power to direct or cause the direction of the management or policies of such Person, whether through the ownership of voting securities, by agreement or otherwise).</w:t>
      </w:r>
    </w:p>
    <w:p>
      <w:pPr>
        <w:spacing w:after="0" w:line="150" w:lineRule="exact"/>
        <w:rPr>
          <w:sz w:val="20"/>
          <w:szCs w:val="20"/>
          <w:color w:val="auto"/>
        </w:rPr>
      </w:pPr>
    </w:p>
    <w:p>
      <w:pPr>
        <w:ind w:left="1940" w:hanging="636"/>
        <w:spacing w:after="0"/>
        <w:tabs>
          <w:tab w:leader="none" w:pos="19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Carter’s</w:t>
      </w:r>
      <w:r>
        <w:rPr>
          <w:rFonts w:ascii="Times New Roman" w:cs="Times New Roman" w:eastAsia="Times New Roman" w:hAnsi="Times New Roman"/>
          <w:sz w:val="22"/>
          <w:szCs w:val="22"/>
          <w:color w:val="auto"/>
        </w:rPr>
        <w:t>” means Carter’s, Inc., a Delaware corporation.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means (a) conviction of Executive for a felony, or the entry by Executive of a plea of guilty or </w:t>
      </w:r>
      <w:r>
        <w:rPr>
          <w:rFonts w:ascii="Times New Roman" w:cs="Times New Roman" w:eastAsia="Times New Roman" w:hAnsi="Times New Roman"/>
          <w:sz w:val="22"/>
          <w:szCs w:val="22"/>
          <w:i w:val="1"/>
          <w:iCs w:val="1"/>
          <w:color w:val="auto"/>
        </w:rPr>
        <w:t xml:space="preserve">nolo contendere </w:t>
      </w:r>
      <w:r>
        <w:rPr>
          <w:rFonts w:ascii="Times New Roman" w:cs="Times New Roman" w:eastAsia="Times New Roman" w:hAnsi="Times New Roman"/>
          <w:sz w:val="22"/>
          <w:szCs w:val="22"/>
          <w:color w:val="auto"/>
        </w:rPr>
        <w:t>to a felony, (b) a material breach by Executive of Sections 8, 9, 10 or 11 of this Agreement, (c) the commission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 act of fraud or other act involving dishonesty which such act of dishonesty is materially injurious to the Company or any Company Affiliate, (d) the willful and continued refusal by Executive to substantially perform Executive’s duties for the Company or any of its Company Affiliates (other than any such refusal resulting from Executive’s incapacity due to mental illness or physical illness or injury), or gross negligence in the performance of such duties, after a demand for substantial performance is delivered to Executive by the Company’s [Board/Chief Executive Officer], or (e) the willful engaging by Executive in gross misconduct injurious to the Company or any of its Company Affiliates.</w:t>
      </w:r>
    </w:p>
    <w:p>
      <w:pPr>
        <w:spacing w:after="0" w:line="156"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(i) any transaction or series of related transactions in which any Person who is not a Company Affiliate, or any two or more such Persons acting as a Group, and all Affiliates of such Person or Persons, who prior to such time did not own shares of the Common Stock of Carter’s representing fifty percent (50%) or more of the voting power at elections for the Board of Directors of Carter’s, shall (A) acquire, whether by purchase, exchange, tender offer, merger, consolidation, recapitalization or otherwise, or (B) otherwise be the owner of (as a result of a redemption of shares of the Common Stock of Carter’s or otherwise) shares of the Common Stock of Carter’s or its subsidiaries (or shares in a successor corporation by merger, consolidation or otherwise) such that following such transaction or transactions, such Person or Group and their respective Affiliates beneficially own fifty percent (50%) or more of the voting power at elections for the Board of Directors of Carter’s or the Company or any successor corporation, or (ii) the sale or transfer of all or substantially all the assets of either the Company or Carter’s.</w:t>
      </w:r>
    </w:p>
    <w:p>
      <w:pPr>
        <w:spacing w:after="0" w:line="13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Carter’s, Inc., a Delaware corporation, par value $.01 per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w:t>
      </w:r>
    </w:p>
    <w:p>
      <w:pPr>
        <w:spacing w:after="0" w:line="15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Affiliate</w:t>
      </w:r>
      <w:r>
        <w:rPr>
          <w:rFonts w:ascii="Times New Roman" w:cs="Times New Roman" w:eastAsia="Times New Roman" w:hAnsi="Times New Roman"/>
          <w:sz w:val="22"/>
          <w:szCs w:val="22"/>
          <w:color w:val="auto"/>
        </w:rPr>
        <w:t>” means Carter’s, Inc. and its subsidiaries.</w:t>
      </w:r>
    </w:p>
    <w:p>
      <w:pPr>
        <w:spacing w:after="0" w:line="179"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any and all information of the Company and its Company Affiliates, other than trade secrets, that is not generally known by others with whom they compete or do business, or with whom they plan to compete or do business and any and all information, publicly known in whole or in part or not, which, if disclosed by the Company or any of its Company Affiliates would assist in competition against them. Confidential Information includes without limitation such information relating to (i) the development, research, testing, manufacturing, marketing and financial activities of the Company and its Company Affiliates, (ii) the products and services offered by the Company or any of its Company Affiliates,</w:t>
      </w:r>
    </w:p>
    <w:p>
      <w:pPr>
        <w:spacing w:after="0" w:line="3" w:lineRule="exact"/>
        <w:rPr>
          <w:rFonts w:ascii="Times New Roman" w:cs="Times New Roman" w:eastAsia="Times New Roman" w:hAnsi="Times New Roman"/>
          <w:sz w:val="21"/>
          <w:szCs w:val="21"/>
          <w:color w:val="auto"/>
        </w:rPr>
      </w:pPr>
    </w:p>
    <w:p>
      <w:pPr>
        <w:jc w:val="both"/>
        <w:ind w:firstLine="8"/>
        <w:spacing w:after="0" w:line="211" w:lineRule="auto"/>
        <w:tabs>
          <w:tab w:leader="none" w:pos="3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costs, sources of supply, financial performance and strategic plans of the Company and its Company Affiliates, (iv) the identity and special needs of the customers of the Company and its Company Affiliates and (v) the people and organizations with whom the Company and its Company Affiliates have business relationships and the nature and substance of those relationships. Confidential Information also includes information that the Company or any of its Company Affiliates has received, or may receive hereafter, belonging to others or which was received by the Company or any of its Company Affiliates with any understanding, express or implied, that it would not be disclosed.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5560" w:hanging="128"/>
        <w:spacing w:after="0"/>
        <w:tabs>
          <w:tab w:leader="none" w:pos="5560" w:val="left"/>
        </w:tabs>
        <w:numPr>
          <w:ilvl w:val="2"/>
          <w:numId w:val="43"/>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240"/>
          </w:cols>
          <w:pgMar w:left="320" w:top="1395" w:right="339" w:bottom="1440" w:gutter="0" w:footer="0" w:header="0"/>
        </w:sectPr>
      </w:pPr>
    </w:p>
    <w:bookmarkStart w:id="57" w:name="page58"/>
    <w:bookmarkEnd w:id="57"/>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unless Executive shall have consented in writing thereto, any of the following:</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Executive’s title, duties, or responsibilities, as compared to such title, Base Salary and target annual incentive compensation opportunity, duties, or responsibilities on the Effective Date;</w:t>
      </w:r>
    </w:p>
    <w:p>
      <w:pPr>
        <w:spacing w:after="0" w:line="150" w:lineRule="exact"/>
        <w:rPr>
          <w:sz w:val="20"/>
          <w:szCs w:val="20"/>
          <w:color w:val="auto"/>
        </w:rPr>
      </w:pPr>
    </w:p>
    <w:p>
      <w:pPr>
        <w:jc w:val="both"/>
        <w:ind w:left="660" w:right="20" w:firstLine="644"/>
        <w:spacing w:after="0" w:line="225" w:lineRule="auto"/>
        <w:tabs>
          <w:tab w:leader="none" w:pos="195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Executive’s principal place of employment by more than fifty (50) miles without Executive’s written consent (provided, that for the avoidance of doubt, any change in location within the greater Atlanta metropolitan area shall not be a material change); or</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this Agreement by the Company;</w:t>
      </w:r>
    </w:p>
    <w:p>
      <w:pPr>
        <w:spacing w:after="0" w:line="20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2"/>
          <w:szCs w:val="22"/>
          <w:color w:val="auto"/>
        </w:rPr>
        <w:t>provided, however, that Executive shall not have the right to terminate Executive’s employment for “Good Reason” unless Executive shall have given thirty (30) days prior written notice to the Board of Directors of the Company within thirty (30) days following the first occurrence (for Executive) of the alleged condition in which Executive sets forth in reasonable detail the circumstances that Executive believes constitute “Good Reason” pursuant to the preceding clauses (i) through (iii) and the Company shall not have reasonably remedied the matter within said thirty (30) day period; it shall not constitute “Good Reason” unless Executive separates from service not later than ninety (90) days following the end of the Company’s thirty (30) day cure period; and provided, further, however that the fact that the Company does or does not so remedy said matter shall not be deemed an admission by the Company that such circumstances constitute “Good Reason”.</w:t>
      </w:r>
    </w:p>
    <w:p>
      <w:pPr>
        <w:spacing w:after="0" w:line="60" w:lineRule="exact"/>
        <w:rPr>
          <w:sz w:val="20"/>
          <w:szCs w:val="20"/>
          <w:color w:val="auto"/>
        </w:rPr>
      </w:pPr>
    </w:p>
    <w:p>
      <w:pPr>
        <w:jc w:val="both"/>
        <w:ind w:firstLine="1304"/>
        <w:spacing w:after="0" w:line="225" w:lineRule="auto"/>
        <w:tabs>
          <w:tab w:leader="none" w:pos="193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means any two or more Persons who, directly or indirectly, through any contract, arrangement, understanding, relationship or otherwise, act as a partnership, limited partnership, syndicate or other group for the purpose of acquiring or holding securities of the Company or its Company Affiliates.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corporation, association, limited liability company, trust, joint venture, unincorporated organization or entity, or any government, governmental department or agency or political subdivision thereof.</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w:t>
      </w:r>
      <w:r>
        <w:rPr>
          <w:rFonts w:ascii="Times New Roman" w:cs="Times New Roman" w:eastAsia="Times New Roman" w:hAnsi="Times New Roman"/>
          <w:sz w:val="22"/>
          <w:szCs w:val="22"/>
          <w:color w:val="auto"/>
        </w:rPr>
        <w:t>All payments by the Company under this Agreement shall be reduced by all taxes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which the Company is required to withhold under applicable law.</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83"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4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not a contract of employment for a definite term and does not otherwise restrict Executive’s right, or that of the Company, to terminate Executive’s employment, with or without notice or Cause.</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the entire agreement between the parties with respect to the subject matter hereof and supersedes all prior communications, agreements and understandings, written or oral, with respect thereto; provided, however, that this Agreement shall not supersede or otherwise terminate any effective assignment Executive has made of any invention or other intellectual property to the Company or any of its Company Affiliates on or before the date of execution of this Agreement; nor shall this Agreement supersede or otherwise terminate any rights or remedies of the Company or any of its Company Affiliates arising from</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6" w:lineRule="exact"/>
        <w:rPr>
          <w:rFonts w:ascii="Times New Roman" w:cs="Times New Roman" w:eastAsia="Times New Roman" w:hAnsi="Times New Roman"/>
          <w:sz w:val="22"/>
          <w:szCs w:val="22"/>
          <w:color w:val="auto"/>
        </w:rPr>
      </w:pPr>
    </w:p>
    <w:p>
      <w:pPr>
        <w:ind w:left="5500" w:hanging="128"/>
        <w:spacing w:after="0"/>
        <w:tabs>
          <w:tab w:leader="none" w:pos="5500" w:val="left"/>
        </w:tabs>
        <w:numPr>
          <w:ilvl w:val="2"/>
          <w:numId w:val="47"/>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240"/>
          </w:cols>
          <w:pgMar w:left="320" w:top="1395" w:right="339" w:bottom="1440" w:gutter="0" w:footer="0" w:header="0"/>
        </w:sectPr>
      </w:pPr>
    </w:p>
    <w:bookmarkStart w:id="58" w:name="page59"/>
    <w:bookmarkEnd w:id="58"/>
    <w:p>
      <w:pPr>
        <w:jc w:val="both"/>
        <w:spacing w:after="0" w:line="225" w:lineRule="auto"/>
        <w:rPr>
          <w:sz w:val="20"/>
          <w:szCs w:val="20"/>
          <w:color w:val="auto"/>
        </w:rPr>
      </w:pPr>
      <w:r>
        <w:rPr>
          <w:rFonts w:ascii="Times New Roman" w:cs="Times New Roman" w:eastAsia="Times New Roman" w:hAnsi="Times New Roman"/>
          <w:sz w:val="22"/>
          <w:szCs w:val="22"/>
          <w:color w:val="auto"/>
        </w:rPr>
        <w:t>Executive’s obligations pursuant to any agreement with respect to confidentiality, non-competition, non-solicitation or the like in effect prior to the date of execution of this Agreement or under applicable law, all of which assignments and rights shall remain in full force and effect.</w:t>
      </w:r>
    </w:p>
    <w:p>
      <w:pPr>
        <w:spacing w:after="0" w:line="152" w:lineRule="exact"/>
        <w:rPr>
          <w:sz w:val="20"/>
          <w:szCs w:val="20"/>
          <w:color w:val="auto"/>
        </w:rPr>
      </w:pPr>
    </w:p>
    <w:p>
      <w:pPr>
        <w:jc w:val="both"/>
        <w:ind w:firstLine="1304"/>
        <w:spacing w:after="0" w:line="231" w:lineRule="auto"/>
        <w:tabs>
          <w:tab w:leader="none" w:pos="1941"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modification or amendment of this Agreement shall be valid unless in writing and signed by Executive and a duly authorized representative of the Company. The headings and captions in this Agreement are for convenience only and in no way define or describe the scope or content of any provision of this Agreement. This Agreement may be executed in two or more counterparts, each of which shall be an original and all of which together shall constitute one and the same instrument.</w:t>
      </w:r>
    </w:p>
    <w:p>
      <w:pPr>
        <w:spacing w:after="0" w:line="150"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Executive may make any assignment of this Agreement or any interest in it, by operation of law or otherwise, without the prior written consent of the other; provided, however, that in the event that the Company shall hereafter affect a reorganization, consolidate with, or merge into any entity or transfer all or substantially all of its properties or assets to any entity, the Company may assign its rights and obligations under this Agreement to such entity. This Agreement shall inure to the benefit of and be binding upon Executive and the Company, and each of their respective successors, executors, administrators, heirs and permitted assigns.</w:t>
      </w:r>
    </w:p>
    <w:p>
      <w:pPr>
        <w:spacing w:after="0" w:line="148"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Choice of Law. </w:t>
      </w:r>
      <w:r>
        <w:rPr>
          <w:rFonts w:ascii="Times New Roman" w:cs="Times New Roman" w:eastAsia="Times New Roman" w:hAnsi="Times New Roman"/>
          <w:sz w:val="22"/>
          <w:szCs w:val="22"/>
          <w:color w:val="auto"/>
        </w:rPr>
        <w:t>This Agreement will be governed by and construed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Georgia, without giving effect to any choice or conflict of law provision or rule (whether of the State of Georgia or any other jurisdiction) that would cause the application of the laws of any other jurisdiction. By executing this Agreement, the parties hereby irrevocably submit to the jurisdiction of the state and federal courts located in the State of Georgia for the purpose of any action or dispute between the parties to this Agreement arising in whole or in part under or in connection with this Agreement or the subject matter of this Agreement (other than an action brought to enforce a judgment by any such court), hereby waive and agree not to assert any defense that venue in such courts is improper, invalid or inconvenient (or any similar defense) and agree not to commence any action or dispute arising in whole or in part under or in connection with this Agreement in any court other than the above-named Georgia courts.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this page has been left blank intentionally.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240"/>
          </w:cols>
          <w:pgMar w:left="320" w:top="1395" w:right="339" w:bottom="1440" w:gutter="0" w:footer="0" w:header="0"/>
        </w:sectPr>
      </w:pPr>
    </w:p>
    <w:bookmarkStart w:id="59" w:name="page60"/>
    <w:bookmarkEnd w:id="59"/>
    <w:p>
      <w:pPr>
        <w:ind w:firstLine="324"/>
        <w:spacing w:after="0" w:line="271" w:lineRule="auto"/>
        <w:rPr>
          <w:sz w:val="20"/>
          <w:szCs w:val="20"/>
          <w:color w:val="auto"/>
        </w:rPr>
      </w:pPr>
      <w:r>
        <w:rPr>
          <w:rFonts w:ascii="Times New Roman" w:cs="Times New Roman" w:eastAsia="Times New Roman" w:hAnsi="Times New Roman"/>
          <w:sz w:val="22"/>
          <w:szCs w:val="22"/>
          <w:color w:val="auto"/>
        </w:rPr>
        <w:t>IN WITNESS WHEREOF, this Agreement has been executed as a sealed instrument by the Company, by a duly authorized representative, and by Executive, as of the Effective Date.</w:t>
      </w:r>
    </w:p>
    <w:p>
      <w:pPr>
        <w:spacing w:after="0" w:line="200" w:lineRule="exact"/>
        <w:rPr>
          <w:sz w:val="20"/>
          <w:szCs w:val="20"/>
          <w:color w:val="auto"/>
        </w:rPr>
      </w:pPr>
    </w:p>
    <w:p>
      <w:pPr>
        <w:spacing w:after="0" w:line="282"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22"/>
          <w:szCs w:val="22"/>
          <w:color w:val="auto"/>
        </w:rPr>
        <w:t>EXECUTIVE:</w:t>
      </w:r>
      <w:r>
        <w:rPr>
          <w:sz w:val="20"/>
          <w:szCs w:val="20"/>
          <w:color w:val="auto"/>
        </w:rPr>
        <w:tab/>
      </w:r>
      <w:r>
        <w:rPr>
          <w:rFonts w:ascii="Times New Roman" w:cs="Times New Roman" w:eastAsia="Times New Roman" w:hAnsi="Times New Roman"/>
          <w:sz w:val="22"/>
          <w:szCs w:val="22"/>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-13970</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-13970</wp:posOffset>
            </wp:positionV>
            <wp:extent cx="822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00"/>
          </w:cols>
          <w:pgMar w:left="320" w:top="1422" w:right="5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Price John, certify that:</w:t>
      </w:r>
    </w:p>
    <w:p>
      <w:pPr>
        <w:spacing w:after="0" w:line="131"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1500"/>
        <w:spacing w:after="0"/>
        <w:tabs>
          <w:tab w:leader="none" w:pos="594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SHARON PRICE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2434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434590" cy="17145"/>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Sharon Price John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Chief Executive Officer &amp; President</w:t>
      </w:r>
    </w:p>
    <w:p>
      <w:pPr>
        <w:sectPr>
          <w:pgSz w:w="11900" w:h="16838" w:orient="portrait"/>
          <w:cols w:equalWidth="0" w:num="1">
            <w:col w:w="11240"/>
          </w:cols>
          <w:pgMar w:left="320" w:top="113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640"/>
        <w:spacing w:after="0"/>
        <w:tabs>
          <w:tab w:leader="none" w:pos="574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24688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Chief Financial Officer &amp; Chief Operating Officer</w:t>
      </w:r>
    </w:p>
    <w:p>
      <w:pPr>
        <w:sectPr>
          <w:pgSz w:w="11900" w:h="16838" w:orient="portrait"/>
          <w:cols w:equalWidth="0" w:num="1">
            <w:col w:w="11240"/>
          </w:cols>
          <w:pgMar w:left="320" w:top="101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or her knowledge, this Report on Form 10-Q for the fiscal quarter ended October 3, 2026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86" w:lineRule="exact"/>
        <w:rPr>
          <w:sz w:val="20"/>
          <w:szCs w:val="20"/>
          <w:color w:val="auto"/>
        </w:rPr>
      </w:pPr>
    </w:p>
    <w:p>
      <w:pPr>
        <w:ind w:left="2460"/>
        <w:spacing w:after="0"/>
        <w:tabs>
          <w:tab w:leader="none" w:pos="408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8"/>
          <w:szCs w:val="18"/>
          <w:color w:val="auto"/>
        </w:rPr>
        <w:t>/s/ SHARON PRICE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17145</wp:posOffset>
            </wp:positionV>
            <wp:extent cx="299148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Sharon Price John</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i w:val="1"/>
          <w:iCs w:val="1"/>
          <w:color w:val="auto"/>
        </w:rPr>
        <w:t>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60"/>
        <w:spacing w:after="0"/>
        <w:tabs>
          <w:tab w:leader="none" w:pos="408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26035</wp:posOffset>
            </wp:positionV>
            <wp:extent cx="299148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4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i w:val="1"/>
          <w:iCs w:val="1"/>
          <w:color w:val="auto"/>
        </w:rPr>
        <w:t>Chief Financial Officer &amp; Chief Operating Officer</w:t>
      </w:r>
    </w:p>
    <w:p>
      <w:pPr>
        <w:spacing w:after="0" w:line="32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
      <w:numFmt w:val="bullet"/>
      <w:start w:val="1"/>
    </w:lvl>
    <w:lvl w:ilvl="1">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2">
    <w:nsid w:val="77465F01"/>
    <w:multiLevelType w:val="hybridMultilevel"/>
    <w:lvl w:ilvl="0">
      <w:lvlJc w:val="left"/>
      <w:lvlText w:val="%1"/>
      <w:numFmt w:val="decimal"/>
      <w:start w:val="1"/>
    </w:lvl>
    <w:lvl w:ilvl="1">
      <w:lvlJc w:val="left"/>
      <w:lvlText w:val="(%2)"/>
      <w:numFmt w:val="lowerLetter"/>
      <w:start w:val="3"/>
    </w:lvl>
  </w:abstractNum>
  <w:abstractNum w:abstractNumId="23">
    <w:nsid w:val="7724C67E"/>
    <w:multiLevelType w:val="hybridMultilevel"/>
    <w:lvl w:ilvl="0">
      <w:lvlJc w:val="left"/>
      <w:lvlText w:val="%1."/>
      <w:numFmt w:val="decimal"/>
      <w:start w:val="4"/>
    </w:lvl>
    <w:lvl w:ilvl="1">
      <w:lvlJc w:val="left"/>
      <w:lvlText w:val="(%2)"/>
      <w:numFmt w:val="lowerLetter"/>
      <w:start w:val="1"/>
    </w:lvl>
  </w:abstractNum>
  <w:abstractNum w:abstractNumId="24">
    <w:nsid w:val="5C482A97"/>
    <w:multiLevelType w:val="hybridMultilevel"/>
    <w:lvl w:ilvl="0">
      <w:lvlJc w:val="left"/>
      <w:lvlText w:val="(%1)"/>
      <w:numFmt w:val="lowerRoman"/>
      <w:start w:val="1"/>
    </w:lvl>
    <w:lvl w:ilvl="1">
      <w:lvlJc w:val="left"/>
      <w:lvlText w:val="-"/>
      <w:numFmt w:val="bullet"/>
      <w:start w:val="1"/>
    </w:lvl>
  </w:abstractNum>
  <w:abstractNum w:abstractNumId="25">
    <w:nsid w:val="2463B9EA"/>
    <w:multiLevelType w:val="hybridMultilevel"/>
    <w:lvl w:ilvl="0">
      <w:lvlJc w:val="left"/>
      <w:lvlText w:val="(%1)"/>
      <w:numFmt w:val="lowerRoman"/>
      <w:start w:val="3"/>
    </w:lvl>
  </w:abstractNum>
  <w:abstractNum w:abstractNumId="26">
    <w:nsid w:val="5E884ADC"/>
    <w:multiLevelType w:val="hybridMultilevel"/>
    <w:lvl w:ilvl="0">
      <w:lvlJc w:val="left"/>
      <w:lvlText w:val="(%1)"/>
      <w:numFmt w:val="lowerLetter"/>
      <w:start w:val="3"/>
    </w:lvl>
  </w:abstractNum>
  <w:abstractNum w:abstractNumId="27">
    <w:nsid w:val="51EAD36B"/>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28">
    <w:nsid w:val="2D517796"/>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9">
    <w:nsid w:val="580BD78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30">
    <w:nsid w:val="153EA438"/>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
      <w:numFmt w:val="bullet"/>
      <w:start w:val="1"/>
    </w:lvl>
  </w:abstractNum>
  <w:abstractNum w:abstractNumId="31">
    <w:nsid w:val="3855585C"/>
    <w:multiLevelType w:val="hybridMultilevel"/>
    <w:lvl w:ilvl="0">
      <w:lvlJc w:val="left"/>
      <w:lvlText w:val="(%1)"/>
      <w:numFmt w:val="decimal"/>
      <w:start w:val="17"/>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2">
    <w:nsid w:val="70A64E2A"/>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3">
    <w:nsid w:val="6A2342E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4">
    <w:nsid w:val="2A487CB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5">
    <w:nsid w:val="1D4ED43B"/>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6">
    <w:nsid w:val="725A06FB"/>
    <w:multiLevelType w:val="hybridMultilevel"/>
    <w:lvl w:ilvl="0">
      <w:lvlJc w:val="left"/>
      <w:lvlText w:val="(%1)"/>
      <w:numFmt w:val="lowerLetter"/>
      <w:start w:val="2"/>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lowerLetter"/>
      <w:start w:val="3"/>
    </w:lvl>
    <w:lvl w:ilvl="1">
      <w:lvlJc w:val="left"/>
      <w:lvlText w:val="-"/>
      <w:numFmt w:val="bullet"/>
      <w:start w:val="1"/>
    </w:lvl>
  </w:abstractNum>
  <w:abstractNum w:abstractNumId="39">
    <w:nsid w:val="7A6D8D3C"/>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40">
    <w:nsid w:val="4B588F54"/>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41">
    <w:nsid w:val="542289EC"/>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2">
    <w:nsid w:val="6DE91B18"/>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43">
    <w:nsid w:val="38437FDB"/>
    <w:multiLevelType w:val="hybridMultilevel"/>
    <w:lvl w:ilvl="0">
      <w:lvlJc w:val="left"/>
      <w:lvlText w:val="(%1)"/>
      <w:numFmt w:val="lowerLetter"/>
      <w:start w:val="8"/>
    </w:lvl>
  </w:abstractNum>
  <w:abstractNum w:abstractNumId="44">
    <w:nsid w:val="7644A45C"/>
    <w:multiLevelType w:val="hybridMultilevel"/>
    <w:lvl w:ilvl="0">
      <w:lvlJc w:val="left"/>
      <w:lvlText w:val="(%1)"/>
      <w:numFmt w:val="lowerRoman"/>
      <w:start w:val="2"/>
    </w:lvl>
  </w:abstractNum>
  <w:abstractNum w:abstractNumId="45">
    <w:nsid w:val="32FFF902"/>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46">
    <w:nsid w:val="684A481A"/>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3"/>
    </w:lvl>
  </w:abstractNum>
  <w:abstractNum w:abstractNumId="48">
    <w:nsid w:val="749ABB43"/>
    <w:multiLevelType w:val="hybridMultilevel"/>
    <w:lvl w:ilvl="0">
      <w:lvlJc w:val="left"/>
      <w:lvlText w:val="%1."/>
      <w:numFmt w:val="decimal"/>
      <w:start w:val="15"/>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59" Type="http://schemas.openxmlformats.org/officeDocument/2006/relationships/hyperlink" Target="https://www.sec.gov/Archives/edgar/data/1060822/000119312517179483/d400342dex31.htm" TargetMode="External"/><Relationship Id="rId60" Type="http://schemas.openxmlformats.org/officeDocument/2006/relationships/hyperlink" Target="https://www.sec.gov/Archives/edgar/data/1060822/000106082225000160/cartersinc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2026-10-30T11:25:24Z</dcterms:created>
  <dcterms:modified xsi:type="dcterms:W3CDTF">2026-10-30T11:25:24Z</dcterms:modified>
</cp:coreProperties>
</file>