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pPr>
      <w:r>
        <w:rPr>
          <w:color w:val="000000"/>
        </w:rPr>
        <w:t>          </w:t>
      </w:r>
      <w:r>
        <w:rPr>
          <w:rFonts w:ascii="Times New Roman;serif" w:hAnsi="Times New Roman;serif"/>
          <w:b/>
          <w:color w:val="000000"/>
          <w:sz w:val="36"/>
        </w:rPr>
        <w:t>SECURITIES AND EXCHANGE COMMISSION</w:t>
      </w:r>
    </w:p>
    <w:p>
      <w:pPr>
        <w:pStyle w:val="TextBody"/>
        <w:bidi w:val="0"/>
        <w:spacing w:lineRule="auto" w:line="288" w:before="0" w:after="120"/>
        <w:jc w:val="center"/>
        <w:rPr/>
      </w:pPr>
      <w:r>
        <w:rPr>
          <w:color w:val="000000"/>
        </w:rPr>
        <w:t> </w:t>
      </w: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pPr>
      <w:r>
        <w:rPr>
          <w:rFonts w:ascii="Times New Roman;serif" w:hAnsi="Times New Roman;serif"/>
          <w:b/>
          <w:color w:val="000000"/>
          <w:sz w:val="24"/>
        </w:rPr>
        <w:t>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31, 2026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14" w:type="dxa"/>
        <w:jc w:val="left"/>
        <w:tblInd w:w="0" w:type="dxa"/>
        <w:tblLayout w:type="fixed"/>
        <w:tblCellMar>
          <w:top w:w="28" w:type="dxa"/>
          <w:left w:w="28" w:type="dxa"/>
          <w:bottom w:w="28" w:type="dxa"/>
          <w:right w:w="28" w:type="dxa"/>
        </w:tblCellMar>
      </w:tblPr>
      <w:tblGrid>
        <w:gridCol w:w="1446"/>
        <w:gridCol w:w="1270"/>
        <w:gridCol w:w="1798"/>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Carter’s, Inc.</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001-31829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13-3912933</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Phipps Tower, </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3438 Peachtree Road NE, Suite 1800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Atlanta, Georgia 30326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 xml:space="preserve">(678) 791-1000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4" w:type="dxa"/>
        <w:jc w:val="left"/>
        <w:tblInd w:w="0" w:type="dxa"/>
        <w:tblLayout w:type="fixed"/>
        <w:tblCellMar>
          <w:top w:w="28" w:type="dxa"/>
          <w:left w:w="28" w:type="dxa"/>
          <w:bottom w:w="28" w:type="dxa"/>
          <w:right w:w="28" w:type="dxa"/>
        </w:tblCellMar>
      </w:tblPr>
      <w:tblGrid>
        <w:gridCol w:w="1252"/>
        <w:gridCol w:w="1100"/>
        <w:gridCol w:w="1113"/>
        <w:gridCol w:w="564"/>
        <w:gridCol w:w="564"/>
        <w:gridCol w:w="566"/>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CRI</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Purchase Rights</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July 31, 2026, Carter’s, Inc. issued a press release announcing its financial results for its fiscal quarter ended July 4, 2026. A copy of that press release is attached as Exhibit 99.1 to this Current Report on Form 8-K.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the Current Report on Form 8-K is being furnished and shall not be deemed "filed" for the purposes of Section 18 of the Securities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470" w:type="dxa"/>
        <w:jc w:val="left"/>
        <w:tblInd w:w="0" w:type="dxa"/>
        <w:tblLayout w:type="fixed"/>
        <w:tblCellMar>
          <w:top w:w="28" w:type="dxa"/>
          <w:left w:w="28" w:type="dxa"/>
          <w:bottom w:w="28" w:type="dxa"/>
          <w:right w:w="28" w:type="dxa"/>
        </w:tblCellMar>
      </w:tblPr>
      <w:tblGrid>
        <w:gridCol w:w="294"/>
        <w:gridCol w:w="258"/>
        <w:gridCol w:w="259"/>
        <w:gridCol w:w="1945"/>
        <w:gridCol w:w="1945"/>
        <w:gridCol w:w="276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7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i-ex991q22026.htm">
              <w:r>
                <w:rPr>
                  <w:rStyle w:val="InternetLink"/>
                  <w:rFonts w:ascii="Times New Roman;serif" w:hAnsi="Times New Roman;serif"/>
                  <w:b w:val="false"/>
                  <w:color w:val="0000FF"/>
                  <w:sz w:val="20"/>
                  <w:u w:val="single"/>
                </w:rPr>
                <w:t>Press release dated July 31,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Carter’s, Inc. has duly caused this report to be signed on its behalf by the undersigned hereunto duly authorized.</w:t>
      </w:r>
    </w:p>
    <w:p>
      <w:pPr>
        <w:pStyle w:val="TextBody"/>
        <w:bidi w:val="0"/>
        <w:spacing w:before="0" w:after="0"/>
        <w:ind w:left="0" w:right="0" w:firstLine="6480"/>
        <w:jc w:val="left"/>
        <w:rPr/>
      </w:pPr>
      <w:r>
        <w:rPr/>
      </w:r>
    </w:p>
    <w:tbl>
      <w:tblPr>
        <w:tblW w:w="7339" w:type="dxa"/>
        <w:jc w:val="left"/>
        <w:tblInd w:w="0" w:type="dxa"/>
        <w:tblLayout w:type="fixed"/>
        <w:tblCellMar>
          <w:top w:w="28" w:type="dxa"/>
          <w:left w:w="28" w:type="dxa"/>
          <w:bottom w:w="28" w:type="dxa"/>
          <w:right w:w="28" w:type="dxa"/>
        </w:tblCellMar>
      </w:tblPr>
      <w:tblGrid>
        <w:gridCol w:w="443"/>
        <w:gridCol w:w="390"/>
        <w:gridCol w:w="396"/>
        <w:gridCol w:w="242"/>
        <w:gridCol w:w="242"/>
        <w:gridCol w:w="242"/>
        <w:gridCol w:w="1560"/>
        <w:gridCol w:w="1560"/>
        <w:gridCol w:w="226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6110"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CARTER’S, INC.</w:t>
            </w:r>
          </w:p>
          <w:p>
            <w:pPr>
              <w:pStyle w:val="TableContents"/>
              <w:bidi w:val="0"/>
              <w:spacing w:lineRule="auto" w:line="240" w:before="0" w:after="0"/>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Antonio D. Robinson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Antonio D. Robinson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Administrative &amp; Compliance Officer,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color w:val="000000"/>
        </w:rPr>
      </w:pPr>
      <w:r>
        <w:rPr>
          <w:color w:val="000000"/>
        </w:rPr>
        <w:t>                                            </w:t>
      </w:r>
      <w:r>
        <w:rPr>
          <w:rFonts w:ascii="Times New Roman;serif" w:hAnsi="Times New Roman;serif"/>
          <w:b w:val="false"/>
          <w:color w:val="000000"/>
          <w:sz w:val="20"/>
        </w:rPr>
        <w:t>EXHIBIT 99.1</w:t>
      </w:r>
    </w:p>
    <w:p>
      <w:pPr>
        <w:pStyle w:val="TextBody"/>
        <w:bidi w:val="0"/>
        <w:spacing w:lineRule="auto" w:line="288" w:before="0" w:after="0"/>
        <w:jc w:val="both"/>
        <w:rPr>
          <w:color w:val="000000"/>
        </w:rPr>
      </w:pPr>
      <w:r>
        <w:rPr>
          <w:color w:val="000000"/>
        </w:rPr>
        <w:t>                                                </w:t>
      </w:r>
    </w:p>
    <w:tbl>
      <w:tblPr>
        <w:tblW w:w="3641" w:type="dxa"/>
        <w:jc w:val="left"/>
        <w:tblInd w:w="0" w:type="dxa"/>
        <w:tblLayout w:type="fixed"/>
        <w:tblCellMar>
          <w:top w:w="28" w:type="dxa"/>
          <w:left w:w="28" w:type="dxa"/>
          <w:bottom w:w="28" w:type="dxa"/>
          <w:right w:w="28" w:type="dxa"/>
        </w:tblCellMar>
      </w:tblPr>
      <w:tblGrid>
        <w:gridCol w:w="266"/>
        <w:gridCol w:w="234"/>
        <w:gridCol w:w="234"/>
        <w:gridCol w:w="234"/>
        <w:gridCol w:w="234"/>
        <w:gridCol w:w="234"/>
        <w:gridCol w:w="234"/>
        <w:gridCol w:w="234"/>
        <w:gridCol w:w="234"/>
        <w:gridCol w:w="234"/>
        <w:gridCol w:w="234"/>
        <w:gridCol w:w="234"/>
        <w:gridCol w:w="234"/>
        <w:gridCol w:w="234"/>
        <w:gridCol w:w="33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41" w:type="dxa"/>
            <w:gridSpan w:val="15"/>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19325" cy="342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19325" cy="342900"/>
                          </a:xfrm>
                          <a:prstGeom prst="rect">
                            <a:avLst/>
                          </a:prstGeom>
                        </pic:spPr>
                      </pic:pic>
                    </a:graphicData>
                  </a:graphic>
                </wp:inline>
              </w:drawing>
            </w:r>
          </w:p>
        </w:tc>
      </w:tr>
    </w:tbl>
    <w:tbl>
      <w:tblPr>
        <w:tblW w:w="3701" w:type="dxa"/>
        <w:jc w:val="left"/>
        <w:tblInd w:w="0" w:type="dxa"/>
        <w:tblLayout w:type="fixed"/>
        <w:tblCellMar>
          <w:top w:w="28" w:type="dxa"/>
          <w:left w:w="28" w:type="dxa"/>
          <w:bottom w:w="28" w:type="dxa"/>
          <w:right w:w="28" w:type="dxa"/>
        </w:tblCellMar>
      </w:tblPr>
      <w:tblGrid>
        <w:gridCol w:w="124"/>
        <w:gridCol w:w="109"/>
        <w:gridCol w:w="109"/>
        <w:gridCol w:w="979"/>
        <w:gridCol w:w="979"/>
        <w:gridCol w:w="14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T.C. Robillard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tc.robillard@carters.com</w:t>
            </w:r>
          </w:p>
        </w:tc>
      </w:tr>
    </w:tbl>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8"/>
        </w:rPr>
        <w:t>Carter</w:t>
      </w:r>
      <w:r>
        <w:rPr>
          <w:color w:val="000000"/>
        </w:rPr>
        <w:t>’</w:t>
      </w:r>
      <w:r>
        <w:rPr>
          <w:rFonts w:ascii="Times New Roman;serif" w:hAnsi="Times New Roman;serif"/>
          <w:b/>
          <w:color w:val="000000"/>
          <w:sz w:val="28"/>
        </w:rPr>
        <w:t>s, Inc. Reports Second Quarter Fiscal 2026 Results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Net sales $615 million vs. $585 million in Q2 2025; growth of 5%</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U.S. Retail comparable sales increased 5.1%</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Operating income $140 million vs. $4 million in Q2 2025; Adjusted operating income $18 million vs. $12 million in Q2 2025, growth of 54%</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Diluted EPS $2.87 vs. $0.01 in Q2 2025; Adjusted diluted EPS $0.26 vs. $0.17 in Q2 2025, growth of 53%</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Received $132 million ($100 million after-tax) recovery of previously paid import duties and related interest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Returned $18 million to shareholders through dividends in the first half of fiscal 2026</w:t>
      </w:r>
    </w:p>
    <w:p>
      <w:pPr>
        <w:pStyle w:val="TextBody"/>
        <w:bidi w:val="0"/>
        <w:spacing w:lineRule="auto" w:line="288" w:before="0" w:after="200"/>
        <w:ind w:left="0" w:right="0" w:hanging="360"/>
        <w:jc w:val="left"/>
        <w:rPr/>
      </w:pPr>
      <w:r>
        <w:rPr>
          <w:color w:val="000000"/>
          <w:shd w:fill="FFFFFF" w:val="clear"/>
        </w:rPr>
        <w:t>•</w:t>
      </w:r>
      <w:r>
        <w:rPr>
          <w:rFonts w:ascii="Times New Roman;serif" w:hAnsi="Times New Roman;serif"/>
          <w:b/>
          <w:color w:val="000000"/>
          <w:sz w:val="24"/>
          <w:shd w:fill="FFFFFF" w:val="clear"/>
        </w:rPr>
        <w:t>Updates full year 2026 outlook</w:t>
      </w:r>
    </w:p>
    <w:p>
      <w:pPr>
        <w:pStyle w:val="TextBody"/>
        <w:bidi w:val="0"/>
        <w:spacing w:lineRule="auto" w:line="360" w:before="0" w:after="120"/>
        <w:jc w:val="left"/>
        <w:rPr>
          <w:rFonts w:ascii="Times New Roman;serif" w:hAnsi="Times New Roman;serif"/>
          <w:b w:val="false"/>
          <w:color w:val="000000"/>
          <w:sz w:val="24"/>
        </w:rPr>
      </w:pPr>
      <w:r>
        <w:rPr>
          <w:rFonts w:ascii="Times New Roman;serif" w:hAnsi="Times New Roman;serif"/>
          <w:b w:val="false"/>
          <w:color w:val="000000"/>
          <w:sz w:val="24"/>
        </w:rPr>
        <w:t>ATLANTA, July 31, 2026 — Carter’s, Inc. (NYSE:CRI), North America’s largest and most-enduring apparel company exclusively for babies and young children, today reported its second quarter fiscal 2026 results.</w:t>
      </w:r>
    </w:p>
    <w:p>
      <w:pPr>
        <w:pStyle w:val="TextBody"/>
        <w:bidi w:val="0"/>
        <w:spacing w:lineRule="auto" w:line="360" w:before="0" w:after="0"/>
        <w:jc w:val="left"/>
        <w:rPr>
          <w:color w:val="000000"/>
        </w:rPr>
      </w:pPr>
      <w:r>
        <w:rPr>
          <w:color w:val="000000"/>
        </w:rPr>
        <w:t>“</w:t>
      </w:r>
      <w:r>
        <w:rPr>
          <w:rFonts w:ascii="Times New Roman;serif" w:hAnsi="Times New Roman;serif"/>
          <w:b w:val="false"/>
          <w:color w:val="000000"/>
          <w:sz w:val="24"/>
        </w:rPr>
        <w:t>Demonstrating continued momentum, the Company posted positive results for the quarter as net sales increased 5% and adjusted operating profit increased 54%, exceeding the prior outlook. While there were a number of moving parts in the quarter, we believe these results are largely reflective of improved marketing efforts, the early benefit of productivity initiatives, and continued progress in the critical Baby segment,” said Sharon Price John, Chief Executive Officer &amp; President. “Separately, having recently joined the organization, I look forward to leading this historic company into its next exciting chapter. Carter’s is the market share leader in its category fueled by a well-established, diversified business model and powerful assets including its iconic brands, providing a wealth of opportunity to unlock value, drive profitable growth and deliver meaningful shareholder returns.”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Adjustments to Reported GAAP Results</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to the results presented in this earnings release in accordance with GAAP, the Company has provided adjusted, non-GAAP financial measurements, as presented below. The Company believes these non-GAAP financial measurements provide a meaningful comparison of the Company’s results and afford investors a view of what management considers to be the Company’s underlying performance. These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measures are presented for informational purposes only. See “Reconciliation of Adjusted Results to GAAP” section of this release for additional disclosures and reconciliations regarding these non-GAAP financial measures. </w:t>
      </w:r>
    </w:p>
    <w:p>
      <w:pPr>
        <w:pStyle w:val="TextBody"/>
        <w:bidi w:val="0"/>
        <w:spacing w:lineRule="auto" w:line="417" w:before="0" w:after="1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Second quarter and first half fiscal 2026 results included a benefit related to the receipt of a refund of previously paid import duties and related interest as well as expenses associated with leadership transition and intellectual property litigation costs. Second quarter and first half fiscal 2025 results included expenses related to operating model improvement initiatives and leadership transition costs. </w:t>
      </w:r>
    </w:p>
    <w:tbl>
      <w:tblPr>
        <w:tblW w:w="10205" w:type="dxa"/>
        <w:jc w:val="left"/>
        <w:tblInd w:w="0" w:type="dxa"/>
        <w:tblLayout w:type="fixed"/>
        <w:tblCellMar>
          <w:top w:w="28" w:type="dxa"/>
          <w:left w:w="28" w:type="dxa"/>
          <w:bottom w:w="28" w:type="dxa"/>
          <w:right w:w="28" w:type="dxa"/>
        </w:tblCellMar>
      </w:tblPr>
      <w:tblGrid>
        <w:gridCol w:w="582"/>
        <w:gridCol w:w="236"/>
        <w:gridCol w:w="238"/>
        <w:gridCol w:w="198"/>
        <w:gridCol w:w="578"/>
        <w:gridCol w:w="111"/>
        <w:gridCol w:w="109"/>
        <w:gridCol w:w="109"/>
        <w:gridCol w:w="109"/>
        <w:gridCol w:w="240"/>
        <w:gridCol w:w="241"/>
        <w:gridCol w:w="344"/>
        <w:gridCol w:w="109"/>
        <w:gridCol w:w="109"/>
        <w:gridCol w:w="109"/>
        <w:gridCol w:w="196"/>
        <w:gridCol w:w="571"/>
        <w:gridCol w:w="109"/>
        <w:gridCol w:w="109"/>
        <w:gridCol w:w="109"/>
        <w:gridCol w:w="109"/>
        <w:gridCol w:w="196"/>
        <w:gridCol w:w="481"/>
        <w:gridCol w:w="109"/>
        <w:gridCol w:w="109"/>
        <w:gridCol w:w="109"/>
        <w:gridCol w:w="109"/>
        <w:gridCol w:w="109"/>
        <w:gridCol w:w="109"/>
        <w:gridCol w:w="109"/>
        <w:gridCol w:w="220"/>
        <w:gridCol w:w="543"/>
        <w:gridCol w:w="124"/>
        <w:gridCol w:w="109"/>
        <w:gridCol w:w="109"/>
        <w:gridCol w:w="109"/>
        <w:gridCol w:w="222"/>
        <w:gridCol w:w="169"/>
        <w:gridCol w:w="344"/>
        <w:gridCol w:w="109"/>
        <w:gridCol w:w="109"/>
        <w:gridCol w:w="109"/>
        <w:gridCol w:w="196"/>
        <w:gridCol w:w="391"/>
        <w:gridCol w:w="109"/>
        <w:gridCol w:w="109"/>
        <w:gridCol w:w="109"/>
        <w:gridCol w:w="109"/>
        <w:gridCol w:w="196"/>
        <w:gridCol w:w="481"/>
        <w:gridCol w:w="164"/>
      </w:tblGrid>
      <w:tr>
        <w:trPr/>
        <w:tc>
          <w:tcPr>
            <w:tcW w:w="5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4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 Fiscal Quarter</w:t>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earnings per share)</w:t>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139.8</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w:t>
            </w:r>
            <w:r>
              <w:rPr>
                <w:color w:val="000000"/>
              </w:rPr>
              <w:t> </w:t>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color w:val="000000"/>
              </w:rPr>
              <w:t xml:space="preserve"> </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Leadership transition costs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 litigation</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model improvement costs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0.17</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76" w:type="dxa"/>
        <w:jc w:val="center"/>
        <w:tblInd w:w="0" w:type="dxa"/>
        <w:tblLayout w:type="fixed"/>
        <w:tblCellMar>
          <w:top w:w="28" w:type="dxa"/>
          <w:left w:w="28" w:type="dxa"/>
          <w:bottom w:w="28" w:type="dxa"/>
          <w:right w:w="28" w:type="dxa"/>
        </w:tblCellMar>
      </w:tblPr>
      <w:tblGrid>
        <w:gridCol w:w="581"/>
        <w:gridCol w:w="234"/>
        <w:gridCol w:w="236"/>
        <w:gridCol w:w="198"/>
        <w:gridCol w:w="577"/>
        <w:gridCol w:w="111"/>
        <w:gridCol w:w="109"/>
        <w:gridCol w:w="109"/>
        <w:gridCol w:w="109"/>
        <w:gridCol w:w="240"/>
        <w:gridCol w:w="241"/>
        <w:gridCol w:w="343"/>
        <w:gridCol w:w="109"/>
        <w:gridCol w:w="109"/>
        <w:gridCol w:w="109"/>
        <w:gridCol w:w="196"/>
        <w:gridCol w:w="571"/>
        <w:gridCol w:w="109"/>
        <w:gridCol w:w="109"/>
        <w:gridCol w:w="109"/>
        <w:gridCol w:w="109"/>
        <w:gridCol w:w="196"/>
        <w:gridCol w:w="481"/>
        <w:gridCol w:w="109"/>
        <w:gridCol w:w="109"/>
        <w:gridCol w:w="109"/>
        <w:gridCol w:w="109"/>
        <w:gridCol w:w="109"/>
        <w:gridCol w:w="109"/>
        <w:gridCol w:w="109"/>
        <w:gridCol w:w="220"/>
        <w:gridCol w:w="542"/>
        <w:gridCol w:w="124"/>
        <w:gridCol w:w="109"/>
        <w:gridCol w:w="109"/>
        <w:gridCol w:w="109"/>
        <w:gridCol w:w="222"/>
        <w:gridCol w:w="169"/>
        <w:gridCol w:w="343"/>
        <w:gridCol w:w="109"/>
        <w:gridCol w:w="109"/>
        <w:gridCol w:w="109"/>
        <w:gridCol w:w="196"/>
        <w:gridCol w:w="481"/>
        <w:gridCol w:w="109"/>
        <w:gridCol w:w="109"/>
        <w:gridCol w:w="109"/>
        <w:gridCol w:w="109"/>
        <w:gridCol w:w="196"/>
        <w:gridCol w:w="48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4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Half</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earnings per share)</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168.3</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0.43</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color w:val="000000"/>
              </w:rPr>
              <w:t xml:space="preserve"> </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Leadership transition costs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 litigation</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model improvement costs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16"/>
        </w:rPr>
      </w:pPr>
      <w:r>
        <w:rPr>
          <w:rFonts w:ascii="Times New Roman;serif" w:hAnsi="Times New Roman;serif"/>
          <w:b w:val="false"/>
          <w:i/>
          <w:color w:val="000000"/>
          <w:sz w:val="16"/>
        </w:rPr>
        <w:t xml:space="preserve">Note: Results may not be additive due to rounding. </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Consolidated Results</w:t>
      </w:r>
    </w:p>
    <w:p>
      <w:pPr>
        <w:pStyle w:val="TextBody"/>
        <w:bidi w:val="0"/>
        <w:spacing w:lineRule="auto" w:line="417" w:before="0" w:after="0"/>
        <w:jc w:val="left"/>
        <w:rPr>
          <w:rFonts w:ascii="Times New Roman;serif" w:hAnsi="Times New Roman;serif"/>
          <w:b w:val="false"/>
          <w:i/>
          <w:color w:val="000000"/>
          <w:sz w:val="24"/>
        </w:rPr>
      </w:pPr>
      <w:r>
        <w:rPr>
          <w:rFonts w:ascii="Times New Roman;serif" w:hAnsi="Times New Roman;serif"/>
          <w:b w:val="false"/>
          <w:i/>
          <w:color w:val="000000"/>
          <w:sz w:val="24"/>
        </w:rPr>
        <w:t>Second Quarter of Fiscal 2026 compared to Second Quarter of Fiscal 2025</w:t>
      </w:r>
    </w:p>
    <w:p>
      <w:pPr>
        <w:pStyle w:val="TextBody"/>
        <w:bidi w:val="0"/>
        <w:spacing w:lineRule="auto" w:line="417" w:before="0" w:after="120"/>
        <w:jc w:val="left"/>
        <w:rPr/>
      </w:pPr>
      <w:r>
        <w:rPr>
          <w:rFonts w:ascii="Times New Roman;serif" w:hAnsi="Times New Roman;serif"/>
          <w:b w:val="false"/>
          <w:color w:val="000000"/>
          <w:sz w:val="24"/>
        </w:rPr>
        <w:t xml:space="preserve">Net sales increased $30.2 million, or 5.2%, to $615.5 million, compared to $585.3 million in the second quarter of fiscal 2025, reflecting growth in each segment. Net sales in the U.S. Wholesale, U.S. Retail, and International segments grew 11.7%, 1.7%, and 2.7%, respectively. </w:t>
      </w:r>
      <w:r>
        <w:rPr>
          <w:rFonts w:ascii="Times New Roman;serif" w:hAnsi="Times New Roman;serif"/>
          <w:b w:val="false"/>
          <w:color w:val="000000"/>
          <w:sz w:val="24"/>
          <w:shd w:fill="FFFFFF" w:val="clear"/>
        </w:rPr>
        <w:t>U.S. Retail comparable net sales increased 5.1%. Changes in foreign currency exchange rates used for trans</w:t>
      </w:r>
      <w:r>
        <w:rPr>
          <w:rFonts w:ascii="Times New Roman;serif" w:hAnsi="Times New Roman;serif"/>
          <w:b w:val="false"/>
          <w:color w:val="000000"/>
          <w:sz w:val="24"/>
        </w:rPr>
        <w:t>lation had a favorable effect on consolidated net sales of approximately $2.4 million, or 0.4% in the second quarter of fiscal 2026, as compared to the second quarter of fiscal 2025.</w:t>
      </w:r>
    </w:p>
    <w:p>
      <w:pPr>
        <w:pStyle w:val="TextBody"/>
        <w:bidi w:val="0"/>
        <w:spacing w:lineRule="auto" w:line="417" w:before="0" w:after="120"/>
        <w:jc w:val="left"/>
        <w:rPr/>
      </w:pPr>
      <w:r>
        <w:rPr>
          <w:rFonts w:ascii="Times New Roman;serif" w:hAnsi="Times New Roman;serif"/>
          <w:b w:val="false"/>
          <w:color w:val="000000"/>
          <w:sz w:val="24"/>
        </w:rPr>
        <w:t xml:space="preserve">Operating income increased $135.8 million to $139.8 million, compared to $4.0 million in the second quarter of fiscal 2025, </w:t>
      </w:r>
      <w:r>
        <w:rPr>
          <w:rFonts w:ascii="Times New Roman;serif" w:hAnsi="Times New Roman;serif"/>
          <w:b w:val="false"/>
          <w:color w:val="000000"/>
          <w:sz w:val="24"/>
          <w:shd w:fill="FFFFFF" w:val="clear"/>
        </w:rPr>
        <w:t>reflecting a recovery of previously paid import duties and benefits from productivity and supply chain initiatives, partially offset by net incremental tariff costs, investments in demand creation, general inflationary cost pressure, as well as costs related to leadership transition</w:t>
      </w:r>
      <w:r>
        <w:rPr>
          <w:rFonts w:ascii="Times New Roman;serif" w:hAnsi="Times New Roman;serif"/>
          <w:b w:val="false"/>
          <w:color w:val="000000"/>
          <w:sz w:val="24"/>
        </w:rPr>
        <w:t>. Operating margin increased to 22.7%, compared to 0.7% in the prior year</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120"/>
        <w:jc w:val="left"/>
        <w:rPr/>
      </w:pPr>
      <w:r>
        <w:rPr>
          <w:rFonts w:ascii="Times New Roman;serif" w:hAnsi="Times New Roman;serif"/>
          <w:b w:val="false"/>
          <w:color w:val="000000"/>
          <w:sz w:val="24"/>
        </w:rPr>
        <w:t xml:space="preserve">Adjusted operating income (a non-GAAP measure) increased $6.4 million, or 54.1% to $18.1 million, compared to $11.8 million in the second quarter of fiscal 2025, </w:t>
      </w:r>
      <w:r>
        <w:rPr>
          <w:rFonts w:ascii="Times New Roman;serif" w:hAnsi="Times New Roman;serif"/>
          <w:b w:val="false"/>
          <w:color w:val="000000"/>
          <w:sz w:val="24"/>
          <w:shd w:fill="FFFFFF" w:val="clear"/>
        </w:rPr>
        <w:t>principally due to the benefits of productivity and supply chain initiatives, which more than offset net incremental tariff costs, investments in demand creation and general inflationary cost pressure</w:t>
      </w:r>
      <w:r>
        <w:rPr>
          <w:rFonts w:ascii="Times New Roman;serif" w:hAnsi="Times New Roman;serif"/>
          <w:b w:val="false"/>
          <w:color w:val="000000"/>
          <w:sz w:val="24"/>
        </w:rPr>
        <w:t>. Adjusted operating margin increased to 2.9%, compared to 2.0% in the prior year pe</w:t>
      </w:r>
      <w:r>
        <w:rPr>
          <w:rFonts w:ascii="Times New Roman;serif" w:hAnsi="Times New Roman;serif"/>
          <w:b w:val="false"/>
          <w:color w:val="000000"/>
          <w:sz w:val="24"/>
          <w:shd w:fill="FFFFFF" w:val="clear"/>
        </w:rPr>
        <w:t>riod.</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was $105.0 million, or $2.87 per diluted share, compared to $0.4 million, or $0.01 per diluted share, in the second quarter of fiscal 2025. </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Adjusted net income (a non-GAAP measure) was $9.4 million, compared to $6.3 million in the second quarter of fiscal 2025. Adjusted earnings per diluted share (a non-GAAP measure) was $0.26, compared to $0.17 in the prior-year quarter. </w:t>
      </w:r>
    </w:p>
    <w:p>
      <w:pPr>
        <w:pStyle w:val="TextBody"/>
        <w:bidi w:val="0"/>
        <w:spacing w:lineRule="auto" w:line="417" w:before="0" w:after="0"/>
        <w:jc w:val="left"/>
        <w:rPr>
          <w:rFonts w:ascii="Times New Roman;serif" w:hAnsi="Times New Roman;serif"/>
          <w:b w:val="false"/>
          <w:i/>
          <w:color w:val="000000"/>
          <w:sz w:val="24"/>
        </w:rPr>
      </w:pPr>
      <w:r>
        <w:rPr>
          <w:rFonts w:ascii="Times New Roman;serif" w:hAnsi="Times New Roman;serif"/>
          <w:b w:val="false"/>
          <w:i/>
          <w:color w:val="000000"/>
          <w:sz w:val="24"/>
        </w:rPr>
        <w:t>First Half of Fiscal 2026 compared to First Half of Fiscal 2025</w:t>
      </w:r>
    </w:p>
    <w:p>
      <w:pPr>
        <w:pStyle w:val="TextBody"/>
        <w:bidi w:val="0"/>
        <w:spacing w:lineRule="auto" w:line="417" w:before="0" w:after="120"/>
        <w:jc w:val="left"/>
        <w:rPr/>
      </w:pPr>
      <w:r>
        <w:rPr>
          <w:rFonts w:ascii="Times New Roman;serif" w:hAnsi="Times New Roman;serif"/>
          <w:b w:val="false"/>
          <w:color w:val="000000"/>
          <w:sz w:val="24"/>
        </w:rPr>
        <w:t xml:space="preserve">Net sales increased $81.5 million, or 6.7%, to $1.30 billion, compared to $1.22 billion in the first half of 2025, reflecting growth in each segment. Net sales in the U.S. Retail, U.S. Wholesale, and International segments grew 7.2%, 5.4%, and 8.2%, respectively. </w:t>
      </w:r>
      <w:r>
        <w:rPr>
          <w:rFonts w:ascii="Times New Roman;serif" w:hAnsi="Times New Roman;serif"/>
          <w:b w:val="false"/>
          <w:color w:val="000000"/>
          <w:sz w:val="24"/>
          <w:shd w:fill="FFFFFF" w:val="clear"/>
        </w:rPr>
        <w:t xml:space="preserve">U.S. Retail comparable net sales increased </w:t>
      </w:r>
      <w:r>
        <w:rPr>
          <w:rFonts w:ascii="Times New Roman;serif" w:hAnsi="Times New Roman;serif"/>
          <w:b w:val="false"/>
          <w:color w:val="000000"/>
          <w:sz w:val="24"/>
        </w:rPr>
        <w:t>7.8%. Changes in foreign currency exchange rates used for translation had a favorable effect on consolidated net sales of approximately $8.0 million, or 0.7% in the first half of fiscal 2026, as compared to the first half of fiscal 2025.</w:t>
      </w:r>
    </w:p>
    <w:p>
      <w:pPr>
        <w:pStyle w:val="TextBody"/>
        <w:bidi w:val="0"/>
        <w:spacing w:lineRule="auto" w:line="417" w:before="0" w:after="120"/>
        <w:jc w:val="left"/>
        <w:rPr/>
      </w:pPr>
      <w:r>
        <w:rPr>
          <w:rFonts w:ascii="Times New Roman;serif" w:hAnsi="Times New Roman;serif"/>
          <w:b w:val="false"/>
          <w:color w:val="000000"/>
          <w:sz w:val="24"/>
        </w:rPr>
        <w:t xml:space="preserve">Operating income increased $138.1 million to $168.3 million, compared to $30.1 million in the first half of fiscal 2025, reflecting </w:t>
      </w:r>
      <w:r>
        <w:rPr>
          <w:rFonts w:ascii="Times New Roman;serif" w:hAnsi="Times New Roman;serif"/>
          <w:b w:val="false"/>
          <w:color w:val="000000"/>
          <w:sz w:val="24"/>
          <w:shd w:fill="FFFFFF" w:val="clear"/>
        </w:rPr>
        <w:t>a recovery of previously paid import duties and benefits from productivity and supply chain initiatives, partially offset by net incremental tariff costs, investments in demand creation, general inflationary cost pressure, and costs related to leadership transition</w:t>
      </w:r>
      <w:r>
        <w:rPr>
          <w:rFonts w:ascii="Times New Roman;serif" w:hAnsi="Times New Roman;serif"/>
          <w:b w:val="false"/>
          <w:color w:val="000000"/>
          <w:sz w:val="24"/>
        </w:rPr>
        <w:t>. Operating margin increased to 13.0%, compared to 2.5% in the prior year period</w:t>
      </w:r>
      <w:r>
        <w:rPr>
          <w:rFonts w:ascii="Times New Roman;serif" w:hAnsi="Times New Roman;serif"/>
          <w:b w:val="false"/>
          <w:color w:val="000000"/>
          <w:sz w:val="24"/>
          <w:shd w:fill="FFFFFF" w:val="clear"/>
        </w:rPr>
        <w:t xml:space="preserve">. </w:t>
      </w:r>
    </w:p>
    <w:p>
      <w:pPr>
        <w:pStyle w:val="TextBody"/>
        <w:bidi w:val="0"/>
        <w:spacing w:lineRule="auto" w:line="417" w:before="0" w:after="120"/>
        <w:jc w:val="left"/>
        <w:rPr/>
      </w:pPr>
      <w:r>
        <w:rPr>
          <w:rFonts w:ascii="Times New Roman;serif" w:hAnsi="Times New Roman;serif"/>
          <w:b w:val="false"/>
          <w:color w:val="000000"/>
          <w:sz w:val="24"/>
        </w:rPr>
        <w:t xml:space="preserve">Adjusted operating income (a non-GAAP measure) </w:t>
      </w:r>
      <w:r>
        <w:rPr>
          <w:rFonts w:ascii="Times New Roman;serif" w:hAnsi="Times New Roman;serif"/>
          <w:b w:val="false"/>
          <w:color w:val="000000"/>
          <w:sz w:val="24"/>
          <w:shd w:fill="FFFFFF" w:val="clear"/>
        </w:rPr>
        <w:t xml:space="preserve">decreased $0.6 million, or 1.3% to $46.5 million, compared to $47.1 million in the first half of fiscal 2025, principally due to net incremental tariff costs, incremental investments in demand creation and general inflationary cost pressure, partially offset by benefits from productivity and supply chain initiatives. </w:t>
      </w:r>
      <w:r>
        <w:rPr>
          <w:rFonts w:ascii="Times New Roman;serif" w:hAnsi="Times New Roman;serif"/>
          <w:b w:val="false"/>
          <w:color w:val="000000"/>
          <w:sz w:val="24"/>
        </w:rPr>
        <w:t>Adjusted operating margin decreased to 3.6%, compared to 3.9% in the prior year p</w:t>
      </w:r>
      <w:r>
        <w:rPr>
          <w:rFonts w:ascii="Times New Roman;serif" w:hAnsi="Times New Roman;serif"/>
          <w:b w:val="false"/>
          <w:color w:val="000000"/>
          <w:sz w:val="24"/>
          <w:shd w:fill="FFFFFF" w:val="clear"/>
        </w:rPr>
        <w:t>eriod.</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was $119.3 million, or $3.26 per diluted share, compared to $16.0 million, or $0.43 per diluted share, in the first half of fiscal 2025.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Adjusted net income (a non-GAAP measure) was $23.7 million, compared to $30.1 million in the first half of fiscal 2025. Adjusted earnings per diluted share (a non-GAAP measure) was $0.65, compared to adjusted earnings per diluted share of $0.83 in the first half of fiscal 2025.</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0" w:after="120"/>
        <w:jc w:val="left"/>
        <w:rPr/>
      </w:pPr>
      <w:r>
        <w:rPr>
          <w:rFonts w:ascii="Times New Roman;serif" w:hAnsi="Times New Roman;serif"/>
          <w:b w:val="false"/>
          <w:color w:val="000000"/>
          <w:sz w:val="24"/>
        </w:rPr>
        <w:t xml:space="preserve">Net cash provided by operations in the first half of fiscal 2026 was $202.3 million, compared to net cash used in operations of $8.3 million in the first half of fiscal 2025. </w:t>
      </w:r>
      <w:r>
        <w:rPr>
          <w:rFonts w:ascii="Times New Roman;serif" w:hAnsi="Times New Roman;serif"/>
          <w:b w:val="false"/>
          <w:color w:val="000000"/>
          <w:sz w:val="24"/>
          <w:shd w:fill="FFFFFF" w:val="clear"/>
        </w:rPr>
        <w:t>The improved operating cash flow was primarily driven by the receipt of a refund of previously paid import duties, improved working capital and favorable timing of interest payments as compared to prior year.</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See “Reconciliation of Adjusted Results to GAAP” sections of this release for additional disclosures regarding non-GAAP measures. </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Return of Capital</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In the second quarter of fiscal 2026, the Company paid a cash dividend of $0.25 per common share totaling $9.1 million. In the first half of fiscal 2026, the Company paid cash dividends totaling $18.3 million. No shares were repurchased in the first half of fiscal 2026.</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Future declarations of quarterly dividends and the establishment of future record and payment dates will be at the discretion of the Company’s Board of Directors based on a number of factors, including business conditions, the Company’s future financial performance, investment priorities, and other considerations.</w:t>
      </w:r>
    </w:p>
    <w:p>
      <w:pPr>
        <w:pStyle w:val="TextBody"/>
        <w:bidi w:val="0"/>
        <w:spacing w:lineRule="auto" w:line="417"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2026 Business Outlook</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We do not reconcile forward-looking adjusted operating income or adjusted diluted earnings per share to their most directly comparable GAAP measures because we cannot predict with reasonable certainty the ultimate outcome of certain components of such reconciliations that are not within our control due to factors described above, or others that may arise, without unreasonable effort. For these reasons, we are unable to assess the probable significance of the unavailable information, which could materially impact the amount of future operating income or diluted EPS, the most directly comparable GAAP metrics to adjusted operating income and adjusted diluted earnings per share, respectively.</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Company’s fiscal year 2025 included a 53rd week, which contributed approximately $37 million in consolidated net sales.</w:t>
      </w:r>
    </w:p>
    <w:p>
      <w:pPr>
        <w:pStyle w:val="TextBody"/>
        <w:bidi w:val="0"/>
        <w:spacing w:lineRule="auto" w:line="360"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Company’s outlook (and related assumptions) for the third quarter 2026 include an anticipated non-GAAP adjustment related to IP litigation costs of approximately $1 million. The Company’s full-year fiscal 2026 outlook (and related assumptions) includes an anticipated non-GAAP adjustment related to leadership transition costs and IP litigation costs of approximately $8 million and a recovery of previously paid import duties of $132 million.</w:t>
      </w:r>
    </w:p>
    <w:p>
      <w:pPr>
        <w:pStyle w:val="TextBody"/>
        <w:bidi w:val="0"/>
        <w:spacing w:lineRule="auto" w:line="360" w:before="0" w:after="120"/>
        <w:jc w:val="left"/>
        <w:rPr/>
      </w:pPr>
      <w:r>
        <w:rPr>
          <w:rFonts w:ascii="Times New Roman;serif" w:hAnsi="Times New Roman;serif"/>
          <w:b/>
          <w:color w:val="000000"/>
          <w:sz w:val="24"/>
        </w:rPr>
        <w:t xml:space="preserve">For fiscal year 2026 </w:t>
      </w:r>
      <w:r>
        <w:rPr>
          <w:rFonts w:ascii="Times New Roman;serif" w:hAnsi="Times New Roman;serif"/>
          <w:b w:val="false"/>
          <w:color w:val="000000"/>
          <w:sz w:val="24"/>
        </w:rPr>
        <w:t xml:space="preserve">(a 52 week fiscal year), the Company projects approximately: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2% to 3% growth in net sales ($2.898 billion in fiscal 2025);</w:t>
      </w:r>
    </w:p>
    <w:p>
      <w:pPr>
        <w:pStyle w:val="TextBody"/>
        <w:bidi w:val="0"/>
        <w:spacing w:lineRule="auto" w:line="360"/>
        <w:ind w:left="0" w:right="0" w:hanging="360"/>
        <w:jc w:val="left"/>
        <w:rPr/>
      </w:pPr>
      <w:r>
        <w:rPr>
          <w:color w:val="000000"/>
        </w:rPr>
        <w:t>•</w:t>
      </w:r>
      <w:r>
        <w:rPr>
          <w:rFonts w:ascii="Times New Roman;serif" w:hAnsi="Times New Roman;serif"/>
          <w:b w:val="false"/>
          <w:color w:val="000000"/>
          <w:sz w:val="24"/>
        </w:rPr>
        <w:t xml:space="preserve">Low single-digit to mid-single-digit percentage growth in adjusted operating income ($176 million in fiscal 2025);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High single-digit to low double-digit percentage decline in adjusted diluted earnings per share ($3.47 in fiscal 2025);</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Operating cash flow of $230 million to $240 million; and</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Capital expenditures of $50 million.</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outlook for fiscal year 2026 assumes (comparisons vs. prior year unless otherwise noted):</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 xml:space="preserve">Earnings contributions weighted to the second half due to greater projected net impact of tariffs and investment spending in the first half relative to the second half;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 xml:space="preserve">Lower gross margin rate, reflecting incremental tariff costs partially offset by higher pricing, tariff mitigation actions, and productivity savings;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 xml:space="preserve">Low-single digit increase in SG&amp;A, reflecting organizational restructuring and store fleet rationalization savings offset by investments in demand creation, information technology, and other cost inflation across the business;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 xml:space="preserve">Net interest expense of approximately $35 million, reflecting higher principal amount and coupon rate associated with the refinancing of its senior notes in Q4 2025;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Effective tax rate of approximately 23%; and</w:t>
      </w:r>
    </w:p>
    <w:p>
      <w:pPr>
        <w:pStyle w:val="TextBody"/>
        <w:bidi w:val="0"/>
        <w:spacing w:lineRule="auto" w:line="360" w:before="0" w:after="120"/>
        <w:ind w:left="0" w:right="0" w:hanging="360"/>
        <w:jc w:val="left"/>
        <w:rPr/>
      </w:pPr>
      <w:r>
        <w:rPr>
          <w:color w:val="000000"/>
        </w:rPr>
        <w:t>•</w:t>
      </w:r>
      <w:r>
        <w:rPr>
          <w:rFonts w:ascii="Times New Roman;serif" w:hAnsi="Times New Roman;serif"/>
          <w:b w:val="false"/>
          <w:color w:val="000000"/>
          <w:sz w:val="24"/>
        </w:rPr>
        <w:t>Average number of shares outstanding of approximately 36 million.</w:t>
      </w:r>
    </w:p>
    <w:p>
      <w:pPr>
        <w:pStyle w:val="TextBody"/>
        <w:bidi w:val="0"/>
        <w:spacing w:lineRule="auto" w:line="360" w:before="0" w:after="0"/>
        <w:jc w:val="left"/>
        <w:rPr/>
      </w:pPr>
      <w:r>
        <w:rPr>
          <w:rFonts w:ascii="Times New Roman;serif" w:hAnsi="Times New Roman;serif"/>
          <w:b/>
          <w:color w:val="000000"/>
          <w:sz w:val="24"/>
        </w:rPr>
        <w:t>For the third quarter of fiscal 2026</w:t>
      </w:r>
      <w:r>
        <w:rPr>
          <w:rFonts w:ascii="Times New Roman;serif" w:hAnsi="Times New Roman;serif"/>
          <w:b w:val="false"/>
          <w:color w:val="000000"/>
          <w:sz w:val="24"/>
        </w:rPr>
        <w:t>, the Company projects approximately:</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shd w:fill="FFFFFF" w:val="clear"/>
        </w:rPr>
        <w:t>~$750 million</w:t>
      </w:r>
      <w:r>
        <w:rPr>
          <w:color w:val="000000"/>
        </w:rPr>
        <w:t xml:space="preserve"> </w:t>
      </w:r>
      <w:r>
        <w:rPr>
          <w:rFonts w:ascii="Times New Roman;serif" w:hAnsi="Times New Roman;serif"/>
          <w:b w:val="false"/>
          <w:color w:val="000000"/>
          <w:sz w:val="24"/>
        </w:rPr>
        <w:t>in net sales ($758 million in Q3 fiscal 2025);</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4"/>
        </w:rPr>
        <w:t>~$50 million in adjusted operating income ($39 million in Q3 fiscal 2025); and</w:t>
      </w:r>
    </w:p>
    <w:p>
      <w:pPr>
        <w:pStyle w:val="TextBody"/>
        <w:bidi w:val="0"/>
        <w:spacing w:lineRule="auto" w:line="360" w:before="0" w:after="60"/>
        <w:ind w:left="0" w:right="0" w:hanging="360"/>
        <w:jc w:val="left"/>
        <w:rPr/>
      </w:pPr>
      <w:r>
        <w:rPr>
          <w:color w:val="000000"/>
        </w:rPr>
        <w:t>•</w:t>
      </w:r>
      <w:r>
        <w:rPr>
          <w:rFonts w:ascii="Times New Roman;serif" w:hAnsi="Times New Roman;serif"/>
          <w:b w:val="false"/>
          <w:color w:val="000000"/>
          <w:sz w:val="24"/>
        </w:rPr>
        <w:t>~$0.85 in adjusted diluted earnings per share ($0.74 in Q3 fiscal 2025).</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outlook for third quarter fiscal 2026 assumes (comparisons vs. prior year unless otherwise noted):</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4"/>
          <w:shd w:fill="FFFFFF" w:val="clear"/>
        </w:rPr>
        <w:t xml:space="preserve">Higher gross margin rate, reflecting a greater mix of U.S. Retail sales and the anniversary of higher incremental tariff costs, which began in third quarter 2025; </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4"/>
          <w:shd w:fill="FFFFFF" w:val="clear"/>
        </w:rPr>
        <w:t>Comparable SG&amp;A expense, reflecting organizational restructuring savings offset by investments in demand creation and other cost inflation across the business;</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4"/>
          <w:shd w:fill="FFFFFF" w:val="clear"/>
        </w:rPr>
        <w:t>Net interest expense o</w:t>
      </w:r>
      <w:r>
        <w:rPr>
          <w:rFonts w:ascii="Times New Roman;serif" w:hAnsi="Times New Roman;serif"/>
          <w:b w:val="false"/>
          <w:color w:val="000000"/>
          <w:sz w:val="24"/>
        </w:rPr>
        <w:t xml:space="preserve">f approximately $9 million, </w:t>
      </w:r>
      <w:r>
        <w:rPr>
          <w:rFonts w:ascii="Times New Roman;serif" w:hAnsi="Times New Roman;serif"/>
          <w:b w:val="false"/>
          <w:color w:val="000000"/>
          <w:sz w:val="24"/>
          <w:shd w:fill="FFFFFF" w:val="clear"/>
        </w:rPr>
        <w:t xml:space="preserve">reflecting higher principal amount and coupon rate associated with the refinancing of its senior notes in Q4 2025; </w:t>
      </w:r>
    </w:p>
    <w:p>
      <w:pPr>
        <w:pStyle w:val="TextBody"/>
        <w:bidi w:val="0"/>
        <w:spacing w:lineRule="auto" w:line="360" w:before="0" w:after="120"/>
        <w:ind w:left="0" w:right="0" w:hanging="360"/>
        <w:jc w:val="left"/>
        <w:rPr/>
      </w:pPr>
      <w:r>
        <w:rPr>
          <w:color w:val="000000"/>
          <w:shd w:fill="FFFFFF" w:val="clear"/>
        </w:rPr>
        <w:t>•</w:t>
      </w:r>
      <w:r>
        <w:rPr>
          <w:rFonts w:ascii="Times New Roman;serif" w:hAnsi="Times New Roman;serif"/>
          <w:b w:val="false"/>
          <w:color w:val="000000"/>
          <w:sz w:val="24"/>
          <w:shd w:fill="FFFFFF" w:val="clear"/>
        </w:rPr>
        <w:t>Average number of shares outstanding of approximately 36 million.</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Conference Call</w:t>
      </w:r>
    </w:p>
    <w:p>
      <w:pPr>
        <w:pStyle w:val="TextBody"/>
        <w:bidi w:val="0"/>
        <w:spacing w:lineRule="auto" w:line="360" w:before="0" w:after="120"/>
        <w:jc w:val="left"/>
        <w:rPr/>
      </w:pPr>
      <w:r>
        <w:rPr>
          <w:rFonts w:ascii="Times New Roman;serif" w:hAnsi="Times New Roman;serif"/>
          <w:b w:val="false"/>
          <w:color w:val="000000"/>
          <w:sz w:val="24"/>
        </w:rPr>
        <w:t xml:space="preserve">The Company will hold a conference call with investors to discuss second quarter fiscal 2026 results and its business outlook on July 31, 2026 at 8:30 a.m. Eastern Time (ET). To listen to a live webcast and view the accompanying presentation materials, please visit ir.carters.com and select links for “News &amp; Events” followed by “Events.” To access the call by phone, please preregister on </w:t>
      </w:r>
      <w:r>
        <w:rPr>
          <w:rFonts w:ascii="Times New Roman;serif" w:hAnsi="Times New Roman;serif"/>
          <w:b w:val="false"/>
          <w:color w:val="0000FF"/>
          <w:sz w:val="24"/>
          <w:shd w:fill="FFFFFF" w:val="clear"/>
        </w:rPr>
        <w:t>https://register-conf.media-server.com/register/BIb8dc4f4a67174f73b0b09efe73477c87</w:t>
      </w:r>
      <w:r>
        <w:rPr>
          <w:color w:val="000000"/>
        </w:rPr>
        <w:t xml:space="preserve"> </w:t>
      </w:r>
      <w:r>
        <w:rPr>
          <w:rFonts w:ascii="Times New Roman;serif" w:hAnsi="Times New Roman;serif"/>
          <w:b w:val="false"/>
          <w:color w:val="000000"/>
          <w:sz w:val="24"/>
        </w:rPr>
        <w:t>to receive your dial-in number and unique passcode. A presentation of second quarter results will be available in the “Events” section at ir.carters.com at approximately 7:00 a.m. ET. Important information may be disseminated initially or exclusively via the website; investors should consult the site to access this information.</w:t>
      </w:r>
    </w:p>
    <w:p>
      <w:pPr>
        <w:pStyle w:val="TextBody"/>
        <w:bidi w:val="0"/>
        <w:spacing w:lineRule="auto" w:line="417" w:before="0" w:after="120"/>
        <w:jc w:val="left"/>
        <w:rPr/>
      </w:pPr>
      <w:r>
        <w:rPr>
          <w:rFonts w:ascii="Times New Roman;serif" w:hAnsi="Times New Roman;serif"/>
          <w:b w:val="false"/>
          <w:color w:val="000000"/>
          <w:sz w:val="24"/>
        </w:rPr>
        <w:t xml:space="preserve">A webcast replay will be available shortly after the conclusion of the call at </w:t>
      </w:r>
      <w:r>
        <w:rPr>
          <w:rFonts w:ascii="Times New Roman;serif" w:hAnsi="Times New Roman;serif"/>
          <w:b w:val="false"/>
          <w:color w:val="0000FF"/>
          <w:sz w:val="24"/>
        </w:rPr>
        <w:t>ir.carters.com</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 xml:space="preserve">About Carter’s, Inc. </w:t>
      </w:r>
    </w:p>
    <w:p>
      <w:pPr>
        <w:pStyle w:val="TextBody"/>
        <w:bidi w:val="0"/>
        <w:spacing w:lineRule="auto" w:line="360" w:before="0" w:after="120"/>
        <w:jc w:val="left"/>
        <w:rPr/>
      </w:pPr>
      <w:r>
        <w:rPr>
          <w:rFonts w:ascii="Times New Roman;serif" w:hAnsi="Times New Roman;serif"/>
          <w:b w:val="false"/>
          <w:color w:val="000000"/>
          <w:sz w:val="24"/>
        </w:rPr>
        <w:t xml:space="preserve">Carter’s, Inc. is North America’s largest and most-enduring apparel company exclusively for babies and young children. The Company’s core brands are </w:t>
      </w:r>
      <w:r>
        <w:rPr>
          <w:rFonts w:ascii="Times New Roman;serif" w:hAnsi="Times New Roman;serif"/>
          <w:b w:val="false"/>
          <w:i/>
          <w:color w:val="000000"/>
          <w:sz w:val="24"/>
        </w:rPr>
        <w:t>Carter’s</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OshKosh B’gosh</w:t>
      </w:r>
      <w:r>
        <w:rPr>
          <w:rFonts w:ascii="Times New Roman;serif" w:hAnsi="Times New Roman;serif"/>
          <w:b w:val="false"/>
          <w:color w:val="000000"/>
          <w:sz w:val="24"/>
        </w:rPr>
        <w:t xml:space="preserve">, iconic and among the sector’s most trusted names. These brands are sold through more than 1,000 Company-operated stores in the United States, Canada, and Mexico, and online at </w:t>
      </w:r>
      <w:r>
        <w:rPr>
          <w:rFonts w:ascii="Times New Roman;serif" w:hAnsi="Times New Roman;serif"/>
          <w:b w:val="false"/>
          <w:color w:val="0000FF"/>
          <w:sz w:val="24"/>
        </w:rPr>
        <w:t>www.carters.com</w:t>
      </w:r>
      <w:r>
        <w:rPr>
          <w:rFonts w:ascii="Times New Roman;serif" w:hAnsi="Times New Roman;serif"/>
          <w:b w:val="false"/>
          <w:color w:val="000000"/>
          <w:sz w:val="24"/>
        </w:rPr>
        <w:t xml:space="preserve">, </w:t>
      </w:r>
      <w:r>
        <w:rPr>
          <w:rFonts w:ascii="Times New Roman;serif" w:hAnsi="Times New Roman;serif"/>
          <w:b w:val="false"/>
          <w:color w:val="0000FF"/>
          <w:sz w:val="24"/>
        </w:rPr>
        <w:t>www.oshkosh.com</w:t>
      </w:r>
      <w:r>
        <w:rPr>
          <w:rFonts w:ascii="Times New Roman;serif" w:hAnsi="Times New Roman;serif"/>
          <w:b w:val="false"/>
          <w:color w:val="000000"/>
          <w:sz w:val="24"/>
        </w:rPr>
        <w:t xml:space="preserve">, </w:t>
      </w:r>
      <w:r>
        <w:rPr>
          <w:rFonts w:ascii="Times New Roman;serif" w:hAnsi="Times New Roman;serif"/>
          <w:b w:val="false"/>
          <w:color w:val="0000FF"/>
          <w:sz w:val="24"/>
        </w:rPr>
        <w:t>www.cartersoshkosh.ca</w:t>
      </w:r>
      <w:r>
        <w:rPr>
          <w:rFonts w:ascii="Times New Roman;serif" w:hAnsi="Times New Roman;serif"/>
          <w:b w:val="false"/>
          <w:color w:val="000000"/>
          <w:sz w:val="24"/>
        </w:rPr>
        <w:t xml:space="preserve">, and </w:t>
      </w:r>
      <w:r>
        <w:rPr>
          <w:rFonts w:ascii="Times New Roman;serif" w:hAnsi="Times New Roman;serif"/>
          <w:b w:val="false"/>
          <w:color w:val="0000FF"/>
          <w:sz w:val="24"/>
        </w:rPr>
        <w:t xml:space="preserve">www.carters.com.mx. </w:t>
      </w:r>
      <w:r>
        <w:rPr>
          <w:rFonts w:ascii="Times New Roman;serif" w:hAnsi="Times New Roman;serif"/>
          <w:b w:val="false"/>
          <w:color w:val="000000"/>
          <w:sz w:val="24"/>
        </w:rPr>
        <w:t xml:space="preserve">Carter’s also is the largest supplier of baby and young children’s apparel to North America’s biggest retailers. The Company’s </w:t>
      </w:r>
      <w:r>
        <w:rPr>
          <w:rFonts w:ascii="Times New Roman;serif" w:hAnsi="Times New Roman;serif"/>
          <w:b w:val="false"/>
          <w:i/>
          <w:color w:val="000000"/>
          <w:sz w:val="24"/>
        </w:rPr>
        <w:t>Child of Mine</w:t>
      </w:r>
      <w:r>
        <w:rPr>
          <w:color w:val="000000"/>
        </w:rPr>
        <w:t xml:space="preserve"> </w:t>
      </w:r>
      <w:r>
        <w:rPr>
          <w:rFonts w:ascii="Times New Roman;serif" w:hAnsi="Times New Roman;serif"/>
          <w:b w:val="false"/>
          <w:color w:val="000000"/>
          <w:sz w:val="24"/>
        </w:rPr>
        <w:t xml:space="preserve">brand is available exclusively at Walmart, its </w:t>
      </w:r>
      <w:r>
        <w:rPr>
          <w:rFonts w:ascii="Times New Roman;serif" w:hAnsi="Times New Roman;serif"/>
          <w:b w:val="false"/>
          <w:i/>
          <w:color w:val="000000"/>
          <w:sz w:val="24"/>
        </w:rPr>
        <w:t>Just One You</w:t>
      </w:r>
      <w:r>
        <w:rPr>
          <w:color w:val="000000"/>
        </w:rPr>
        <w:t xml:space="preserve"> </w:t>
      </w:r>
      <w:r>
        <w:rPr>
          <w:rFonts w:ascii="Times New Roman;serif" w:hAnsi="Times New Roman;serif"/>
          <w:b w:val="false"/>
          <w:color w:val="000000"/>
          <w:sz w:val="24"/>
        </w:rPr>
        <w:t xml:space="preserve">brand is available at Target, and its </w:t>
      </w:r>
      <w:r>
        <w:rPr>
          <w:rFonts w:ascii="Times New Roman;serif" w:hAnsi="Times New Roman;serif"/>
          <w:b w:val="false"/>
          <w:i/>
          <w:color w:val="000000"/>
          <w:sz w:val="24"/>
        </w:rPr>
        <w:t>Simple Joys</w:t>
      </w:r>
      <w:r>
        <w:rPr>
          <w:color w:val="000000"/>
        </w:rPr>
        <w:t xml:space="preserve"> </w:t>
      </w:r>
      <w:r>
        <w:rPr>
          <w:rFonts w:ascii="Times New Roman;serif" w:hAnsi="Times New Roman;serif"/>
          <w:b w:val="false"/>
          <w:color w:val="000000"/>
          <w:sz w:val="24"/>
        </w:rPr>
        <w:t xml:space="preserve">brand is available on Amazon.com. The Company’s emerging brands include </w:t>
      </w:r>
      <w:r>
        <w:rPr>
          <w:rFonts w:ascii="Times New Roman;serif" w:hAnsi="Times New Roman;serif"/>
          <w:b w:val="false"/>
          <w:i/>
          <w:color w:val="000000"/>
          <w:sz w:val="24"/>
        </w:rPr>
        <w:t>Little Planet</w:t>
      </w:r>
      <w:r>
        <w:rPr>
          <w:rFonts w:ascii="Times New Roman;serif" w:hAnsi="Times New Roman;serif"/>
          <w:b w:val="false"/>
          <w:color w:val="000000"/>
          <w:sz w:val="24"/>
        </w:rPr>
        <w:t xml:space="preserve">, crafted with organic fabrics and sustainable materials, </w:t>
      </w:r>
      <w:r>
        <w:rPr>
          <w:rFonts w:ascii="Times New Roman;serif" w:hAnsi="Times New Roman;serif"/>
          <w:b w:val="false"/>
          <w:i/>
          <w:color w:val="000000"/>
          <w:sz w:val="24"/>
        </w:rPr>
        <w:t>Otter Avenue</w:t>
      </w:r>
      <w:r>
        <w:rPr>
          <w:rFonts w:ascii="Times New Roman;serif" w:hAnsi="Times New Roman;serif"/>
          <w:b w:val="false"/>
          <w:color w:val="000000"/>
          <w:sz w:val="24"/>
        </w:rPr>
        <w:t xml:space="preserve">, a toddler-focused apparel brand, and </w:t>
      </w:r>
      <w:r>
        <w:rPr>
          <w:rFonts w:ascii="Times New Roman;serif" w:hAnsi="Times New Roman;serif"/>
          <w:b w:val="false"/>
          <w:i/>
          <w:color w:val="000000"/>
          <w:sz w:val="24"/>
        </w:rPr>
        <w:t>Skip Hop</w:t>
      </w:r>
      <w:r>
        <w:rPr>
          <w:rFonts w:ascii="Times New Roman;serif" w:hAnsi="Times New Roman;serif"/>
          <w:b w:val="false"/>
          <w:color w:val="000000"/>
          <w:sz w:val="24"/>
        </w:rPr>
        <w:t xml:space="preserve">, baby essentials from tubs to toys. Carter’s is headquartered in Atlanta, Georgia. Additional information may be found at </w:t>
      </w:r>
      <w:r>
        <w:rPr>
          <w:rFonts w:ascii="Times New Roman;serif" w:hAnsi="Times New Roman;serif"/>
          <w:b w:val="false"/>
          <w:color w:val="0000FF"/>
          <w:sz w:val="24"/>
        </w:rPr>
        <w:t>www.carters.com</w:t>
      </w:r>
      <w:r>
        <w:rPr>
          <w:rFonts w:ascii="Times New Roman;serif" w:hAnsi="Times New Roman;serif"/>
          <w:b w:val="false"/>
          <w:color w:val="000000"/>
          <w:sz w:val="24"/>
        </w:rPr>
        <w:t>.</w:t>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Forward Looking Statements</w:t>
      </w:r>
    </w:p>
    <w:p>
      <w:pPr>
        <w:pStyle w:val="TextBody"/>
        <w:bidi w:val="0"/>
        <w:spacing w:lineRule="auto" w:line="360"/>
        <w:jc w:val="left"/>
        <w:rPr>
          <w:rFonts w:ascii="Times New Roman;serif" w:hAnsi="Times New Roman;serif"/>
          <w:b w:val="false"/>
          <w:color w:val="000000"/>
          <w:sz w:val="24"/>
        </w:rPr>
      </w:pPr>
      <w:r>
        <w:rPr>
          <w:rFonts w:ascii="Times New Roman;serif" w:hAnsi="Times New Roman;serif"/>
          <w:b w:val="false"/>
          <w:color w:val="000000"/>
          <w:sz w:val="24"/>
        </w:rPr>
        <w:t xml:space="preserve">Statements in this press release that are not historical fact and use predictive words such as “estimates”, “outlook”, “guidance”, “expect”, “believe”, “intend”, “designed”, “target”, “plans”, “may”, “will”, “opportunities”,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those disclosed in Part II, Item 1A. “Risk Factors” of the Company’s Quarterly Report on Form 10-Q for the fiscal quarter ended July 4, 2026 and Part I, Item 1A. “Risk Factors” of the Company’s Annual Report on Form 10-K for the fiscal year ended January 3, 2026,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the roll-back of incremental tariffs imposed under the International Emergency Economic Powers Act (the “incremental tariffs”) and any additional actions taken in response to their roll-back, including, but not limited to, tariffs imposed pursuant to Section 122 of the Trade Act of 1974 and tariffs imposed under Section 301 of the Trade Act of 1974; our ability to recover refunds of incremental tariff amounts or other tariff amounts paid; increased competition in the marketplace; ongoing political and economic conflicts that could impact our global and domestic operations, including, but not limited to, the conflict between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Israel, and Iran;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press release does not constitute an admission by the Company or any other person that the events or circumstances described in such statement are material.</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8978" w:type="dxa"/>
        <w:jc w:val="center"/>
        <w:tblInd w:w="0" w:type="dxa"/>
        <w:tblLayout w:type="fixed"/>
        <w:tblCellMar>
          <w:top w:w="28" w:type="dxa"/>
          <w:left w:w="28" w:type="dxa"/>
          <w:bottom w:w="28" w:type="dxa"/>
          <w:right w:w="28" w:type="dxa"/>
        </w:tblCellMar>
      </w:tblPr>
      <w:tblGrid>
        <w:gridCol w:w="1227"/>
        <w:gridCol w:w="1082"/>
        <w:gridCol w:w="1095"/>
        <w:gridCol w:w="196"/>
        <w:gridCol w:w="736"/>
        <w:gridCol w:w="109"/>
        <w:gridCol w:w="109"/>
        <w:gridCol w:w="109"/>
        <w:gridCol w:w="109"/>
        <w:gridCol w:w="217"/>
        <w:gridCol w:w="817"/>
        <w:gridCol w:w="121"/>
        <w:gridCol w:w="109"/>
        <w:gridCol w:w="109"/>
        <w:gridCol w:w="109"/>
        <w:gridCol w:w="196"/>
        <w:gridCol w:w="871"/>
        <w:gridCol w:w="109"/>
        <w:gridCol w:w="109"/>
        <w:gridCol w:w="109"/>
        <w:gridCol w:w="109"/>
        <w:gridCol w:w="196"/>
        <w:gridCol w:w="87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provision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declared and paid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BUSINESS SEGMENT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2890" w:type="dxa"/>
        <w:jc w:val="center"/>
        <w:tblInd w:w="0" w:type="dxa"/>
        <w:tblLayout w:type="fixed"/>
        <w:tblCellMar>
          <w:top w:w="28" w:type="dxa"/>
          <w:left w:w="28" w:type="dxa"/>
          <w:bottom w:w="28" w:type="dxa"/>
          <w:right w:w="28" w:type="dxa"/>
        </w:tblCellMar>
      </w:tblPr>
      <w:tblGrid>
        <w:gridCol w:w="490"/>
        <w:gridCol w:w="316"/>
        <w:gridCol w:w="245"/>
        <w:gridCol w:w="196"/>
        <w:gridCol w:w="736"/>
        <w:gridCol w:w="109"/>
        <w:gridCol w:w="109"/>
        <w:gridCol w:w="109"/>
        <w:gridCol w:w="109"/>
        <w:gridCol w:w="490"/>
        <w:gridCol w:w="419"/>
        <w:gridCol w:w="277"/>
        <w:gridCol w:w="109"/>
        <w:gridCol w:w="109"/>
        <w:gridCol w:w="109"/>
        <w:gridCol w:w="196"/>
        <w:gridCol w:w="736"/>
        <w:gridCol w:w="109"/>
        <w:gridCol w:w="109"/>
        <w:gridCol w:w="109"/>
        <w:gridCol w:w="109"/>
        <w:gridCol w:w="490"/>
        <w:gridCol w:w="419"/>
        <w:gridCol w:w="277"/>
        <w:gridCol w:w="109"/>
        <w:gridCol w:w="109"/>
        <w:gridCol w:w="109"/>
        <w:gridCol w:w="109"/>
        <w:gridCol w:w="109"/>
        <w:gridCol w:w="109"/>
        <w:gridCol w:w="196"/>
        <w:gridCol w:w="871"/>
        <w:gridCol w:w="109"/>
        <w:gridCol w:w="109"/>
        <w:gridCol w:w="109"/>
        <w:gridCol w:w="109"/>
        <w:gridCol w:w="490"/>
        <w:gridCol w:w="419"/>
        <w:gridCol w:w="277"/>
        <w:gridCol w:w="109"/>
        <w:gridCol w:w="109"/>
        <w:gridCol w:w="109"/>
        <w:gridCol w:w="196"/>
        <w:gridCol w:w="871"/>
        <w:gridCol w:w="109"/>
        <w:gridCol w:w="109"/>
        <w:gridCol w:w="109"/>
        <w:gridCol w:w="109"/>
        <w:gridCol w:w="523"/>
        <w:gridCol w:w="384"/>
        <w:gridCol w:w="324"/>
      </w:tblGrid>
      <w:tr>
        <w:trPr/>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w:t>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Segment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Items not included in segment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color w:val="000000"/>
              </w:rPr>
              <w:t xml:space="preserve"> </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Unallocated corporate expenses</w:t>
            </w:r>
            <w:r>
              <w:rPr>
                <w:color w:val="000000"/>
              </w:rPr>
              <w:t xml:space="preserve"> </w:t>
            </w:r>
            <w:r>
              <w:rPr>
                <w:rFonts w:ascii="Times New Roman;serif" w:hAnsi="Times New Roman;serif"/>
                <w:b w:val="false"/>
                <w:color w:val="000000"/>
                <w:sz w:val="12"/>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IP litigation </w:t>
            </w:r>
            <w:r>
              <w:rPr>
                <w:rFonts w:ascii="Times New Roman;serif" w:hAnsi="Times New Roman;serif"/>
                <w:b w:val="false"/>
                <w:color w:val="000000"/>
                <w:sz w:val="12"/>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60"/>
        <w:jc w:val="left"/>
        <w:rPr/>
      </w:pPr>
      <w:r>
        <w:rPr/>
      </w:r>
    </w:p>
    <w:p>
      <w:pPr>
        <w:pStyle w:val="TextBody"/>
        <w:bidi w:val="0"/>
        <w:spacing w:lineRule="auto" w:line="288" w:before="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(a)Related to $128 million of IEEPA tariff recoveries, excluding interest received, which are reflected as a reduction of Cost of goods sold.</w:t>
      </w:r>
    </w:p>
    <w:p>
      <w:pPr>
        <w:pStyle w:val="TextBody"/>
        <w:bidi w:val="0"/>
        <w:spacing w:lineRule="auto" w:line="288" w:before="10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(b)Unallocated corporate expenses include corporate overhead expenses that are not directly attributable to one of the Company’s business segments and include unallocated accounting, finance, legal, human resources, and information technology expenses, occupancy costs for its corporate headquarters, and other benefit and compensation programs, including performance-based compensation.</w:t>
      </w:r>
    </w:p>
    <w:p>
      <w:pPr>
        <w:pStyle w:val="TextBody"/>
        <w:bidi w:val="0"/>
        <w:spacing w:lineRule="auto" w:line="288" w:before="10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(c)Related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w:t>
      </w:r>
    </w:p>
    <w:p>
      <w:pPr>
        <w:pStyle w:val="TextBody"/>
        <w:bidi w:val="0"/>
        <w:spacing w:lineRule="auto" w:line="26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(d)Related legal defense costs arising from intellectual property litigation not in the ordinary course of business.</w:t>
      </w:r>
    </w:p>
    <w:p>
      <w:pPr>
        <w:pStyle w:val="TextBody"/>
        <w:bidi w:val="0"/>
        <w:spacing w:lineRule="auto" w:line="288" w:before="10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(e)Primarily related to third-party consulting costs.</w:t>
      </w:r>
    </w:p>
    <w:p>
      <w:pPr>
        <w:pStyle w:val="TextBody"/>
        <w:bidi w:val="0"/>
        <w:spacing w:before="0" w:after="0"/>
        <w:jc w:val="center"/>
        <w:rPr/>
      </w:pPr>
      <w:r>
        <w:rPr/>
      </w:r>
    </w:p>
    <w:p>
      <w:pPr>
        <w:pStyle w:val="TextBody"/>
        <w:bidi w:val="0"/>
        <w:spacing w:lineRule="auto" w:line="288" w:before="100" w:after="283"/>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 xml:space="preserve">Note: Results may not be additive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76"/>
        <w:gridCol w:w="1715"/>
        <w:gridCol w:w="1721"/>
        <w:gridCol w:w="196"/>
        <w:gridCol w:w="871"/>
        <w:gridCol w:w="109"/>
        <w:gridCol w:w="109"/>
        <w:gridCol w:w="109"/>
        <w:gridCol w:w="109"/>
        <w:gridCol w:w="206"/>
        <w:gridCol w:w="919"/>
        <w:gridCol w:w="114"/>
        <w:gridCol w:w="109"/>
        <w:gridCol w:w="109"/>
        <w:gridCol w:w="109"/>
        <w:gridCol w:w="196"/>
        <w:gridCol w:w="871"/>
        <w:gridCol w:w="157"/>
      </w:tblGrid>
      <w:tr>
        <w:trPr/>
        <w:tc>
          <w:tcPr>
            <w:tcW w:w="247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$7,898, $7,587, and $6,340,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Finished goods inventories, net of inventory reserves of $11,613, $8,897, and $10,284,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Prepaid expenses and other current assets</w:t>
            </w:r>
            <w:r>
              <w:rPr>
                <w:color w:val="000000"/>
              </w:rPr>
              <w:t xml:space="preser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1,472,517 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1,270,773 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1,158,221 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$585,801, $609,059, and $598,575,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2,732,360 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2,565,470 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2,455,552 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operating lease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596,223 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505,997 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525,671 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1,705,037 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1,640,422 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1,601,650 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par value $0.01 per share; 100,000 shares authorized; none issued or outstanding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voting; par value $0.01 per share; 150,000,000 shares authorized; 36,711,901, 36,425,877, and 36,467,071 shares issued and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925,048 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853,902 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2,732,360 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2,565,470 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2,455,552 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032" w:type="dxa"/>
        <w:jc w:val="center"/>
        <w:tblInd w:w="0" w:type="dxa"/>
        <w:tblLayout w:type="fixed"/>
        <w:tblCellMar>
          <w:top w:w="28" w:type="dxa"/>
          <w:left w:w="28" w:type="dxa"/>
          <w:bottom w:w="28" w:type="dxa"/>
          <w:right w:w="28" w:type="dxa"/>
        </w:tblCellMar>
      </w:tblPr>
      <w:tblGrid>
        <w:gridCol w:w="2342"/>
        <w:gridCol w:w="2053"/>
        <w:gridCol w:w="2070"/>
        <w:gridCol w:w="196"/>
        <w:gridCol w:w="736"/>
        <w:gridCol w:w="109"/>
        <w:gridCol w:w="109"/>
        <w:gridCol w:w="109"/>
        <w:gridCol w:w="109"/>
        <w:gridCol w:w="216"/>
        <w:gridCol w:w="813"/>
        <w:gridCol w:w="170"/>
      </w:tblGrid>
      <w:tr>
        <w:trPr/>
        <w:tc>
          <w:tcPr>
            <w:tcW w:w="2342"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loss (gain),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 receivable from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Withholdings from vesting of restricted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(42,817)</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(74,743)</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653,571 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338,183 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ADJUSTED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3167" w:type="dxa"/>
        <w:jc w:val="center"/>
        <w:tblInd w:w="0" w:type="dxa"/>
        <w:tblLayout w:type="fixed"/>
        <w:tblCellMar>
          <w:top w:w="28" w:type="dxa"/>
          <w:left w:w="28" w:type="dxa"/>
          <w:bottom w:w="28" w:type="dxa"/>
          <w:right w:w="28" w:type="dxa"/>
        </w:tblCellMar>
      </w:tblPr>
      <w:tblGrid>
        <w:gridCol w:w="403"/>
        <w:gridCol w:w="248"/>
        <w:gridCol w:w="250"/>
        <w:gridCol w:w="196"/>
        <w:gridCol w:w="556"/>
        <w:gridCol w:w="109"/>
        <w:gridCol w:w="109"/>
        <w:gridCol w:w="109"/>
        <w:gridCol w:w="109"/>
        <w:gridCol w:w="196"/>
        <w:gridCol w:w="556"/>
        <w:gridCol w:w="109"/>
        <w:gridCol w:w="109"/>
        <w:gridCol w:w="109"/>
        <w:gridCol w:w="109"/>
        <w:gridCol w:w="237"/>
        <w:gridCol w:w="229"/>
        <w:gridCol w:w="325"/>
        <w:gridCol w:w="109"/>
        <w:gridCol w:w="109"/>
        <w:gridCol w:w="109"/>
        <w:gridCol w:w="196"/>
        <w:gridCol w:w="556"/>
        <w:gridCol w:w="109"/>
        <w:gridCol w:w="109"/>
        <w:gridCol w:w="109"/>
        <w:gridCol w:w="109"/>
        <w:gridCol w:w="237"/>
        <w:gridCol w:w="229"/>
        <w:gridCol w:w="325"/>
        <w:gridCol w:w="109"/>
        <w:gridCol w:w="109"/>
        <w:gridCol w:w="109"/>
        <w:gridCol w:w="201"/>
        <w:gridCol w:w="572"/>
        <w:gridCol w:w="113"/>
        <w:gridCol w:w="109"/>
        <w:gridCol w:w="109"/>
        <w:gridCol w:w="109"/>
        <w:gridCol w:w="237"/>
        <w:gridCol w:w="229"/>
        <w:gridCol w:w="325"/>
        <w:gridCol w:w="109"/>
        <w:gridCol w:w="109"/>
        <w:gridCol w:w="109"/>
        <w:gridCol w:w="203"/>
        <w:gridCol w:w="389"/>
        <w:gridCol w:w="114"/>
        <w:gridCol w:w="109"/>
        <w:gridCol w:w="109"/>
        <w:gridCol w:w="109"/>
        <w:gridCol w:w="196"/>
        <w:gridCol w:w="466"/>
        <w:gridCol w:w="109"/>
        <w:gridCol w:w="109"/>
        <w:gridCol w:w="109"/>
        <w:gridCol w:w="109"/>
        <w:gridCol w:w="196"/>
        <w:gridCol w:w="556"/>
        <w:gridCol w:w="109"/>
        <w:gridCol w:w="109"/>
        <w:gridCol w:w="109"/>
        <w:gridCol w:w="109"/>
        <w:gridCol w:w="196"/>
        <w:gridCol w:w="466"/>
        <w:gridCol w:w="154"/>
      </w:tblGrid>
      <w:tr>
        <w:trPr/>
        <w:tc>
          <w:tcPr>
            <w:tcW w:w="4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6"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July 4, 2026</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of Goods Sold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color w:val="000000"/>
              </w:rPr>
              <w:t xml:space="preserve"> </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IP litigation </w:t>
            </w:r>
            <w:r>
              <w:rPr>
                <w:rFonts w:ascii="Times New Roman;serif" w:hAnsi="Times New Roman;serif"/>
                <w:b w:val="false"/>
                <w:color w:val="000000"/>
                <w:sz w:val="12"/>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167" w:type="dxa"/>
        <w:jc w:val="center"/>
        <w:tblInd w:w="0" w:type="dxa"/>
        <w:tblLayout w:type="fixed"/>
        <w:tblCellMar>
          <w:top w:w="28" w:type="dxa"/>
          <w:left w:w="28" w:type="dxa"/>
          <w:bottom w:w="28" w:type="dxa"/>
          <w:right w:w="28" w:type="dxa"/>
        </w:tblCellMar>
      </w:tblPr>
      <w:tblGrid>
        <w:gridCol w:w="403"/>
        <w:gridCol w:w="248"/>
        <w:gridCol w:w="250"/>
        <w:gridCol w:w="196"/>
        <w:gridCol w:w="556"/>
        <w:gridCol w:w="109"/>
        <w:gridCol w:w="109"/>
        <w:gridCol w:w="109"/>
        <w:gridCol w:w="109"/>
        <w:gridCol w:w="196"/>
        <w:gridCol w:w="556"/>
        <w:gridCol w:w="109"/>
        <w:gridCol w:w="109"/>
        <w:gridCol w:w="109"/>
        <w:gridCol w:w="109"/>
        <w:gridCol w:w="237"/>
        <w:gridCol w:w="229"/>
        <w:gridCol w:w="325"/>
        <w:gridCol w:w="109"/>
        <w:gridCol w:w="109"/>
        <w:gridCol w:w="109"/>
        <w:gridCol w:w="196"/>
        <w:gridCol w:w="556"/>
        <w:gridCol w:w="109"/>
        <w:gridCol w:w="109"/>
        <w:gridCol w:w="109"/>
        <w:gridCol w:w="109"/>
        <w:gridCol w:w="237"/>
        <w:gridCol w:w="229"/>
        <w:gridCol w:w="325"/>
        <w:gridCol w:w="109"/>
        <w:gridCol w:w="109"/>
        <w:gridCol w:w="109"/>
        <w:gridCol w:w="201"/>
        <w:gridCol w:w="572"/>
        <w:gridCol w:w="113"/>
        <w:gridCol w:w="109"/>
        <w:gridCol w:w="109"/>
        <w:gridCol w:w="109"/>
        <w:gridCol w:w="237"/>
        <w:gridCol w:w="229"/>
        <w:gridCol w:w="325"/>
        <w:gridCol w:w="109"/>
        <w:gridCol w:w="109"/>
        <w:gridCol w:w="109"/>
        <w:gridCol w:w="203"/>
        <w:gridCol w:w="389"/>
        <w:gridCol w:w="114"/>
        <w:gridCol w:w="109"/>
        <w:gridCol w:w="109"/>
        <w:gridCol w:w="109"/>
        <w:gridCol w:w="196"/>
        <w:gridCol w:w="466"/>
        <w:gridCol w:w="109"/>
        <w:gridCol w:w="109"/>
        <w:gridCol w:w="109"/>
        <w:gridCol w:w="109"/>
        <w:gridCol w:w="196"/>
        <w:gridCol w:w="556"/>
        <w:gridCol w:w="109"/>
        <w:gridCol w:w="109"/>
        <w:gridCol w:w="109"/>
        <w:gridCol w:w="109"/>
        <w:gridCol w:w="196"/>
        <w:gridCol w:w="466"/>
        <w:gridCol w:w="154"/>
      </w:tblGrid>
      <w:tr>
        <w:trPr/>
        <w:tc>
          <w:tcPr>
            <w:tcW w:w="4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July 4, 2026</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of Goods Sold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color w:val="000000"/>
              </w:rPr>
              <w:t xml:space="preserve"> </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IP litigation </w:t>
            </w:r>
            <w:r>
              <w:rPr>
                <w:rFonts w:ascii="Times New Roman;serif" w:hAnsi="Times New Roman;serif"/>
                <w:b w:val="false"/>
                <w:color w:val="000000"/>
                <w:sz w:val="12"/>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2957" w:type="dxa"/>
        <w:jc w:val="center"/>
        <w:tblInd w:w="0" w:type="dxa"/>
        <w:tblLayout w:type="fixed"/>
        <w:tblCellMar>
          <w:top w:w="28" w:type="dxa"/>
          <w:left w:w="28" w:type="dxa"/>
          <w:bottom w:w="28" w:type="dxa"/>
          <w:right w:w="28" w:type="dxa"/>
        </w:tblCellMar>
      </w:tblPr>
      <w:tblGrid>
        <w:gridCol w:w="553"/>
        <w:gridCol w:w="248"/>
        <w:gridCol w:w="250"/>
        <w:gridCol w:w="196"/>
        <w:gridCol w:w="556"/>
        <w:gridCol w:w="109"/>
        <w:gridCol w:w="109"/>
        <w:gridCol w:w="109"/>
        <w:gridCol w:w="109"/>
        <w:gridCol w:w="196"/>
        <w:gridCol w:w="556"/>
        <w:gridCol w:w="109"/>
        <w:gridCol w:w="109"/>
        <w:gridCol w:w="109"/>
        <w:gridCol w:w="109"/>
        <w:gridCol w:w="237"/>
        <w:gridCol w:w="229"/>
        <w:gridCol w:w="325"/>
        <w:gridCol w:w="109"/>
        <w:gridCol w:w="109"/>
        <w:gridCol w:w="109"/>
        <w:gridCol w:w="196"/>
        <w:gridCol w:w="556"/>
        <w:gridCol w:w="109"/>
        <w:gridCol w:w="109"/>
        <w:gridCol w:w="109"/>
        <w:gridCol w:w="109"/>
        <w:gridCol w:w="237"/>
        <w:gridCol w:w="229"/>
        <w:gridCol w:w="325"/>
        <w:gridCol w:w="109"/>
        <w:gridCol w:w="109"/>
        <w:gridCol w:w="109"/>
        <w:gridCol w:w="225"/>
        <w:gridCol w:w="535"/>
        <w:gridCol w:w="126"/>
        <w:gridCol w:w="109"/>
        <w:gridCol w:w="109"/>
        <w:gridCol w:w="109"/>
        <w:gridCol w:w="237"/>
        <w:gridCol w:w="139"/>
        <w:gridCol w:w="325"/>
        <w:gridCol w:w="109"/>
        <w:gridCol w:w="109"/>
        <w:gridCol w:w="109"/>
        <w:gridCol w:w="203"/>
        <w:gridCol w:w="389"/>
        <w:gridCol w:w="114"/>
        <w:gridCol w:w="109"/>
        <w:gridCol w:w="109"/>
        <w:gridCol w:w="109"/>
        <w:gridCol w:w="196"/>
        <w:gridCol w:w="376"/>
        <w:gridCol w:w="109"/>
        <w:gridCol w:w="109"/>
        <w:gridCol w:w="109"/>
        <w:gridCol w:w="109"/>
        <w:gridCol w:w="196"/>
        <w:gridCol w:w="376"/>
        <w:gridCol w:w="109"/>
        <w:gridCol w:w="109"/>
        <w:gridCol w:w="109"/>
        <w:gridCol w:w="109"/>
        <w:gridCol w:w="196"/>
        <w:gridCol w:w="46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June 28,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of Goods Sold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137" w:type="dxa"/>
        <w:jc w:val="center"/>
        <w:tblInd w:w="0" w:type="dxa"/>
        <w:tblLayout w:type="fixed"/>
        <w:tblCellMar>
          <w:top w:w="28" w:type="dxa"/>
          <w:left w:w="28" w:type="dxa"/>
          <w:bottom w:w="28" w:type="dxa"/>
          <w:right w:w="28" w:type="dxa"/>
        </w:tblCellMar>
      </w:tblPr>
      <w:tblGrid>
        <w:gridCol w:w="553"/>
        <w:gridCol w:w="248"/>
        <w:gridCol w:w="250"/>
        <w:gridCol w:w="196"/>
        <w:gridCol w:w="556"/>
        <w:gridCol w:w="109"/>
        <w:gridCol w:w="109"/>
        <w:gridCol w:w="109"/>
        <w:gridCol w:w="109"/>
        <w:gridCol w:w="196"/>
        <w:gridCol w:w="556"/>
        <w:gridCol w:w="109"/>
        <w:gridCol w:w="109"/>
        <w:gridCol w:w="109"/>
        <w:gridCol w:w="109"/>
        <w:gridCol w:w="237"/>
        <w:gridCol w:w="229"/>
        <w:gridCol w:w="325"/>
        <w:gridCol w:w="109"/>
        <w:gridCol w:w="109"/>
        <w:gridCol w:w="109"/>
        <w:gridCol w:w="196"/>
        <w:gridCol w:w="556"/>
        <w:gridCol w:w="109"/>
        <w:gridCol w:w="109"/>
        <w:gridCol w:w="109"/>
        <w:gridCol w:w="109"/>
        <w:gridCol w:w="237"/>
        <w:gridCol w:w="229"/>
        <w:gridCol w:w="325"/>
        <w:gridCol w:w="109"/>
        <w:gridCol w:w="109"/>
        <w:gridCol w:w="109"/>
        <w:gridCol w:w="225"/>
        <w:gridCol w:w="535"/>
        <w:gridCol w:w="126"/>
        <w:gridCol w:w="109"/>
        <w:gridCol w:w="109"/>
        <w:gridCol w:w="109"/>
        <w:gridCol w:w="237"/>
        <w:gridCol w:w="139"/>
        <w:gridCol w:w="325"/>
        <w:gridCol w:w="109"/>
        <w:gridCol w:w="109"/>
        <w:gridCol w:w="109"/>
        <w:gridCol w:w="203"/>
        <w:gridCol w:w="389"/>
        <w:gridCol w:w="114"/>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June 28,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of Goods Sold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47"/>
        <w:gridCol w:w="462"/>
        <w:gridCol w:w="436"/>
        <w:gridCol w:w="109"/>
        <w:gridCol w:w="109"/>
        <w:gridCol w:w="109"/>
        <w:gridCol w:w="109"/>
        <w:gridCol w:w="223"/>
        <w:gridCol w:w="633"/>
        <w:gridCol w:w="124"/>
        <w:gridCol w:w="109"/>
        <w:gridCol w:w="109"/>
        <w:gridCol w:w="109"/>
        <w:gridCol w:w="237"/>
        <w:gridCol w:w="230"/>
        <w:gridCol w:w="382"/>
        <w:gridCol w:w="109"/>
        <w:gridCol w:w="109"/>
        <w:gridCol w:w="109"/>
        <w:gridCol w:w="263"/>
        <w:gridCol w:w="626"/>
        <w:gridCol w:w="147"/>
        <w:gridCol w:w="109"/>
        <w:gridCol w:w="109"/>
        <w:gridCol w:w="109"/>
        <w:gridCol w:w="237"/>
        <w:gridCol w:w="163"/>
        <w:gridCol w:w="382"/>
        <w:gridCol w:w="109"/>
        <w:gridCol w:w="109"/>
        <w:gridCol w:w="109"/>
        <w:gridCol w:w="230"/>
        <w:gridCol w:w="442"/>
        <w:gridCol w:w="128"/>
        <w:gridCol w:w="109"/>
        <w:gridCol w:w="109"/>
        <w:gridCol w:w="109"/>
        <w:gridCol w:w="209"/>
        <w:gridCol w:w="498"/>
        <w:gridCol w:w="116"/>
        <w:gridCol w:w="109"/>
        <w:gridCol w:w="109"/>
        <w:gridCol w:w="109"/>
        <w:gridCol w:w="212"/>
        <w:gridCol w:w="505"/>
        <w:gridCol w:w="175"/>
      </w:tblGrid>
      <w:tr>
        <w:trPr/>
        <w:tc>
          <w:tcPr>
            <w:tcW w:w="74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September 27, 2025</w:t>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Organizational restructuring</w:t>
            </w:r>
            <w:r>
              <w:rPr>
                <w:color w:val="000000"/>
              </w:rPr>
              <w:t xml:space="preserve"> </w:t>
            </w:r>
            <w:r>
              <w:rPr>
                <w:rFonts w:ascii="Times New Roman;serif" w:hAnsi="Times New Roman;serif"/>
                <w:b w:val="false"/>
                <w:color w:val="000000"/>
                <w:sz w:val="12"/>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Pension plan settlement</w:t>
            </w:r>
            <w:r>
              <w:rPr>
                <w:color w:val="000000"/>
              </w:rPr>
              <w:t xml:space="preserve"> </w:t>
            </w:r>
            <w:r>
              <w:rPr>
                <w:rFonts w:ascii="Times New Roman;serif" w:hAnsi="Times New Roman;serif"/>
                <w:b w:val="false"/>
                <w:color w:val="000000"/>
                <w:sz w:val="12"/>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Deferred compensation plan termination </w:t>
            </w:r>
            <w:r>
              <w:rPr>
                <w:rFonts w:ascii="Times New Roman;serif" w:hAnsi="Times New Roman;serif"/>
                <w:b w:val="false"/>
                <w:color w:val="000000"/>
                <w:sz w:val="12"/>
              </w:rPr>
              <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60"/>
        <w:gridCol w:w="347"/>
        <w:gridCol w:w="349"/>
        <w:gridCol w:w="109"/>
        <w:gridCol w:w="109"/>
        <w:gridCol w:w="109"/>
        <w:gridCol w:w="109"/>
        <w:gridCol w:w="109"/>
        <w:gridCol w:w="109"/>
        <w:gridCol w:w="205"/>
        <w:gridCol w:w="723"/>
        <w:gridCol w:w="114"/>
        <w:gridCol w:w="109"/>
        <w:gridCol w:w="109"/>
        <w:gridCol w:w="109"/>
        <w:gridCol w:w="237"/>
        <w:gridCol w:w="230"/>
        <w:gridCol w:w="355"/>
        <w:gridCol w:w="109"/>
        <w:gridCol w:w="109"/>
        <w:gridCol w:w="109"/>
        <w:gridCol w:w="219"/>
        <w:gridCol w:w="624"/>
        <w:gridCol w:w="123"/>
        <w:gridCol w:w="109"/>
        <w:gridCol w:w="109"/>
        <w:gridCol w:w="109"/>
        <w:gridCol w:w="237"/>
        <w:gridCol w:w="151"/>
        <w:gridCol w:w="355"/>
        <w:gridCol w:w="109"/>
        <w:gridCol w:w="109"/>
        <w:gridCol w:w="109"/>
        <w:gridCol w:w="209"/>
        <w:gridCol w:w="497"/>
        <w:gridCol w:w="116"/>
        <w:gridCol w:w="109"/>
        <w:gridCol w:w="109"/>
        <w:gridCol w:w="109"/>
        <w:gridCol w:w="199"/>
        <w:gridCol w:w="566"/>
        <w:gridCol w:w="111"/>
        <w:gridCol w:w="109"/>
        <w:gridCol w:w="109"/>
        <w:gridCol w:w="109"/>
        <w:gridCol w:w="204"/>
        <w:gridCol w:w="486"/>
        <w:gridCol w:w="172"/>
      </w:tblGrid>
      <w:tr>
        <w:trPr/>
        <w:tc>
          <w:tcPr>
            <w:tcW w:w="7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2" w:type="dxa"/>
            <w:gridSpan w:val="4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Fiscal Year Ended January 3, 2026 (53 weeks)</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1,188.8 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Organizational restructuring</w:t>
            </w:r>
            <w:r>
              <w:rPr>
                <w:color w:val="000000"/>
              </w:rPr>
              <w:t xml:space="preserve"> </w:t>
            </w:r>
            <w:r>
              <w:rPr>
                <w:rFonts w:ascii="Times New Roman;serif" w:hAnsi="Times New Roman;serif"/>
                <w:b w:val="false"/>
                <w:color w:val="000000"/>
                <w:sz w:val="12"/>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Pension plan settlement</w:t>
            </w:r>
            <w:r>
              <w:rPr>
                <w:color w:val="000000"/>
              </w:rPr>
              <w:t xml:space="preserve"> </w:t>
            </w:r>
            <w:r>
              <w:rPr>
                <w:rFonts w:ascii="Times New Roman;serif" w:hAnsi="Times New Roman;serif"/>
                <w:b w:val="false"/>
                <w:color w:val="000000"/>
                <w:sz w:val="12"/>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on extinguishment of debt </w:t>
            </w:r>
            <w:r>
              <w:rPr>
                <w:rFonts w:ascii="Times New Roman;serif" w:hAnsi="Times New Roman;serif"/>
                <w:b w:val="false"/>
                <w:color w:val="000000"/>
                <w:sz w:val="12"/>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Deferred compensation plan termination </w:t>
            </w:r>
            <w:r>
              <w:rPr>
                <w:rFonts w:ascii="Times New Roman;serif" w:hAnsi="Times New Roman;serif"/>
                <w:b w:val="false"/>
                <w:color w:val="000000"/>
                <w:sz w:val="12"/>
              </w:rPr>
              <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 xml:space="preserve">(a)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pPr>
      <w:r>
        <w:rPr>
          <w:rFonts w:ascii="Times New Roman;serif" w:hAnsi="Times New Roman;serif"/>
          <w:b w:val="false"/>
          <w:color w:val="000000"/>
          <w:sz w:val="18"/>
        </w:rPr>
        <w:t>(a)I</w:t>
      </w:r>
      <w:r>
        <w:rPr>
          <w:rFonts w:ascii="Times New Roman;serif" w:hAnsi="Times New Roman;serif"/>
          <w:b w:val="false"/>
          <w:color w:val="000000"/>
          <w:sz w:val="16"/>
        </w:rPr>
        <w:t>n addition to the results provided in this earnings release in accordance with GAAP, the Company has provided adjusted, non-GAAP financial measurements that present COGS, gross profit, SG&amp;A, operating income, interest income, income tax, net income, and net income on a diluted share basis excluding the adjustments discussed above. The Company believes these adjustments provide a meaningful comparison of the Company’s results and afford investors a view of what management considers to be the Company's core performance. The adjusted, non-GAAP financial measurements included in this earnings release should not be considered as an alternative to net income or as any other measurement of performance derived in accordance with GAAP. The adjusted, non-GAAP financial measurements are presented for informational purposes only and are not necessarily indicative of the Company’s future condition or results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(b)Related to $132 million of IEEPA tariff recoveries, including $4 million of interest received.</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(d)Related legal defense costs arising from intellectual property litigation not in the ordinary course of business.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(e)Primarily related to third-party consulting costs.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(f)Related to charges for severance and other termination benefits as a result of organizational restructuring.</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(g)Non-cash charges for settlement of the OshKosh B’Gosh Pension Plan.</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(h)Incremental income tax impact resulting from the announced termination of the Company’s deferred compensation plan.</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(i)Related to redemption of the $500 million senior notes due 2027 and cash-flow based revolving credit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Note: Results may not be additive due to rounding.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INCOME ALLOCABLE TO COMMON SHAREHOLDERS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8"/>
        <w:gridCol w:w="1564"/>
        <w:gridCol w:w="202"/>
        <w:gridCol w:w="759"/>
        <w:gridCol w:w="109"/>
        <w:gridCol w:w="109"/>
        <w:gridCol w:w="109"/>
        <w:gridCol w:w="109"/>
        <w:gridCol w:w="250"/>
        <w:gridCol w:w="711"/>
        <w:gridCol w:w="109"/>
        <w:gridCol w:w="109"/>
        <w:gridCol w:w="109"/>
        <w:gridCol w:w="109"/>
        <w:gridCol w:w="202"/>
        <w:gridCol w:w="759"/>
        <w:gridCol w:w="109"/>
        <w:gridCol w:w="109"/>
        <w:gridCol w:w="109"/>
        <w:gridCol w:w="109"/>
        <w:gridCol w:w="223"/>
        <w:gridCol w:w="738"/>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and common equivalent shares outstanding:</w:t>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number of common shares outstanding</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35,591,295 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35,409,988 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35,542,362 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35,361,039 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number of common and common equivalent shares outstanding</w:t>
            </w:r>
          </w:p>
        </w:tc>
        <w:tc>
          <w:tcPr>
            <w:tcW w:w="9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35,600,160 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35,409,988 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35,547,455 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35,361,644 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reported on a GAAP Basis:</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15,119 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2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As adjusted </w:t>
            </w:r>
            <w:r>
              <w:rPr>
                <w:rFonts w:ascii="Times New Roman;serif" w:hAnsi="Times New Roman;serif"/>
                <w:b/>
                <w:color w:val="000000"/>
                <w:sz w:val="12"/>
                <w:u w:val="single"/>
              </w:rPr>
              <w:t>(a)</w:t>
            </w:r>
            <w:r>
              <w:rPr>
                <w:rFonts w:ascii="Times New Roman;serif" w:hAnsi="Times New Roman;serif"/>
                <w:b/>
                <w:color w:val="000000"/>
                <w:sz w:val="18"/>
                <w:u w:val="single"/>
              </w:rPr>
              <w:t>:</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2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29,186 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(a)In addition to the results provided in this earnings release in accordance with GAAP, the Company has provided adjusted, non-GAAP financial measurements that present per share data excluding the adjustments discussed above. The Company has excluded $95.5 million in after-tax benefits from these results for the fiscal quarter and two fiscal quarters ended July 4, 2026. Additionally, the Company has excluded $5.9 million and $14.1 million in after-tax expenses from these results for the fiscal quarter and two fiscal quarters ended </w:t>
      </w:r>
      <w:r>
        <w:rPr>
          <w:rFonts w:ascii="Times New Roman;serif" w:hAnsi="Times New Roman;serif"/>
          <w:b w:val="false"/>
          <w:color w:val="000000"/>
          <w:sz w:val="16"/>
        </w:rPr>
        <w:t>June 28, 2025</w:t>
      </w:r>
      <w:r>
        <w:rPr>
          <w:rFonts w:ascii="Times New Roman;serif" w:hAnsi="Times New Roman;serif"/>
          <w:b w:val="false"/>
          <w:color w:val="000000"/>
          <w:sz w:val="18"/>
        </w:rPr>
        <w:t xml:space="preserve">, respectively.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Note: Results may not be additive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U.S. GAAP AND NON-GAAP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net income to EBITDA and Adjusted EBITDA for the periods indicated:</w:t>
      </w:r>
    </w:p>
    <w:tbl>
      <w:tblPr>
        <w:tblW w:w="10205" w:type="dxa"/>
        <w:jc w:val="center"/>
        <w:tblInd w:w="0" w:type="dxa"/>
        <w:tblLayout w:type="fixed"/>
        <w:tblCellMar>
          <w:top w:w="28" w:type="dxa"/>
          <w:left w:w="28" w:type="dxa"/>
          <w:bottom w:w="28" w:type="dxa"/>
          <w:right w:w="28" w:type="dxa"/>
        </w:tblCellMar>
      </w:tblPr>
      <w:tblGrid>
        <w:gridCol w:w="967"/>
        <w:gridCol w:w="754"/>
        <w:gridCol w:w="744"/>
        <w:gridCol w:w="109"/>
        <w:gridCol w:w="109"/>
        <w:gridCol w:w="109"/>
        <w:gridCol w:w="208"/>
        <w:gridCol w:w="659"/>
        <w:gridCol w:w="115"/>
        <w:gridCol w:w="109"/>
        <w:gridCol w:w="109"/>
        <w:gridCol w:w="109"/>
        <w:gridCol w:w="269"/>
        <w:gridCol w:w="640"/>
        <w:gridCol w:w="149"/>
        <w:gridCol w:w="109"/>
        <w:gridCol w:w="109"/>
        <w:gridCol w:w="109"/>
        <w:gridCol w:w="209"/>
        <w:gridCol w:w="659"/>
        <w:gridCol w:w="116"/>
        <w:gridCol w:w="116"/>
        <w:gridCol w:w="116"/>
        <w:gridCol w:w="116"/>
        <w:gridCol w:w="269"/>
        <w:gridCol w:w="640"/>
        <w:gridCol w:w="149"/>
        <w:gridCol w:w="109"/>
        <w:gridCol w:w="109"/>
        <w:gridCol w:w="109"/>
        <w:gridCol w:w="400"/>
        <w:gridCol w:w="1275"/>
        <w:gridCol w:w="327"/>
      </w:tblGrid>
      <w:tr>
        <w:trPr/>
        <w:tc>
          <w:tcPr>
            <w:tcW w:w="96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Four Fiscal Quarters Ended </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195.1 </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3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color w:val="000000"/>
              </w:rPr>
              <w:t xml:space="preserve">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IP litigation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Organizational restructuring </w:t>
            </w:r>
            <w:r>
              <w:rPr>
                <w:rFonts w:ascii="Times New Roman;serif" w:hAnsi="Times New Roman;serif"/>
                <w:b w:val="false"/>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on extinguishment of debt </w:t>
            </w:r>
            <w:r>
              <w:rPr>
                <w:rFonts w:ascii="Times New Roman;serif" w:hAnsi="Times New Roman;serif"/>
                <w:b w:val="false"/>
                <w:color w:val="000000"/>
                <w:sz w:val="12"/>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Pension plan settlement </w:t>
            </w:r>
            <w:r>
              <w:rPr>
                <w:rFonts w:ascii="Times New Roman;serif" w:hAnsi="Times New Roman;serif"/>
                <w:b w:val="false"/>
                <w:color w:val="000000"/>
                <w:sz w:val="12"/>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3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3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(a)Related to $128 million of IEEPA tariff recoveries, excluding $4 million of interest received.</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(b)Related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 </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(c)Related legal defense costs arising from intellectual property litigation not in the ordinary course of business.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(d)Primarily related to third-party consulting costs.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(e)Related to charges for severance and other termination benefits as a result of organizational restructuring.</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(f)Related to redemption of the $500 million senior notes due 2027 and cash-flow based revolving credit facility.</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(g)Non-cash charges for settlement of the OshKosh B’Gosh Pension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EBITDA and Adjusted EBITDA are supplemental financial measures that are not defined or prepared in accordance with GAAP. The Company defines EBITDA as net income before interest, income taxes, and depreciation and amortization. Adjusted EBITDA is EBITDA adjusted for the items described in footnotes (a) - (g) to the table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 presents EBITDA and Adjusted EBITDA because it considers them important supplemental measures of its performance and believe they are frequently used by securities analysts, investors, and other interested parties in the evaluation of companies in our industry. These measures also afford investors a view of what management considers to be the Company's core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use of EBITDA and Adjusted EBITDA instead of net income or cash flows from operations has limitations as an analytical tool, and should not be considered in isolation, or as a substitute for analysis of the Company’s results as reported under GAAP. EBITDA and Adjusted EBITDA do not represent net income or cash flow from operations as those terms are defined by GAAP and do not necessarily indicate whether cash flows will be sufficient to fund cash needs. While EBITDA, Adjusted EBITDA and similar measures are frequently used as measures of operations and the ability to meet debt service requirements, these terms are not necessarily comparable to other similarly titled captions of other companies due to the potential inconsistencies in the method of calculation. EBITDA and Adjusted EBITDA do not reflect the impact of earnings or charges resulting from matters that the Company considers not to be indicative of our ongoing operations. Because of these limitations, EBITDA and Adjusted EBITDA should not be considered as discretionary cash available to the Company for working capital, debt service and other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U.S. GAAP AND NON-GAAP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200"/>
        <w:jc w:val="both"/>
        <w:rPr/>
      </w:pPr>
      <w:r>
        <w:rPr/>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table below reflects the calculation of constant currency net sales on a consolidated and International segment basis for the fiscal quarter and two fiscal quarters ended July 4, 2026:</w:t>
      </w:r>
    </w:p>
    <w:tbl>
      <w:tblPr>
        <w:tblW w:w="10205" w:type="dxa"/>
        <w:jc w:val="center"/>
        <w:tblInd w:w="0" w:type="dxa"/>
        <w:tblLayout w:type="fixed"/>
        <w:tblCellMar>
          <w:top w:w="28" w:type="dxa"/>
          <w:left w:w="28" w:type="dxa"/>
          <w:bottom w:w="28" w:type="dxa"/>
          <w:right w:w="28" w:type="dxa"/>
        </w:tblCellMar>
      </w:tblPr>
      <w:tblGrid>
        <w:gridCol w:w="409"/>
        <w:gridCol w:w="359"/>
        <w:gridCol w:w="361"/>
        <w:gridCol w:w="207"/>
        <w:gridCol w:w="587"/>
        <w:gridCol w:w="115"/>
        <w:gridCol w:w="109"/>
        <w:gridCol w:w="109"/>
        <w:gridCol w:w="109"/>
        <w:gridCol w:w="329"/>
        <w:gridCol w:w="633"/>
        <w:gridCol w:w="184"/>
        <w:gridCol w:w="109"/>
        <w:gridCol w:w="109"/>
        <w:gridCol w:w="109"/>
        <w:gridCol w:w="380"/>
        <w:gridCol w:w="1079"/>
        <w:gridCol w:w="212"/>
        <w:gridCol w:w="109"/>
        <w:gridCol w:w="109"/>
        <w:gridCol w:w="109"/>
        <w:gridCol w:w="207"/>
        <w:gridCol w:w="587"/>
        <w:gridCol w:w="115"/>
        <w:gridCol w:w="109"/>
        <w:gridCol w:w="109"/>
        <w:gridCol w:w="109"/>
        <w:gridCol w:w="236"/>
        <w:gridCol w:w="236"/>
        <w:gridCol w:w="555"/>
        <w:gridCol w:w="109"/>
        <w:gridCol w:w="109"/>
        <w:gridCol w:w="109"/>
        <w:gridCol w:w="370"/>
        <w:gridCol w:w="370"/>
        <w:gridCol w:w="1039"/>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 Translation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Constant-Currency Net Sales </w:t>
              <w:b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Net Sales %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Constant-Currency Net Sales % Change</w:t>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segment net sales</w:t>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9"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6"/>
        <w:gridCol w:w="347"/>
        <w:gridCol w:w="349"/>
        <w:gridCol w:w="200"/>
        <w:gridCol w:w="706"/>
        <w:gridCol w:w="111"/>
        <w:gridCol w:w="109"/>
        <w:gridCol w:w="109"/>
        <w:gridCol w:w="109"/>
        <w:gridCol w:w="311"/>
        <w:gridCol w:w="597"/>
        <w:gridCol w:w="174"/>
        <w:gridCol w:w="109"/>
        <w:gridCol w:w="109"/>
        <w:gridCol w:w="109"/>
        <w:gridCol w:w="323"/>
        <w:gridCol w:w="1143"/>
        <w:gridCol w:w="182"/>
        <w:gridCol w:w="109"/>
        <w:gridCol w:w="109"/>
        <w:gridCol w:w="109"/>
        <w:gridCol w:w="200"/>
        <w:gridCol w:w="706"/>
        <w:gridCol w:w="111"/>
        <w:gridCol w:w="109"/>
        <w:gridCol w:w="109"/>
        <w:gridCol w:w="109"/>
        <w:gridCol w:w="226"/>
        <w:gridCol w:w="226"/>
        <w:gridCol w:w="531"/>
        <w:gridCol w:w="109"/>
        <w:gridCol w:w="109"/>
        <w:gridCol w:w="109"/>
        <w:gridCol w:w="360"/>
        <w:gridCol w:w="360"/>
        <w:gridCol w:w="1011"/>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 Translation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Constant-Currency Net Sales </w:t>
              <w:b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Net Sales %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Constant-Currency Net Sales % Change</w:t>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segment net sales</w:t>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60" w:before="0" w:after="200"/>
        <w:jc w:val="both"/>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Company evaluates its net sales on both an “as reported” and a “constant currency” basis. The constant currency presentation, which is a non-GAAP measure, excludes the impact of fluctuations in foreign currency exchange rates that occurred between the comparative periods. Constant currency net sales results are calculated by translating current period net sales in local currency to the U.S. dollar amount by using the currency conversion rate for the prior comparative period. The Company consistently applies this approach to net sales for all countries where the functional currency is not the U.S. dollar. The Company believes that the presentation of net sales on a constant currency basis provides useful supplemental information regarding changes in its net sales that were not due to fluctuations in currency exchange rates and such information is consistent with how the Company assesses changes in its net sales between comparative periods.</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ind w:left="0" w:right="0" w:firstLine="720"/>
        <w:jc w:val="both"/>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6932</Words>
  <Characters>37607</Characters>
  <CharactersWithSpaces>43786</CharactersWithSpaces>
  <Paragraphs>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