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29, 2018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 (Do not check if a smaller reporting company) Smaller Reporting Company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4"/>
          <w:szCs w:val="24"/>
          <w:color w:val="auto"/>
        </w:rPr>
      </w:pPr>
    </w:p>
    <w:p>
      <w:pPr>
        <w:spacing w:after="0" w:line="26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650"/>
              <w:spacing w:after="0"/>
              <w:rPr>
                <w:sz w:val="20"/>
                <w:szCs w:val="20"/>
                <w:color w:val="auto"/>
              </w:rPr>
            </w:pPr>
            <w:r>
              <w:rPr>
                <w:rFonts w:ascii="Arial" w:cs="Arial" w:eastAsia="Arial" w:hAnsi="Arial"/>
                <w:sz w:val="18"/>
                <w:szCs w:val="18"/>
                <w:b w:val="1"/>
                <w:bCs w:val="1"/>
                <w:color w:val="auto"/>
              </w:rPr>
              <w:t>Outstanding Shares at October 19, 2018</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45,848,908</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60" w:type="dxa"/>
            <w:vAlign w:val="bottom"/>
            <w:gridSpan w:val="12"/>
          </w:tcPr>
          <w:p>
            <w:pPr>
              <w:jc w:val="center"/>
              <w:ind w:right="2280"/>
              <w:spacing w:after="0"/>
              <w:rPr>
                <w:sz w:val="20"/>
                <w:szCs w:val="20"/>
                <w:color w:val="auto"/>
              </w:rPr>
            </w:pPr>
            <w:r>
              <w:rPr>
                <w:rFonts w:ascii="Arial" w:cs="Arial" w:eastAsia="Arial" w:hAnsi="Arial"/>
                <w:sz w:val="20"/>
                <w:szCs w:val="20"/>
                <w:b w:val="1"/>
                <w:bCs w:val="1"/>
                <w:color w:val="auto"/>
                <w:w w:val="99"/>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60" w:type="dxa"/>
            <w:vAlign w:val="bottom"/>
            <w:gridSpan w:val="11"/>
          </w:tcPr>
          <w:p>
            <w:pPr>
              <w:jc w:val="center"/>
              <w:ind w:right="2980"/>
              <w:spacing w:after="0"/>
              <w:rPr>
                <w:sz w:val="20"/>
                <w:szCs w:val="20"/>
                <w:color w:val="auto"/>
              </w:rPr>
            </w:pPr>
            <w:r>
              <w:rPr>
                <w:rFonts w:ascii="Arial" w:cs="Arial" w:eastAsia="Arial" w:hAnsi="Arial"/>
                <w:sz w:val="20"/>
                <w:szCs w:val="20"/>
                <w:b w:val="1"/>
                <w:bCs w:val="1"/>
                <w:color w:val="auto"/>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340" w:type="dxa"/>
            <w:vAlign w:val="bottom"/>
            <w:gridSpan w:val="3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340" w:type="dxa"/>
            <w:vAlign w:val="bottom"/>
            <w:gridSpan w:val="30"/>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w w:val="89"/>
              </w:rPr>
              <w:t>Unaudited Condensed Consolidated Balance Sheets as of September 29, 2018, December 30, 2017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tcBorders>
              <w:top w:val="single" w:sz="8" w:color="0000FF"/>
            </w:tcBorders>
            <w:gridSpan w:val="22"/>
          </w:tcPr>
          <w:p>
            <w:pPr>
              <w:spacing w:after="0" w:line="196" w:lineRule="exact"/>
              <w:rPr>
                <w:sz w:val="20"/>
                <w:szCs w:val="20"/>
                <w:color w:val="auto"/>
              </w:rPr>
            </w:pPr>
            <w:r>
              <w:rPr>
                <w:rFonts w:ascii="Arial" w:cs="Arial" w:eastAsia="Arial" w:hAnsi="Arial"/>
                <w:sz w:val="18"/>
                <w:szCs w:val="18"/>
                <w:color w:val="0000FF"/>
              </w:rPr>
              <w:t>September 30, 2017</w:t>
            </w:r>
          </w:p>
        </w:tc>
        <w:tc>
          <w:tcPr>
            <w:tcW w:w="10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FF"/>
            </w:tcBorders>
            <w:gridSpan w:val="19"/>
            <w:shd w:val="clear" w:color="auto" w:fill="CCEEFF"/>
          </w:tcPr>
          <w:p>
            <w:pPr>
              <w:spacing w:after="0" w:line="202" w:lineRule="exact"/>
              <w:rPr>
                <w:sz w:val="20"/>
                <w:szCs w:val="20"/>
                <w:color w:val="auto"/>
              </w:rPr>
            </w:pPr>
            <w:r>
              <w:rPr>
                <w:rFonts w:ascii="Arial" w:cs="Arial" w:eastAsia="Arial" w:hAnsi="Arial"/>
                <w:sz w:val="18"/>
                <w:szCs w:val="18"/>
                <w:color w:val="0000FF"/>
                <w:w w:val="89"/>
                <w:shd w:val="clear" w:color="auto" w:fill="CCEEFF"/>
              </w:rPr>
              <w:t>Unaudited Condensed Consolidated Statements of Operations for the fiscal quarter and three fiscal</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340" w:type="dxa"/>
            <w:vAlign w:val="bottom"/>
            <w:gridSpan w:val="14"/>
            <w:shd w:val="clear" w:color="auto" w:fill="CCEEFF"/>
          </w:tcPr>
          <w:p>
            <w:pPr>
              <w:spacing w:after="0" w:line="196" w:lineRule="exact"/>
              <w:rPr>
                <w:sz w:val="20"/>
                <w:szCs w:val="20"/>
                <w:color w:val="auto"/>
              </w:rPr>
            </w:pPr>
            <w:r>
              <w:rPr>
                <w:rFonts w:ascii="Arial" w:cs="Arial" w:eastAsia="Arial" w:hAnsi="Arial"/>
                <w:sz w:val="18"/>
                <w:szCs w:val="18"/>
                <w:color w:val="0000FF"/>
                <w:w w:val="87"/>
                <w:shd w:val="clear" w:color="auto" w:fill="CCEEFF"/>
              </w:rPr>
              <w:t>quarters ended September 29, 2018 and September 30, 2017</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w w:val="93"/>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three fiscal quarters ended September 29, 2018 and September 30, 2017</w:t>
            </w:r>
          </w:p>
        </w:tc>
        <w:tc>
          <w:tcPr>
            <w:tcW w:w="320" w:type="dxa"/>
            <w:vAlign w:val="bottom"/>
            <w:gridSpan w:val="3"/>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FF"/>
            </w:tcBorders>
            <w:gridSpan w:val="21"/>
            <w:shd w:val="clear" w:color="auto" w:fill="CCEEFF"/>
          </w:tcPr>
          <w:p>
            <w:pPr>
              <w:spacing w:after="0" w:line="202" w:lineRule="exact"/>
              <w:rPr>
                <w:sz w:val="20"/>
                <w:szCs w:val="20"/>
                <w:color w:val="auto"/>
              </w:rPr>
            </w:pPr>
            <w:r>
              <w:rPr>
                <w:rFonts w:ascii="Arial" w:cs="Arial" w:eastAsia="Arial" w:hAnsi="Arial"/>
                <w:sz w:val="18"/>
                <w:szCs w:val="18"/>
                <w:color w:val="0000FF"/>
                <w:w w:val="90"/>
                <w:shd w:val="clear" w:color="auto" w:fill="CCEEFF"/>
              </w:rPr>
              <w:t>Unaudited Condensed Consolidated Statement of Changes in Stockholders' Equity for the three fiscal</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540" w:type="dxa"/>
            <w:vAlign w:val="bottom"/>
            <w:gridSpan w:val="11"/>
            <w:shd w:val="clear" w:color="auto" w:fill="CCEEFF"/>
          </w:tcPr>
          <w:p>
            <w:pPr>
              <w:spacing w:after="0" w:line="196" w:lineRule="exact"/>
              <w:rPr>
                <w:sz w:val="20"/>
                <w:szCs w:val="20"/>
                <w:color w:val="auto"/>
              </w:rPr>
            </w:pPr>
            <w:r>
              <w:rPr>
                <w:rFonts w:ascii="Arial" w:cs="Arial" w:eastAsia="Arial" w:hAnsi="Arial"/>
                <w:sz w:val="18"/>
                <w:szCs w:val="18"/>
                <w:color w:val="0000FF"/>
                <w:w w:val="87"/>
                <w:shd w:val="clear" w:color="auto" w:fill="CCEEFF"/>
              </w:rPr>
              <w:t>quarters ended September 29, 2018</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60" w:type="dxa"/>
            <w:vAlign w:val="bottom"/>
            <w:tcBorders>
              <w:bottom w:val="single" w:sz="8" w:color="0000FF"/>
            </w:tcBorders>
            <w:gridSpan w:val="18"/>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Cash Flows for the three fiscal quarters ended</w:t>
            </w:r>
          </w:p>
        </w:tc>
        <w:tc>
          <w:tcPr>
            <w:tcW w:w="5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196" w:lineRule="exact"/>
              <w:rPr>
                <w:sz w:val="20"/>
                <w:szCs w:val="20"/>
                <w:color w:val="auto"/>
              </w:rPr>
            </w:pPr>
            <w:r>
              <w:rPr>
                <w:rFonts w:ascii="Arial" w:cs="Arial" w:eastAsia="Arial" w:hAnsi="Arial"/>
                <w:sz w:val="18"/>
                <w:szCs w:val="18"/>
                <w:color w:val="0000FF"/>
              </w:rPr>
              <w:t>September 29, 2018 and September 30, 2017</w:t>
            </w: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0"/>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5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Item 2</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8"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2018</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30, 2017</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September 30, 2017</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105,370</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293,489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240,561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285,651</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609,996</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57,000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52,935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50,956</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1,167,372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1,020,712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1,051,973</w:t>
            </w: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7"/>
              </w:rPr>
              <w:t>Property, plant, and equipment, net of accumulated depreciation of $450,460,</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rPr>
              <w:t>$404,173, and $387,041, respectively</w:t>
            </w:r>
          </w:p>
        </w:tc>
        <w:tc>
          <w:tcPr>
            <w:tcW w:w="200" w:type="dxa"/>
            <w:vAlign w:val="bottom"/>
          </w:tcPr>
          <w:p>
            <w:pPr>
              <w:spacing w:after="0"/>
              <w:rPr>
                <w:sz w:val="17"/>
                <w:szCs w:val="17"/>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360,718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377,924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382,014</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Tradenames,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229,611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230,424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234,193</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46,622</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28,966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28,435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26,539</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2,197,946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2,106,936</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193,878</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133,021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149,134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137,114</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318,306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331,248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330,992</w:t>
            </w: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687,074</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87,888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84,944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138,161</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182,547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178,878</w:t>
            </w:r>
          </w:p>
        </w:tc>
      </w:tr>
      <w:tr>
        <w:trPr>
          <w:trHeight w:val="217"/>
        </w:trPr>
        <w:tc>
          <w:tcPr>
            <w:tcW w:w="538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1,386,761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1,213,626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1,335,105</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Commitments and contingencies - Note 14</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Preferred stock; par value $.01 per share; 100,000 shares authorized; none issued</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03"/>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or outstanding at September 29, 2018, December 30, 2017, and September 30,</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2"/>
              </w:rPr>
              <w:t>Common stock, voting; par value $.01 per share; 150,000,000 shares authorized;</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3"/>
        </w:trPr>
        <w:tc>
          <w:tcPr>
            <w:tcW w:w="5380" w:type="dxa"/>
            <w:vAlign w:val="bottom"/>
          </w:tcPr>
          <w:p>
            <w:pPr>
              <w:ind w:left="40"/>
              <w:spacing w:after="0"/>
              <w:rPr>
                <w:sz w:val="20"/>
                <w:szCs w:val="20"/>
                <w:color w:val="auto"/>
              </w:rPr>
            </w:pPr>
            <w:r>
              <w:rPr>
                <w:rFonts w:ascii="Arial" w:cs="Arial" w:eastAsia="Arial" w:hAnsi="Arial"/>
                <w:sz w:val="16"/>
                <w:szCs w:val="16"/>
                <w:color w:val="auto"/>
              </w:rPr>
              <w:t>46,041,329, 47,178,346 and 47,419,316 shares issued and outstanding at</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w w:val="93"/>
              </w:rPr>
              <w:t>September 29, 2018, December 30, 2017 and September 30, 2017, respectively</w:t>
            </w:r>
          </w:p>
        </w:tc>
        <w:tc>
          <w:tcPr>
            <w:tcW w:w="200" w:type="dxa"/>
            <w:vAlign w:val="bottom"/>
          </w:tcPr>
          <w:p>
            <w:pPr>
              <w:spacing w:after="0"/>
              <w:rPr>
                <w:sz w:val="17"/>
                <w:szCs w:val="17"/>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(26,496)</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843,043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886,037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797,853</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771,831</w:t>
            </w:r>
          </w:p>
        </w:tc>
      </w:tr>
      <w:tr>
        <w:trPr>
          <w:trHeight w:val="244"/>
        </w:trPr>
        <w:tc>
          <w:tcPr>
            <w:tcW w:w="5380" w:type="dxa"/>
            <w:vAlign w:val="bottom"/>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2,197,946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2,106,936</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100"/>
              <w:spacing w:after="0"/>
              <w:rPr>
                <w:sz w:val="20"/>
                <w:szCs w:val="20"/>
                <w:color w:val="auto"/>
              </w:rPr>
            </w:pPr>
            <w:r>
              <w:rPr>
                <w:rFonts w:ascii="Arial" w:cs="Arial" w:eastAsia="Arial" w:hAnsi="Arial"/>
                <w:sz w:val="16"/>
                <w:szCs w:val="16"/>
                <w:b w:val="1"/>
                <w:bCs w:val="1"/>
                <w:color w:val="auto"/>
              </w:rPr>
              <w:t>Fiscal quarter ended</w:t>
            </w:r>
          </w:p>
        </w:tc>
        <w:tc>
          <w:tcPr>
            <w:tcW w:w="200" w:type="dxa"/>
            <w:vAlign w:val="bottom"/>
          </w:tcPr>
          <w:p>
            <w:pPr>
              <w:spacing w:after="0"/>
              <w:rPr>
                <w:sz w:val="18"/>
                <w:szCs w:val="18"/>
                <w:color w:val="auto"/>
              </w:rPr>
            </w:pPr>
          </w:p>
        </w:tc>
        <w:tc>
          <w:tcPr>
            <w:tcW w:w="37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20"/>
                <w:szCs w:val="20"/>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September 30, 2017</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923,907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948,046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2,375,890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2,372,624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536,457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544,468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1,346,005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1,350,107</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387,450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403,578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1,029,885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1,022,517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10,224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10,350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28,573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32,118</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294,117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283,480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837,621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781,420</w:t>
            </w: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103,557</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130,448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220,837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273,215</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93,839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123,243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194,993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252,695</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22,069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85,992</w:t>
            </w: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71,770</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151,506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166,703</w:t>
            </w:r>
          </w:p>
        </w:tc>
      </w:tr>
      <w:tr>
        <w:trPr>
          <w:trHeight w:val="203"/>
        </w:trPr>
        <w:tc>
          <w:tcPr>
            <w:tcW w:w="3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8"/>
              </w:rPr>
              <w:t>Dividend declared and paid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1.11</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100"/>
              <w:spacing w:after="0"/>
              <w:rPr>
                <w:sz w:val="20"/>
                <w:szCs w:val="20"/>
                <w:color w:val="auto"/>
              </w:rPr>
            </w:pPr>
            <w:r>
              <w:rPr>
                <w:rFonts w:ascii="Arial" w:cs="Arial" w:eastAsia="Arial" w:hAnsi="Arial"/>
                <w:sz w:val="16"/>
                <w:szCs w:val="16"/>
                <w:b w:val="1"/>
                <w:bCs w:val="1"/>
                <w:color w:val="auto"/>
              </w:rPr>
              <w:t>Fiscal quarter ended</w:t>
            </w:r>
          </w:p>
        </w:tc>
        <w:tc>
          <w:tcPr>
            <w:tcW w:w="200" w:type="dxa"/>
            <w:vAlign w:val="bottom"/>
          </w:tcPr>
          <w:p>
            <w:pPr>
              <w:spacing w:after="0"/>
              <w:rPr>
                <w:sz w:val="18"/>
                <w:szCs w:val="18"/>
                <w:color w:val="auto"/>
              </w:rPr>
            </w:pPr>
          </w:p>
        </w:tc>
        <w:tc>
          <w:tcPr>
            <w:tcW w:w="37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20"/>
                <w:szCs w:val="20"/>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September 30, 2017</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71,770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166,703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8,244</w:t>
            </w:r>
          </w:p>
        </w:tc>
      </w:tr>
      <w:tr>
        <w:trPr>
          <w:trHeight w:val="244"/>
        </w:trPr>
        <w:tc>
          <w:tcPr>
            <w:tcW w:w="33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74,983</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86,473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148,281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174,947</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88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Common stock -</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28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47,178,346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r>
      <w:tr>
        <w:trPr>
          <w:trHeight w:val="237"/>
        </w:trPr>
        <w:tc>
          <w:tcPr>
            <w:tcW w:w="28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160,363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8,732</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123,708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(1,364,420)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(131,386)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(145,493)</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(63,114)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151,506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148,281</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29, 2018</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46,041,329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843,043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811,185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20"/>
                <w:szCs w:val="20"/>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September 30, 2017</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151,506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166,703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63,441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60,455</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Adjustment to earn-out liability</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12,110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13,451</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exchange gain,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Provisions for doubtful accounts receivable from customers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15,547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3,723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plant, and equipment, net of recoveries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changes in operating assets and liabilities, net of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(68,333)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(66,021)</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Finished goods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(81,285)</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(5,312)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(18,018)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40,879</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117,506</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Acquisitions of businesses, net of cash acquired</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(159,365)</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Disposals and recoveries from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(47,372)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(211,021)</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debt issuance costs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Borrowings under secured revolving credit facility</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290,000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200,000</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(93,965)</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(145,493)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(150,974)</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(53,443)</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Withholdings from vestings of restricted stock</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(5,654)</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5,140</w:t>
            </w:r>
          </w:p>
        </w:tc>
      </w:tr>
      <w:tr>
        <w:trPr>
          <w:trHeight w:val="217"/>
        </w:trPr>
        <w:tc>
          <w:tcPr>
            <w:tcW w:w="7440" w:type="dxa"/>
            <w:vAlign w:val="bottom"/>
          </w:tcPr>
          <w:p>
            <w:pPr>
              <w:ind w:left="60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(101,034)</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(193,988)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178,494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299,358</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105,370</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Carter's, Inc. and its wholly owned subsidiaries (collectively, the "Company," "its," "us" and "our") design, source, and market branded childrenswear and related products under the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w:t>
      </w:r>
      <w:r>
        <w:rPr>
          <w:rFonts w:ascii="Arial" w:cs="Arial" w:eastAsia="Arial" w:hAnsi="Arial"/>
          <w:sz w:val="17"/>
          <w:szCs w:val="17"/>
          <w:i w:val="1"/>
          <w:iCs w:val="1"/>
          <w:color w:val="auto"/>
        </w:rPr>
        <w:t>Just One You</w:t>
      </w:r>
      <w:r>
        <w:rPr>
          <w:rFonts w:ascii="Arial" w:cs="Arial" w:eastAsia="Arial" w:hAnsi="Arial"/>
          <w:sz w:val="17"/>
          <w:szCs w:val="17"/>
          <w:color w:val="auto"/>
        </w:rPr>
        <w:t xml:space="preserve">, </w:t>
      </w:r>
      <w:r>
        <w:rPr>
          <w:rFonts w:ascii="Arial" w:cs="Arial" w:eastAsia="Arial" w:hAnsi="Arial"/>
          <w:sz w:val="17"/>
          <w:szCs w:val="17"/>
          <w:i w:val="1"/>
          <w:iCs w:val="1"/>
          <w:color w:val="auto"/>
        </w:rPr>
        <w:t>Precious Firsts</w:t>
      </w:r>
      <w:r>
        <w:rPr>
          <w:rFonts w:ascii="Arial" w:cs="Arial" w:eastAsia="Arial" w:hAnsi="Arial"/>
          <w:sz w:val="17"/>
          <w:szCs w:val="17"/>
          <w:color w:val="auto"/>
        </w:rPr>
        <w:t xml:space="preserve">, </w:t>
      </w:r>
      <w:r>
        <w:rPr>
          <w:rFonts w:ascii="Arial" w:cs="Arial" w:eastAsia="Arial" w:hAnsi="Arial"/>
          <w:sz w:val="17"/>
          <w:szCs w:val="17"/>
          <w:i w:val="1"/>
          <w:iCs w:val="1"/>
          <w:color w:val="auto"/>
        </w:rPr>
        <w:t>Simple Joys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 B'gosh</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September 29, 2018, the Company operated 1,061 retail stores in the United States, Canada, and Mexico.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three fiscal quarters ended September 29, 2018 are not necessarily indicative of the results that may be expected for the current fiscal year ending December 29, 2018.</w:t>
      </w:r>
    </w:p>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The accompanying condensed consolidated balance sheet as of December 30, 2017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 As disclosed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at the beginning of fiscal 2018 the Company adopted the Financial Accounting Standards Board's ("FASB")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(“ASC 606”) using the full retrospective adoption method. The full retrospective method required the Company to apply the standard to the financial statements for the period of adoption as well as to each prior reporting period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(ASC No. 606)</w:t>
      </w:r>
    </w:p>
    <w:p>
      <w:pPr>
        <w:spacing w:after="0" w:line="9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At the beginning of fiscal 2018, the Company adopted the provisions of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related amendments (“ASC 606”) using the full retrospective adoption method.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additional information.</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8" w:name="page9"/>
    <w:bookmarkEnd w:id="8"/>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9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revenue as the performance obligations are satisfied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Retail Revenues - For transactions in stores, the Company satisfies its performance obligation at point of sale when the customer takes possession of the goods and tenders payment. The redemption of loyalty points under the Company's rewards program and redemptions of gift cards may be part of a transaction. For purchases made through the Company’s eCommerce channel, revenue is recognized when the goods are physically delivered to the customer.</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satisfies its performance obligations with licensees over time as customers have the right to use the intellectual property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establishes return provisions for retail customers. It is the Company's policy not to accept returns from wholesale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9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retail transactions, no significant judgments are involved since revenue is recognized at the point of sale when tender is exchanged and the customer receives the goods.</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Charges - Charges that are incurred before and after the customer obtains control of goods are deemed to be fulfillment costs.</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Costs Related to Defined Benefit Pension and Other Post-retirement Benefit Plans (ASU 2017-07)</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the beginning of fiscal 2018, the Company adopted ASU No. 2017-07, </w:t>
      </w:r>
      <w:r>
        <w:rPr>
          <w:rFonts w:ascii="Arial" w:cs="Arial" w:eastAsia="Arial" w:hAnsi="Arial"/>
          <w:sz w:val="17"/>
          <w:szCs w:val="17"/>
          <w:i w:val="1"/>
          <w:iCs w:val="1"/>
          <w:color w:val="auto"/>
        </w:rPr>
        <w:t>Compensation - Retirement Benefits (Topic 715: Improving the Presentation of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Periodic Pension Cost and Net Periodic Post-retirement Benefit Cost </w:t>
      </w:r>
      <w:r>
        <w:rPr>
          <w:rFonts w:ascii="Arial" w:cs="Arial" w:eastAsia="Arial" w:hAnsi="Arial"/>
          <w:sz w:val="17"/>
          <w:szCs w:val="17"/>
          <w:color w:val="auto"/>
        </w:rPr>
        <w:t>("ASU 2017-07"). ASU 2017-07 changes how employers that sponsor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and/or other post-retirement benefit plans present the net periodic benefit costs in the statement of operations. Under this new guidance, an employer's statement of operations presents service cost arising in the current period in the same statement line item as other employee compensation. However, all other components of current period costs related to defined benefit plans, such as prior service costs and actuarial gains and losses, are presented on the statement of operations on a line item outside (or below) operating income. ASU 2017-07 affects only the classification of certain costs on the statement of operations, not the determination of costs. Net periodic pension costs related to the Company's frozen defined benefit pension plan and post-retirement medical benefit plan were not material for the third quarter of fiscal 2018, three fiscal quarters of 2018, or prior periods. Prior period results have not been reclassified on the Company's statement of operations due to materiality.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Share-based Compensation Awards (ASU 2017-09)</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At the beginning of fiscal 2018, the Company adopted ASU No. 2017-09, </w:t>
      </w:r>
      <w:r>
        <w:rPr>
          <w:rFonts w:ascii="Arial" w:cs="Arial" w:eastAsia="Arial" w:hAnsi="Arial"/>
          <w:sz w:val="18"/>
          <w:szCs w:val="18"/>
          <w:i w:val="1"/>
          <w:iCs w:val="1"/>
          <w:color w:val="auto"/>
        </w:rPr>
        <w:t>Compensation-Stock Compensation Topic 718-Scope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2017-09"). ASU 2017-09 clarifies when changes to the terms and conditions of share-based payment awards must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Entities apply the modification accounting guidance if the value, vesting conditions, or classification of an award changes. The Company has not modified any share-based payment awards. If the Company modifies share-based payment awards in the future, it will apply the provisions of ASU 2017-09.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 Business (ASU 2017-01)</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the beginning of fiscal 2018, the Company adopted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ASU 2017-01 assists entities in determining if acquired assets constitute the acquisition of a business or the acquisition of assets for accounting and reporting purposes. This distinction is important because goodwill can only be recognized in an acquisition of a business. Prior to ASU 2017-01, if revenues were generated immediately before and after a transaction, the acquisition was typically considered a business. Under ASU 2017-01, entities are required to further assess the substance of the processes they acquire. If the Company commences or completes an acquisition in future periods, it will apply the provisions of ASU 2017-01.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 (ASU 2016-15)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the beginning of fiscal 2018, the Company adopted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ASU 2016-15</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represents a consensus of the FASB’s Emerging Issues Task Force on eight separate issues that, if present, can impact classifications on the statement of cash flows. The guidance requires application using a retrospective transition method. The adoption of ASU 2016-15 only impacted the classification of certain insurance proceeds on the Company's consolidated statement of cash flows for the first three quarters of fiscal 2018.</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37" w:right="279" w:bottom="1440" w:gutter="0" w:footer="0" w:header="0"/>
        </w:sectPr>
      </w:pPr>
    </w:p>
    <w:bookmarkStart w:id="10" w:name="page11"/>
    <w:bookmarkEnd w:id="10"/>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At the beginning of fiscal 2018, the Company adopted the provisions of ASC 606 using the full retrospective adoption method. Under the full retrospective method, the Company adjusted all periods in fiscal 2017 and fiscal 2016 to reflect the provisions of ASC 606, and retained earnings at January 2, 2016 (beginning of fiscal 2016) were adjusted for the cumulative effect for prior periods. Refer to the section "Revenue from Contracts with Customers (ASC No. 606)"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for changes to the Company's accounting policies due to the adoption of ASC 606.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ASC 606 affected the Company's retail channels as follows:</w:t>
      </w:r>
    </w:p>
    <w:p>
      <w:pPr>
        <w:spacing w:after="0" w:line="90" w:lineRule="exact"/>
        <w:rPr>
          <w:sz w:val="20"/>
          <w:szCs w:val="20"/>
          <w:color w:val="auto"/>
        </w:rPr>
      </w:pPr>
    </w:p>
    <w:p>
      <w:pPr>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the recognition of breakage revenue from unredeemed gift cards, which affected net sales, gross profit, income before income taxes, and net income on the Company's statements of operations. Basic and diluted net income per share were affected by $0.01 or less for each reporting period. Related gift card liabilities and income tax liabilities were also affected.</w:t>
      </w:r>
    </w:p>
    <w:p>
      <w:pPr>
        <w:spacing w:after="0" w:line="46"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estimated value of goods expected to be returned by customers was reclassified between net sales and cost of goods sold, with no net effect on gross profit, income before income taxes, or net income on the Company's statement of operations. Related reclassifications were also made between other current assets and other current liabilities on the Company's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retrospective adoption on the Company's consolidated Statements of Operations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Three Fiscal</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Third Quarter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Quarters</w:t>
            </w:r>
          </w:p>
        </w:tc>
        <w:tc>
          <w:tcPr>
            <w:tcW w:w="420" w:type="dxa"/>
            <w:vAlign w:val="bottom"/>
          </w:tcPr>
          <w:p>
            <w:pPr>
              <w:spacing w:after="0"/>
              <w:rPr>
                <w:sz w:val="18"/>
                <w:szCs w:val="18"/>
                <w:color w:val="auto"/>
              </w:rPr>
            </w:pPr>
          </w:p>
        </w:tc>
        <w:tc>
          <w:tcPr>
            <w:tcW w:w="11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Year</w:t>
            </w:r>
          </w:p>
        </w:tc>
        <w:tc>
          <w:tcPr>
            <w:tcW w:w="440" w:type="dxa"/>
            <w:vAlign w:val="bottom"/>
          </w:tcPr>
          <w:p>
            <w:pPr>
              <w:spacing w:after="0"/>
              <w:rPr>
                <w:sz w:val="18"/>
                <w:szCs w:val="18"/>
                <w:color w:val="auto"/>
              </w:rPr>
            </w:pPr>
          </w:p>
        </w:tc>
        <w:tc>
          <w:tcPr>
            <w:tcW w:w="11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Year</w:t>
            </w:r>
          </w:p>
        </w:tc>
      </w:tr>
      <w:tr>
        <w:trPr>
          <w:trHeight w:val="236"/>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w w:val="86"/>
              </w:rPr>
              <w:t>Fiscal 2017</w:t>
            </w:r>
          </w:p>
        </w:tc>
        <w:tc>
          <w:tcPr>
            <w:tcW w:w="28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Fiscal 2017</w:t>
            </w:r>
          </w:p>
        </w:tc>
        <w:tc>
          <w:tcPr>
            <w:tcW w:w="420" w:type="dxa"/>
            <w:vAlign w:val="bottom"/>
          </w:tcPr>
          <w:p>
            <w:pPr>
              <w:spacing w:after="0"/>
              <w:rPr>
                <w:sz w:val="20"/>
                <w:szCs w:val="20"/>
                <w:color w:val="auto"/>
              </w:rPr>
            </w:pPr>
          </w:p>
        </w:tc>
        <w:tc>
          <w:tcPr>
            <w:tcW w:w="11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86"/>
              </w:rPr>
              <w:t>Fiscal 2017</w:t>
            </w:r>
          </w:p>
        </w:tc>
        <w:tc>
          <w:tcPr>
            <w:tcW w:w="440" w:type="dxa"/>
            <w:vAlign w:val="bottom"/>
          </w:tcPr>
          <w:p>
            <w:pPr>
              <w:spacing w:after="0"/>
              <w:rPr>
                <w:sz w:val="20"/>
                <w:szCs w:val="20"/>
                <w:color w:val="auto"/>
              </w:rPr>
            </w:pPr>
          </w:p>
        </w:tc>
        <w:tc>
          <w:tcPr>
            <w:tcW w:w="11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88"/>
              </w:rPr>
              <w:t>Fiscal 2016</w:t>
            </w:r>
          </w:p>
        </w:tc>
      </w:tr>
      <w:tr>
        <w:trPr>
          <w:trHeight w:val="48"/>
        </w:trPr>
        <w:tc>
          <w:tcPr>
            <w:tcW w:w="4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(480)</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79"/>
              <w:spacing w:after="0"/>
              <w:rPr>
                <w:sz w:val="20"/>
                <w:szCs w:val="20"/>
                <w:color w:val="auto"/>
              </w:rPr>
            </w:pPr>
            <w:r>
              <w:rPr>
                <w:rFonts w:ascii="Arial" w:cs="Arial" w:eastAsia="Arial" w:hAnsi="Arial"/>
                <w:sz w:val="16"/>
                <w:szCs w:val="16"/>
                <w:color w:val="auto"/>
              </w:rPr>
              <w:t>84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110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52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(590)</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(170)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(371)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84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(397)</w:t>
            </w:r>
          </w:p>
        </w:tc>
      </w:tr>
      <w:tr>
        <w:trPr>
          <w:trHeight w:val="33"/>
        </w:trPr>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(0.01)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to the Company’s retained earnings at January 2, 2016 was an after-tax increase of approximately $0.6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adoption of ASC 606 on the Company’s consolidated balance sheet at December 30, 2017 were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As Previously</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8"/>
              </w:rPr>
              <w:t>As Amended for</w:t>
            </w:r>
          </w:p>
        </w:tc>
      </w:tr>
      <w:tr>
        <w:trPr>
          <w:trHeight w:val="176"/>
        </w:trPr>
        <w:tc>
          <w:tcPr>
            <w:tcW w:w="4520" w:type="dxa"/>
            <w:vAlign w:val="bottom"/>
          </w:tcPr>
          <w:p>
            <w:pPr>
              <w:ind w:left="20"/>
              <w:spacing w:after="0" w:line="176" w:lineRule="exact"/>
              <w:rPr>
                <w:sz w:val="20"/>
                <w:szCs w:val="20"/>
                <w:color w:val="auto"/>
              </w:rPr>
            </w:pPr>
            <w:r>
              <w:rPr>
                <w:rFonts w:ascii="Arial" w:cs="Arial" w:eastAsia="Arial" w:hAnsi="Arial"/>
                <w:sz w:val="16"/>
                <w:szCs w:val="16"/>
                <w:i w:val="1"/>
                <w:iCs w:val="1"/>
                <w:color w:val="auto"/>
              </w:rPr>
              <w:t>(dollars in thousands)</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600"/>
              <w:spacing w:after="0" w:line="176" w:lineRule="exact"/>
              <w:rPr>
                <w:sz w:val="20"/>
                <w:szCs w:val="20"/>
                <w:color w:val="auto"/>
              </w:rPr>
            </w:pPr>
            <w:r>
              <w:rPr>
                <w:rFonts w:ascii="Arial" w:cs="Arial" w:eastAsia="Arial" w:hAnsi="Arial"/>
                <w:sz w:val="16"/>
                <w:szCs w:val="16"/>
                <w:b w:val="1"/>
                <w:bCs w:val="1"/>
                <w:color w:val="auto"/>
                <w:w w:val="88"/>
              </w:rPr>
              <w:t>Reported</w:t>
            </w:r>
          </w:p>
        </w:tc>
        <w:tc>
          <w:tcPr>
            <w:tcW w:w="240" w:type="dxa"/>
            <w:vAlign w:val="bottom"/>
          </w:tcPr>
          <w:p>
            <w:pPr>
              <w:spacing w:after="0"/>
              <w:rPr>
                <w:sz w:val="15"/>
                <w:szCs w:val="15"/>
                <w:color w:val="auto"/>
              </w:rPr>
            </w:pPr>
          </w:p>
        </w:tc>
        <w:tc>
          <w:tcPr>
            <w:tcW w:w="1640" w:type="dxa"/>
            <w:vAlign w:val="bottom"/>
            <w:gridSpan w:val="3"/>
          </w:tcPr>
          <w:p>
            <w:pPr>
              <w:jc w:val="right"/>
              <w:ind w:right="100"/>
              <w:spacing w:after="0" w:line="176" w:lineRule="exact"/>
              <w:rPr>
                <w:sz w:val="20"/>
                <w:szCs w:val="20"/>
                <w:color w:val="auto"/>
              </w:rPr>
            </w:pPr>
            <w:r>
              <w:rPr>
                <w:rFonts w:ascii="Arial" w:cs="Arial" w:eastAsia="Arial" w:hAnsi="Arial"/>
                <w:sz w:val="16"/>
                <w:szCs w:val="16"/>
                <w:b w:val="1"/>
                <w:bCs w:val="1"/>
                <w:color w:val="auto"/>
                <w:w w:val="91"/>
              </w:rPr>
              <w:t>ASC 606 Adjustments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right"/>
              <w:ind w:right="600"/>
              <w:spacing w:after="0" w:line="176" w:lineRule="exact"/>
              <w:rPr>
                <w:sz w:val="20"/>
                <w:szCs w:val="20"/>
                <w:color w:val="auto"/>
              </w:rPr>
            </w:pPr>
            <w:r>
              <w:rPr>
                <w:rFonts w:ascii="Arial" w:cs="Arial" w:eastAsia="Arial" w:hAnsi="Arial"/>
                <w:sz w:val="16"/>
                <w:szCs w:val="16"/>
                <w:b w:val="1"/>
                <w:bCs w:val="1"/>
                <w:color w:val="auto"/>
                <w:w w:val="89"/>
              </w:rPr>
              <w:t>ASC 606</w:t>
            </w:r>
          </w:p>
        </w:tc>
      </w:tr>
      <w:tr>
        <w:trPr>
          <w:trHeight w:val="48"/>
        </w:trPr>
        <w:tc>
          <w:tcPr>
            <w:tcW w:w="4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49,892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3,043</w:t>
            </w:r>
          </w:p>
        </w:tc>
        <w:tc>
          <w:tcPr>
            <w:tcW w:w="3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52,935</w:t>
            </w: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1,017,669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1,020,712</w:t>
            </w:r>
          </w:p>
        </w:tc>
      </w:tr>
      <w:tr>
        <w:trPr>
          <w:trHeight w:val="237"/>
        </w:trPr>
        <w:tc>
          <w:tcPr>
            <w:tcW w:w="45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2,067,999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3,043</w:t>
            </w:r>
          </w:p>
        </w:tc>
        <w:tc>
          <w:tcPr>
            <w:tcW w:w="30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2,071,042</w:t>
            </w: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146,510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2,624</w:t>
            </w:r>
          </w:p>
        </w:tc>
        <w:tc>
          <w:tcPr>
            <w:tcW w:w="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149,134</w:t>
            </w:r>
          </w:p>
        </w:tc>
      </w:tr>
      <w:tr>
        <w:trPr>
          <w:trHeight w:val="237"/>
        </w:trPr>
        <w:tc>
          <w:tcPr>
            <w:tcW w:w="452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328,624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2,624</w:t>
            </w:r>
          </w:p>
        </w:tc>
        <w:tc>
          <w:tcPr>
            <w:tcW w:w="30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331,248</w:t>
            </w: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84,848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96</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84,944</w:t>
            </w:r>
          </w:p>
        </w:tc>
      </w:tr>
      <w:tr>
        <w:trPr>
          <w:trHeight w:val="237"/>
        </w:trPr>
        <w:tc>
          <w:tcPr>
            <w:tcW w:w="4520" w:type="dxa"/>
            <w:vAlign w:val="bottom"/>
          </w:tcPr>
          <w:p>
            <w:pPr>
              <w:ind w:left="160"/>
              <w:spacing w:after="0"/>
              <w:rPr>
                <w:sz w:val="20"/>
                <w:szCs w:val="20"/>
                <w:color w:val="auto"/>
              </w:rPr>
            </w:pPr>
            <w:r>
              <w:rPr>
                <w:rFonts w:ascii="Arial" w:cs="Arial" w:eastAsia="Arial" w:hAnsi="Arial"/>
                <w:sz w:val="16"/>
                <w:szCs w:val="16"/>
                <w:color w:val="auto"/>
              </w:rPr>
              <w:t>Total liabilities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1,210,906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2,720</w:t>
            </w:r>
          </w:p>
        </w:tc>
        <w:tc>
          <w:tcPr>
            <w:tcW w:w="30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1,213,626</w:t>
            </w: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124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885,714</w:t>
            </w:r>
          </w:p>
        </w:tc>
        <w:tc>
          <w:tcPr>
            <w:tcW w:w="240" w:type="dxa"/>
            <w:vAlign w:val="bottom"/>
          </w:tcPr>
          <w:p>
            <w:pPr>
              <w:spacing w:after="0"/>
              <w:rPr>
                <w:sz w:val="20"/>
                <w:szCs w:val="20"/>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323</w:t>
            </w:r>
          </w:p>
        </w:tc>
        <w:tc>
          <w:tcPr>
            <w:tcW w:w="30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886,037</w:t>
            </w:r>
          </w:p>
        </w:tc>
      </w:tr>
      <w:tr>
        <w:trPr>
          <w:trHeight w:val="33"/>
        </w:trPr>
        <w:tc>
          <w:tcPr>
            <w:tcW w:w="4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stockholder's equity</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857,093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857,416</w:t>
            </w:r>
          </w:p>
        </w:tc>
      </w:tr>
      <w:tr>
        <w:trPr>
          <w:trHeight w:val="216"/>
        </w:trPr>
        <w:tc>
          <w:tcPr>
            <w:tcW w:w="4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4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2,067,999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2,071,042</w:t>
            </w:r>
          </w:p>
        </w:tc>
      </w:tr>
      <w:tr>
        <w:trPr>
          <w:trHeight w:val="33"/>
        </w:trPr>
        <w:tc>
          <w:tcPr>
            <w:tcW w:w="45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500" w:right="20" w:hanging="411"/>
        <w:spacing w:after="0" w:line="257"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50" w:lineRule="exact"/>
        <w:rPr>
          <w:rFonts w:ascii="Arial" w:cs="Arial" w:eastAsia="Arial" w:hAnsi="Arial"/>
          <w:sz w:val="14"/>
          <w:szCs w:val="14"/>
          <w:color w:val="auto"/>
        </w:rPr>
      </w:pPr>
    </w:p>
    <w:p>
      <w:pPr>
        <w:ind w:left="500" w:right="200" w:hanging="411"/>
        <w:spacing w:after="0" w:line="273"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includes a reclassification of approximately $3.0 million for estimated inventory expected to be returned by customers, partially offset by a reclassification of approximately $0.4 million for gift card liabilities.</w:t>
      </w:r>
    </w:p>
    <w:p>
      <w:pPr>
        <w:spacing w:after="0" w:line="38" w:lineRule="exact"/>
        <w:rPr>
          <w:rFonts w:ascii="Arial" w:cs="Arial" w:eastAsia="Arial" w:hAnsi="Arial"/>
          <w:sz w:val="14"/>
          <w:szCs w:val="14"/>
          <w:color w:val="auto"/>
        </w:rPr>
      </w:pPr>
    </w:p>
    <w:p>
      <w:pPr>
        <w:ind w:left="500" w:right="320" w:hanging="411"/>
        <w:spacing w:after="0" w:line="293"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Cumulative impact of approximately $0.6 million for after-tax adjustments to retained earnings at the beginning of fiscal 2016, offset by ASC 606 effects on fiscal 2017 and fiscal 2016 results of operations.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retrospective adoption of ASC 606 at the beginning of fiscal 2018 also had the following effects on the Company’s unaudited condensed consolidated balance sheet at September 30, 2017:</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As Previously</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8"/>
              </w:rPr>
              <w:t>As Amended for</w:t>
            </w:r>
          </w:p>
        </w:tc>
      </w:tr>
      <w:tr>
        <w:trPr>
          <w:trHeight w:val="176"/>
        </w:trPr>
        <w:tc>
          <w:tcPr>
            <w:tcW w:w="4540" w:type="dxa"/>
            <w:vAlign w:val="bottom"/>
          </w:tcPr>
          <w:p>
            <w:pPr>
              <w:ind w:left="40"/>
              <w:spacing w:after="0" w:line="176" w:lineRule="exact"/>
              <w:rPr>
                <w:sz w:val="20"/>
                <w:szCs w:val="20"/>
                <w:color w:val="auto"/>
              </w:rPr>
            </w:pPr>
            <w:r>
              <w:rPr>
                <w:rFonts w:ascii="Arial" w:cs="Arial" w:eastAsia="Arial" w:hAnsi="Arial"/>
                <w:sz w:val="16"/>
                <w:szCs w:val="16"/>
                <w:i w:val="1"/>
                <w:iCs w:val="1"/>
                <w:color w:val="auto"/>
              </w:rPr>
              <w:t>(dollars in thousands)</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6"/>
                <w:szCs w:val="16"/>
                <w:b w:val="1"/>
                <w:bCs w:val="1"/>
                <w:color w:val="auto"/>
                <w:w w:val="88"/>
              </w:rPr>
              <w:t>Reported</w:t>
            </w:r>
          </w:p>
        </w:tc>
        <w:tc>
          <w:tcPr>
            <w:tcW w:w="220" w:type="dxa"/>
            <w:vAlign w:val="bottom"/>
          </w:tcPr>
          <w:p>
            <w:pPr>
              <w:spacing w:after="0"/>
              <w:rPr>
                <w:sz w:val="15"/>
                <w:szCs w:val="15"/>
                <w:color w:val="auto"/>
              </w:rPr>
            </w:pPr>
          </w:p>
        </w:tc>
        <w:tc>
          <w:tcPr>
            <w:tcW w:w="1680" w:type="dxa"/>
            <w:vAlign w:val="bottom"/>
            <w:gridSpan w:val="3"/>
          </w:tcPr>
          <w:p>
            <w:pPr>
              <w:jc w:val="right"/>
              <w:ind w:right="120"/>
              <w:spacing w:after="0" w:line="176" w:lineRule="exact"/>
              <w:rPr>
                <w:sz w:val="20"/>
                <w:szCs w:val="20"/>
                <w:color w:val="auto"/>
              </w:rPr>
            </w:pPr>
            <w:r>
              <w:rPr>
                <w:rFonts w:ascii="Arial" w:cs="Arial" w:eastAsia="Arial" w:hAnsi="Arial"/>
                <w:sz w:val="16"/>
                <w:szCs w:val="16"/>
                <w:b w:val="1"/>
                <w:bCs w:val="1"/>
                <w:color w:val="auto"/>
                <w:w w:val="92"/>
              </w:rPr>
              <w:t>ASC 606 Adjustments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600"/>
              <w:spacing w:after="0" w:line="176" w:lineRule="exact"/>
              <w:rPr>
                <w:sz w:val="20"/>
                <w:szCs w:val="20"/>
                <w:color w:val="auto"/>
              </w:rPr>
            </w:pPr>
            <w:r>
              <w:rPr>
                <w:rFonts w:ascii="Arial" w:cs="Arial" w:eastAsia="Arial" w:hAnsi="Arial"/>
                <w:sz w:val="16"/>
                <w:szCs w:val="16"/>
                <w:b w:val="1"/>
                <w:bCs w:val="1"/>
                <w:color w:val="auto"/>
              </w:rPr>
              <w:t>ASC 606</w:t>
            </w:r>
          </w:p>
        </w:tc>
      </w:tr>
      <w:tr>
        <w:trPr>
          <w:trHeight w:val="48"/>
        </w:trPr>
        <w:tc>
          <w:tcPr>
            <w:tcW w:w="4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48,083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2,873</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50,956</w:t>
            </w: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1,049,100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2,873</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1,051,973</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2,104,063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2,873</w:t>
            </w:r>
          </w:p>
        </w:tc>
        <w:tc>
          <w:tcPr>
            <w:tcW w:w="28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2,106,936</w:t>
            </w: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134,031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3,083</w:t>
            </w:r>
          </w:p>
        </w:tc>
        <w:tc>
          <w:tcPr>
            <w:tcW w:w="2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137,114</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327,909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3,083</w:t>
            </w:r>
          </w:p>
        </w:tc>
        <w:tc>
          <w:tcPr>
            <w:tcW w:w="28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330,992</w:t>
            </w: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138,239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138,161</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1,332,100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3,005</w:t>
            </w:r>
          </w:p>
        </w:tc>
        <w:tc>
          <w:tcPr>
            <w:tcW w:w="28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1,335,105</w:t>
            </w: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9"/>
        </w:trPr>
        <w:tc>
          <w:tcPr>
            <w:tcW w:w="4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797,985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6"/>
                <w:szCs w:val="16"/>
                <w:color w:val="auto"/>
              </w:rPr>
              <w:t>(132)</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797,853</w:t>
            </w:r>
          </w:p>
        </w:tc>
      </w:tr>
      <w:tr>
        <w:trPr>
          <w:trHeight w:val="33"/>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771,963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771,831</w:t>
            </w:r>
          </w:p>
        </w:tc>
      </w:tr>
      <w:tr>
        <w:trPr>
          <w:trHeight w:val="230"/>
        </w:trPr>
        <w:tc>
          <w:tcPr>
            <w:tcW w:w="4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7"/>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2,104,063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2,873</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2,106,936</w:t>
            </w:r>
          </w:p>
        </w:tc>
      </w:tr>
      <w:tr>
        <w:trPr>
          <w:trHeight w:val="33"/>
        </w:trPr>
        <w:tc>
          <w:tcPr>
            <w:tcW w:w="4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500" w:right="20" w:hanging="492"/>
        <w:spacing w:after="0" w:line="257"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50" w:lineRule="exact"/>
        <w:rPr>
          <w:rFonts w:ascii="Arial" w:cs="Arial" w:eastAsia="Arial" w:hAnsi="Arial"/>
          <w:sz w:val="14"/>
          <w:szCs w:val="14"/>
          <w:color w:val="auto"/>
        </w:rPr>
      </w:pPr>
    </w:p>
    <w:p>
      <w:pPr>
        <w:ind w:left="500" w:right="40" w:hanging="492"/>
        <w:spacing w:after="0" w:line="27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includes a reclassification of approximately $2.9 million for estimated inventory expected to be returned by customers and an adjustment of approximately $0.2 million for gift card liabilities.</w:t>
      </w:r>
    </w:p>
    <w:p>
      <w:pPr>
        <w:spacing w:after="0" w:line="38" w:lineRule="exact"/>
        <w:rPr>
          <w:rFonts w:ascii="Arial" w:cs="Arial" w:eastAsia="Arial" w:hAnsi="Arial"/>
          <w:sz w:val="14"/>
          <w:szCs w:val="14"/>
          <w:color w:val="auto"/>
        </w:rPr>
      </w:pPr>
    </w:p>
    <w:p>
      <w:pPr>
        <w:ind w:left="500" w:right="320" w:hanging="492"/>
        <w:spacing w:after="0" w:line="27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Cumulative impact of approximately $0.6 million for after-tax adjustments to retained earnings at the beginning of fiscal 2016, offset by ASC 606 impact on fiscal 2017 and fiscal 2016 results of operations.</w:t>
      </w:r>
    </w:p>
    <w:p>
      <w:pPr>
        <w:sectPr>
          <w:pgSz w:w="11900" w:h="16838" w:orient="portrait"/>
          <w:cols w:equalWidth="0" w:num="1">
            <w:col w:w="11420"/>
          </w:cols>
          <w:pgMar w:left="240" w:top="337"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the third quarter and three quarters ended fiscal 2018 and 2017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8"/>
          </w:tcPr>
          <w:p>
            <w:pPr>
              <w:ind w:left="120"/>
              <w:spacing w:after="0"/>
              <w:rPr>
                <w:sz w:val="20"/>
                <w:szCs w:val="20"/>
                <w:color w:val="auto"/>
              </w:rPr>
            </w:pPr>
            <w:r>
              <w:rPr>
                <w:rFonts w:ascii="Arial" w:cs="Arial" w:eastAsia="Arial" w:hAnsi="Arial"/>
                <w:sz w:val="16"/>
                <w:szCs w:val="16"/>
                <w:b w:val="1"/>
                <w:bCs w:val="1"/>
                <w:color w:val="auto"/>
              </w:rPr>
              <w:t>Fiscal quarter ended September 29, 2018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40" w:type="dxa"/>
            <w:vAlign w:val="bottom"/>
          </w:tcPr>
          <w:p>
            <w:pPr>
              <w:jc w:val="right"/>
              <w:ind w:right="269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620" w:type="dxa"/>
            <w:vAlign w:val="bottom"/>
            <w:gridSpan w:val="4"/>
          </w:tcPr>
          <w:p>
            <w:pPr>
              <w:ind w:left="12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338,963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393,336</w:t>
            </w:r>
          </w:p>
        </w:tc>
      </w:tr>
      <w:tr>
        <w:trPr>
          <w:trHeight w:val="237"/>
        </w:trPr>
        <w:tc>
          <w:tcPr>
            <w:tcW w:w="424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459,101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71,470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530,571</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459,101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338,963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125,843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923,907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3,614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5,891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10,224</w:t>
            </w:r>
          </w:p>
        </w:tc>
      </w:tr>
      <w:tr>
        <w:trPr>
          <w:trHeight w:val="33"/>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9"/>
          </w:tcPr>
          <w:p>
            <w:pPr>
              <w:ind w:left="100"/>
              <w:spacing w:after="0"/>
              <w:rPr>
                <w:sz w:val="20"/>
                <w:szCs w:val="20"/>
                <w:color w:val="auto"/>
              </w:rPr>
            </w:pPr>
            <w:r>
              <w:rPr>
                <w:rFonts w:ascii="Arial" w:cs="Arial" w:eastAsia="Arial" w:hAnsi="Arial"/>
                <w:sz w:val="16"/>
                <w:szCs w:val="16"/>
                <w:b w:val="1"/>
                <w:bCs w:val="1"/>
                <w:color w:val="auto"/>
                <w:w w:val="96"/>
              </w:rPr>
              <w:t>Three fiscal quarters ended September 29, 2018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829,272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117,255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946,527</w:t>
            </w:r>
          </w:p>
        </w:tc>
      </w:tr>
      <w:tr>
        <w:trPr>
          <w:trHeight w:val="237"/>
        </w:trPr>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1,244,863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184,500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1,429,363</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1,244,863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829,272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301,755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2,375,890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9,625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16,693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28,573</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9"/>
          </w:tcPr>
          <w:p>
            <w:pPr>
              <w:ind w:left="100"/>
              <w:spacing w:after="0"/>
              <w:rPr>
                <w:sz w:val="20"/>
                <w:szCs w:val="20"/>
                <w:color w:val="auto"/>
              </w:rPr>
            </w:pPr>
            <w:r>
              <w:rPr>
                <w:rFonts w:ascii="Arial" w:cs="Arial" w:eastAsia="Arial" w:hAnsi="Arial"/>
                <w:sz w:val="16"/>
                <w:szCs w:val="16"/>
                <w:b w:val="1"/>
                <w:bCs w:val="1"/>
                <w:color w:val="auto"/>
              </w:rPr>
              <w:t>Fiscal quarter ended September 30, 2017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369,577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55,524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425,101</w:t>
            </w:r>
          </w:p>
        </w:tc>
      </w:tr>
      <w:tr>
        <w:trPr>
          <w:trHeight w:val="237"/>
        </w:trPr>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453,843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69,102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522,945</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453,843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369,577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124,626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948,046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3,038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6,648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10,350</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9"/>
          </w:tcPr>
          <w:p>
            <w:pPr>
              <w:ind w:left="100"/>
              <w:spacing w:after="0"/>
              <w:rPr>
                <w:sz w:val="20"/>
                <w:szCs w:val="20"/>
                <w:color w:val="auto"/>
              </w:rPr>
            </w:pPr>
            <w:r>
              <w:rPr>
                <w:rFonts w:ascii="Arial" w:cs="Arial" w:eastAsia="Arial" w:hAnsi="Arial"/>
                <w:sz w:val="16"/>
                <w:szCs w:val="16"/>
                <w:b w:val="1"/>
                <w:bCs w:val="1"/>
                <w:color w:val="auto"/>
                <w:w w:val="96"/>
              </w:rPr>
              <w:t>Three fiscal quarters ended September 30, 2017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879,842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112,827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992,669</w:t>
            </w:r>
          </w:p>
        </w:tc>
      </w:tr>
      <w:tr>
        <w:trPr>
          <w:trHeight w:val="237"/>
        </w:trPr>
        <w:tc>
          <w:tcPr>
            <w:tcW w:w="20" w:type="dxa"/>
            <w:vAlign w:val="bottom"/>
          </w:tcPr>
          <w:p>
            <w:pPr>
              <w:spacing w:after="0"/>
              <w:rPr>
                <w:sz w:val="20"/>
                <w:szCs w:val="20"/>
                <w:color w:val="auto"/>
              </w:rPr>
            </w:pPr>
          </w:p>
        </w:tc>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1,209,143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170,812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1,379,955</w:t>
            </w:r>
          </w:p>
        </w:tc>
      </w:tr>
      <w:tr>
        <w:trPr>
          <w:trHeight w:val="33"/>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1,209,143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879,842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283,639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2,372,624</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18,153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32,118</w:t>
            </w:r>
          </w:p>
        </w:tc>
      </w:tr>
      <w:tr>
        <w:trPr>
          <w:trHeight w:val="392"/>
        </w:trPr>
        <w:tc>
          <w:tcPr>
            <w:tcW w:w="424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w w:val="87"/>
              </w:rPr>
              <w:t>Accounts Receivable from Customers and Licensees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2017</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281,190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229,968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274,238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9,667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9,818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13,863</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305,022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254,297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297,432</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(11,781)</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285,651</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3" w:name="page14"/>
    <w:bookmarkEnd w:id="13"/>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29, 2018</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2017</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liabilities-current: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11,304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10,236</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8,485</w:t>
            </w:r>
          </w:p>
        </w:tc>
      </w:tr>
      <w:tr>
        <w:trPr>
          <w:trHeight w:val="250"/>
        </w:trPr>
        <w:tc>
          <w:tcPr>
            <w:tcW w:w="5160" w:type="dxa"/>
            <w:vAlign w:val="bottom"/>
          </w:tcPr>
          <w:p>
            <w:pPr>
              <w:ind w:left="500"/>
              <w:spacing w:after="0"/>
              <w:rPr>
                <w:sz w:val="20"/>
                <w:szCs w:val="20"/>
                <w:color w:val="auto"/>
              </w:rPr>
            </w:pPr>
            <w:r>
              <w:rPr>
                <w:rFonts w:ascii="Arial" w:cs="Arial" w:eastAsia="Arial" w:hAnsi="Arial"/>
                <w:sz w:val="16"/>
                <w:szCs w:val="16"/>
                <w:color w:val="auto"/>
              </w:rPr>
              <w:t>Total contract liabilities-current</w:t>
            </w:r>
            <w:r>
              <w:rPr>
                <w:rFonts w:ascii="Arial" w:cs="Arial" w:eastAsia="Arial" w:hAnsi="Arial"/>
                <w:sz w:val="21"/>
                <w:szCs w:val="21"/>
                <w:color w:val="auto"/>
                <w:vertAlign w:val="superscript"/>
              </w:rPr>
              <w: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19,745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18,721</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48"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Unredeemed loyalty rewards - points and reward certificates earned by customers under the Company’s loyalty programs represent obligations of the Company to transfer goods to the customer upon redemption. Periodic changes in the loyalty program contract liability result from reward certificate redemptions and expirations. The earning and redemption cycles for our loyalty program are under one year in duration.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ACQUISITIONS IN FISCAL 2017</w:t>
      </w:r>
    </w:p>
    <w:p>
      <w:pPr>
        <w:spacing w:after="0" w:line="9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purchase prices and pre-acquisition operating results and assets, neither of the businesses acquired by the Company in fiscal 2017 met the materiality requirements for preparation and presentation of pro forma financial information, either individually or in the aggregate.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Skip Hop Acquisition</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Carter's, Inc.'s wholly-owned subsidiary, The William Carter Company ("TWCC"), acquired 100% of the voting equity interests of Skip Hop Holdings, Inc. and subsidiaries (collectively "Skip Hop") after the close of business on February 22, 2017. The Skip Hop purchase was deemed to be the acquisition of a business under the provisions of ASC No.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Company's consolidated financial statements reflect the consolidation of the financial position, results of operations and cash flows of Skip Hop beginning February 23, 2017.</w:t>
      </w:r>
    </w:p>
    <w:p>
      <w:pPr>
        <w:spacing w:after="0" w:line="13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the Company's unaudited condensed consolidated balance sheet at July 1, 2017, the preliminary purchase price of approximately $147.3 million, net of $0.8 million cash acquired, was comprised of the following acquired assets and assumed liabilities: $54.2 million of goodwill including an assembled workforce; $92.7 million of intangible assets comprised of a tradename and acquired customer relationships; $54.9 million of tangible assets acquired; and $20.2 million of liabilities in addition to $35.9 million of deferred income tax liabilities.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measurement period (as defined in ASC 805) for Skip Hop was complete at the end of fiscal 2017 and all measurement period adjustments were reflected in the Company's consolidated balance sheet as of December 30, 2017. As a result of the measurement period adjustments recorded between the acquisition date and the end of fiscal 2017, the net assets acquired consisted of the following: $46.0 million of goodwill including an assembled workforce; $104.1 million of intangible assets comprised of a tradename and acquired customer relationships; $53.9 million of tangible assets acquired; and $20.8 million of liabilities in addition to $36.3 million of deferred income tax liabilities. The adjusted purchase price was approximately $142.5 million, net of $0.8 million of cash acquired.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Mexican Licensee</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1, 2017, the Company, through certain of its wholly-owned subsidiaries, acquired the outstanding equity of the Company's licensee in Mexico and a related entity (collectively "Carter's Mexico"). Both entities are incorporated under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Mexican law. Prior to the acquisition, Carter's Mexico was primarily a licensee and wholesale customer of the Company. The Carter's Mexico purchase was deemed to be the acquisition of a business under the provisions of ASC 805. The Company's consolidated financial statements reflect the consolidation of the financial position, results of operations and cash flows of Carter's Mexico beginning August 1, 2017. Carter's Mexico became part of the Company's International reportable segment.</w:t>
      </w:r>
    </w:p>
    <w:p>
      <w:pPr>
        <w:spacing w:after="0" w:line="14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December 30, 2017, preliminary values assigned to assets acquired included inventories of approximately $8.3 million, a customer relationships intangible asset of approximately $3.5 million, and goodwill of approximately $6.2 million. Measurement period adjustments made in the first quarter of fiscal 2018 were not material.</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measurement period (as defined in ASC 805) for the acquisition of Carter's Mexico was completed during the second quarter of fiscal 2018 and all measurement period adjustments were reflected in the Company's consolidated balance sheet as of September 29, 2018. As a result of the measurement period adjustments recorded between the acquisition date and the end of the second quarter of fiscal 2018, the values assigned to assets acquired included inventories of approximately $8.0 million, a customer relationships intangible asset of approximately $3.5 million, and goodwill of approximately $6.3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29, 2018</w:t>
            </w: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30, 2017</w:t>
            </w:r>
          </w:p>
        </w:tc>
        <w:tc>
          <w:tcPr>
            <w:tcW w:w="12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September 30, 2017</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(19,380)</w:t>
            </w:r>
          </w:p>
        </w:tc>
      </w:tr>
      <w:tr>
        <w:trPr>
          <w:trHeight w:val="270"/>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(7,116)</w:t>
            </w:r>
          </w:p>
        </w:tc>
      </w:tr>
      <w:tr>
        <w:trPr>
          <w:trHeight w:val="244"/>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(26,496)</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right="220" w:hanging="652"/>
        <w:spacing w:after="0" w:line="273" w:lineRule="auto"/>
        <w:tabs>
          <w:tab w:leader="none" w:pos="336"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Net of income taxes of $4.4 million, $4.4 million, and $4.2 million, respectively. The deferred income taxes associated with these obligations are subject to adjustments upon the Company's adoption of ASC 2018-02. See Note 16, </w:t>
      </w:r>
      <w:r>
        <w:rPr>
          <w:rFonts w:ascii="Arial" w:cs="Arial" w:eastAsia="Arial" w:hAnsi="Arial"/>
          <w:sz w:val="14"/>
          <w:szCs w:val="14"/>
          <w:i w:val="1"/>
          <w:iCs w:val="1"/>
          <w:color w:val="auto"/>
        </w:rPr>
        <w:t>Pending Adoption of Recent Accounting Pronouncements</w:t>
      </w:r>
      <w:r>
        <w:rPr>
          <w:rFonts w:ascii="Arial" w:cs="Arial" w:eastAsia="Arial" w:hAnsi="Arial"/>
          <w:sz w:val="14"/>
          <w:szCs w:val="14"/>
          <w:color w:val="auto"/>
        </w:rPr>
        <w:t>.</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first three quarters of both fiscal 2018 and fiscal 2017, no amounts were reclassified from accumulated other comprehensive loss to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6"/>
                <w:szCs w:val="16"/>
                <w:b w:val="1"/>
                <w:bCs w:val="1"/>
                <w:color w:val="auto"/>
                <w:w w:val="99"/>
              </w:rPr>
              <w:t>September 29,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30, 2017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average useful</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640" w:type="dxa"/>
            <w:vAlign w:val="bottom"/>
          </w:tcPr>
          <w:p>
            <w:pPr>
              <w:ind w:left="60"/>
              <w:spacing w:after="0"/>
              <w:rPr>
                <w:sz w:val="20"/>
                <w:szCs w:val="20"/>
                <w:color w:val="auto"/>
              </w:rPr>
            </w:pPr>
            <w:r>
              <w:rPr>
                <w:rFonts w:ascii="Arial" w:cs="Arial" w:eastAsia="Arial" w:hAnsi="Arial"/>
                <w:sz w:val="16"/>
                <w:szCs w:val="16"/>
                <w:color w:val="auto"/>
              </w:rPr>
              <w:t>Canada goodwill</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41,074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42,223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Skip Hop goodwill</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45,997</w:t>
            </w:r>
          </w:p>
        </w:tc>
        <w:tc>
          <w:tcPr>
            <w:tcW w:w="0" w:type="dxa"/>
            <w:vAlign w:val="bottom"/>
          </w:tcPr>
          <w:p>
            <w:pPr>
              <w:spacing w:after="0"/>
              <w:rPr>
                <w:sz w:val="1"/>
                <w:szCs w:val="1"/>
                <w:color w:val="auto"/>
              </w:rPr>
            </w:pPr>
          </w:p>
        </w:tc>
      </w:tr>
      <w:tr>
        <w:trPr>
          <w:trHeight w:val="237"/>
        </w:trPr>
        <w:tc>
          <w:tcPr>
            <w:tcW w:w="2640" w:type="dxa"/>
            <w:vAlign w:val="bottom"/>
          </w:tcPr>
          <w:p>
            <w:pPr>
              <w:ind w:left="80"/>
              <w:spacing w:after="0"/>
              <w:rPr>
                <w:sz w:val="20"/>
                <w:szCs w:val="20"/>
                <w:color w:val="auto"/>
              </w:rPr>
            </w:pPr>
            <w:r>
              <w:rPr>
                <w:rFonts w:ascii="Arial" w:cs="Arial" w:eastAsia="Arial" w:hAnsi="Arial"/>
                <w:sz w:val="16"/>
                <w:szCs w:val="16"/>
                <w:color w:val="auto"/>
              </w:rPr>
              <w:t>Carter's Mexico goodwill</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5,634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230,424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64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0" w:type="dxa"/>
            <w:vAlign w:val="bottom"/>
          </w:tcPr>
          <w:p>
            <w:pPr>
              <w:spacing w:after="0"/>
              <w:rPr>
                <w:sz w:val="1"/>
                <w:szCs w:val="1"/>
                <w:color w:val="auto"/>
              </w:rPr>
            </w:pPr>
          </w:p>
        </w:tc>
      </w:tr>
      <w:tr>
        <w:trPr>
          <w:trHeight w:val="237"/>
        </w:trPr>
        <w:tc>
          <w:tcPr>
            <w:tcW w:w="2640" w:type="dxa"/>
            <w:vAlign w:val="bottom"/>
          </w:tcPr>
          <w:p>
            <w:pPr>
              <w:ind w:left="8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3,018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366,444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365,551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44,996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3"/>
              </w:rPr>
              <w:t>Carter's Mexico customer relationships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47,996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useful life</w:t>
            </w: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Gross 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Canada goodwill</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42,514</w:t>
            </w:r>
          </w:p>
        </w:tc>
      </w:tr>
      <w:tr>
        <w:trPr>
          <w:trHeight w:val="33"/>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goodwill</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49,190</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Carter's Mexico goodwill</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5,919</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234,193</w:t>
            </w:r>
          </w:p>
        </w:tc>
      </w:tr>
      <w:tr>
        <w:trPr>
          <w:trHeight w:val="20"/>
        </w:trPr>
        <w:tc>
          <w:tcPr>
            <w:tcW w:w="5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r>
      <w:tr>
        <w:trPr>
          <w:trHeight w:val="33"/>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42,040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3,062</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404,573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 net</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43,246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Carter's Mexico 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3,376</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46,622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Amortization expense for intangible assets subject to amortization was approximately $0.9 million and $0.8 million for the third fiscal quarter ended September 29, 2018 and third fiscal quarter ended September 30, 2017, respectively. For the first three quarters of fiscal 2018 and fiscal 2017, amortization expense was approximately $2.8 million and $1.7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3,751</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3,751</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3,708</w:t>
            </w:r>
          </w:p>
        </w:tc>
      </w:tr>
      <w:tr>
        <w:trPr>
          <w:trHeight w:val="33"/>
        </w:trPr>
        <w:tc>
          <w:tcPr>
            <w:tcW w:w="9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September 29, 2018 was approximately $440.1 million, based on settled repurchase transactions. The authorizations have no expiration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ind w:left="102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5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Three fiscal quarters ended</w:t>
            </w:r>
          </w:p>
        </w:tc>
      </w:tr>
      <w:tr>
        <w:trPr>
          <w:trHeight w:val="47"/>
        </w:trPr>
        <w:tc>
          <w:tcPr>
            <w:tcW w:w="37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2018</w:t>
            </w: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2018</w:t>
            </w:r>
          </w:p>
        </w:tc>
        <w:tc>
          <w:tcPr>
            <w:tcW w:w="16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543,793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596,178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1,364,420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1,727,587</w:t>
            </w: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Aggregate cost of shares repurchased (dollars in</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thousands)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56,401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52,742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145,493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150,974</w:t>
            </w: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87.39</w:t>
            </w:r>
          </w:p>
        </w:tc>
      </w:tr>
      <w:tr>
        <w:trPr>
          <w:trHeight w:val="33"/>
        </w:trPr>
        <w:tc>
          <w:tcPr>
            <w:tcW w:w="3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third fiscal quarter and three fiscal quarters ended September 29, 2018, the Company declared and paid cash dividends per share of $0.45 and $1.35, respectively. In the third fiscal quarter and three fiscal quarters ended September 30, 2017, the Company declared and paid cash dividends per share of $0.37 and $1.11, respectively. Future declarations of dividends and the establishment of future record and payment dates are at the discretion of the Company's Board of Directors and are based on a number of factors, including the Company's future financial performance and other investment priorities.</w:t>
      </w:r>
    </w:p>
    <w:p>
      <w:pPr>
        <w:spacing w:after="0" w:line="1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Provisions in the indenture governing the senior notes of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2017 fiscal year ended December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66"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4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2018</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30, 2017</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September 30, 2017</w:t>
            </w:r>
          </w:p>
        </w:tc>
      </w:tr>
      <w:tr>
        <w:trPr>
          <w:trHeight w:val="33"/>
        </w:trPr>
        <w:tc>
          <w:tcPr>
            <w:tcW w:w="4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at amounts repayable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37"/>
        </w:trPr>
        <w:tc>
          <w:tcPr>
            <w:tcW w:w="4760" w:type="dxa"/>
            <w:vAlign w:val="bottom"/>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(3,926)</w:t>
            </w:r>
          </w:p>
        </w:tc>
      </w:tr>
      <w:tr>
        <w:trPr>
          <w:trHeight w:val="33"/>
        </w:trPr>
        <w:tc>
          <w:tcPr>
            <w:tcW w:w="4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397,020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396,306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396,074</w:t>
            </w:r>
          </w:p>
        </w:tc>
      </w:tr>
      <w:tr>
        <w:trPr>
          <w:trHeight w:val="237"/>
        </w:trPr>
        <w:tc>
          <w:tcPr>
            <w:tcW w:w="4760" w:type="dxa"/>
            <w:vAlign w:val="bottom"/>
          </w:tcPr>
          <w:p>
            <w:pPr>
              <w:ind w:left="20"/>
              <w:spacing w:after="0"/>
              <w:rPr>
                <w:sz w:val="20"/>
                <w:szCs w:val="20"/>
                <w:color w:val="auto"/>
              </w:rPr>
            </w:pPr>
            <w:r>
              <w:rPr>
                <w:rFonts w:ascii="Arial" w:cs="Arial" w:eastAsia="Arial" w:hAnsi="Arial"/>
                <w:sz w:val="16"/>
                <w:szCs w:val="16"/>
                <w:color w:val="auto"/>
              </w:rPr>
              <w:t>Secured revolving credit facility</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221,000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291,000</w:t>
            </w:r>
          </w:p>
        </w:tc>
      </w:tr>
      <w:tr>
        <w:trPr>
          <w:trHeight w:val="33"/>
        </w:trPr>
        <w:tc>
          <w:tcPr>
            <w:tcW w:w="4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4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798,020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617,306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687,074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21, 2018, TWCC and a syndicate of lenders entered into Amendment No. 1 to its fourth amended and restated credit agreement that, among other things, extended the term of the facility from August 25, 2022 to September 21, 2023.</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amended, the secured revolving credit facility provides: (i) a maturity date for the maturity of September 21, 2023 and (ii) an aggregate credit line of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w:t>
      </w:r>
    </w:p>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 secured revolving credit facility includes additional potential borrowing facilities up to $425 million, which is comprised of a $350 million U.S. dollar revolving credit facility and a $75 million multicurrency revolving credit facility. The U.S. dollar revolving credit facility can also potentially increase to an unlimited borrowing amount so long as the consolidated first lien leverage ratio (as defined in the secured revolving credit facility) does not exceed 2.25:1.00.</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29, 2018, the Company had $401.0 million in outstanding borrowings under its secured revolving credit facility, exclusive of $4.5 million of outstanding letters of credit. As of September 29, 2018, approximately $344.5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September 29, 2018, the interest rate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37" w:right="2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29, 2018, U.S. dollar borrowings outstanding under the secured revolving credit facility accrued interest at a LIBOR rate plus the applicable base rate, which resulted in a weighted-average borrowing rate of 3.58%. All outstanding Canadian dollar borrowings were repaid during the first quarter of fiscal 2017.</w:t>
      </w:r>
    </w:p>
    <w:p>
      <w:pPr>
        <w:spacing w:after="0" w:line="141" w:lineRule="exact"/>
        <w:rPr>
          <w:sz w:val="20"/>
          <w:szCs w:val="20"/>
          <w:color w:val="auto"/>
        </w:rPr>
      </w:pPr>
    </w:p>
    <w:p>
      <w:pPr>
        <w:ind w:right="1120"/>
        <w:spacing w:after="0" w:line="399" w:lineRule="auto"/>
        <w:rPr>
          <w:sz w:val="20"/>
          <w:szCs w:val="20"/>
          <w:color w:val="auto"/>
        </w:rPr>
      </w:pPr>
      <w:r>
        <w:rPr>
          <w:rFonts w:ascii="Arial" w:cs="Arial" w:eastAsia="Arial" w:hAnsi="Arial"/>
          <w:sz w:val="18"/>
          <w:szCs w:val="18"/>
          <w:color w:val="auto"/>
        </w:rPr>
        <w:t xml:space="preserve">As of September 29, 2018,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29, 2018,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shown in the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Fiscal quarter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fiscal quarters ended</w:t>
            </w:r>
          </w:p>
        </w:tc>
        <w:tc>
          <w:tcPr>
            <w:tcW w:w="5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2018</w:t>
            </w: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Time-based awards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5,668</w:t>
            </w:r>
          </w:p>
        </w:tc>
      </w:tr>
      <w:tr>
        <w:trPr>
          <w:trHeight w:val="237"/>
        </w:trPr>
        <w:tc>
          <w:tcPr>
            <w:tcW w:w="298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3,419</w:t>
            </w:r>
          </w:p>
        </w:tc>
      </w:tr>
      <w:tr>
        <w:trPr>
          <w:trHeight w:val="33"/>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44"/>
        </w:trPr>
        <w:tc>
          <w:tcPr>
            <w:tcW w:w="2980" w:type="dxa"/>
            <w:vAlign w:val="bottom"/>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12,110</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13,451</w:t>
            </w:r>
          </w:p>
        </w:tc>
      </w:tr>
      <w:tr>
        <w:trPr>
          <w:trHeight w:val="20"/>
        </w:trPr>
        <w:tc>
          <w:tcPr>
            <w:tcW w:w="2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the third fiscal quarter of 2018, the achievement of performance target estimates related to certain performance-based grants were revised resulting in a $2.5 million reduction to stock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29, 2018, the Company had gross unrecognized income tax benefits of approximately $15.3 million, of which $12.9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Included in the reserves for unrecognized tax benefits at September 29, 2018 were approximately $2.0 million of reserves for which the statute of limitations is expected to expire within the next fiscal year. If these tax benefits are ultimately recognized, such recognition, net of federal income taxes, may affect the annual effective income tax rate for fiscal 2018 or fiscal 2019 along with the effective income tax rate in the quarter in which the benefits are recognized.</w:t>
      </w:r>
    </w:p>
    <w:p>
      <w:pPr>
        <w:spacing w:after="0" w:line="1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income tax benefits as a component of income tax expense. During the fiscal quarter ended September 29, 2018, interest expense recorded on uncertain tax positions was approximately $0.6 million, while the interest expense recorded for the fiscal quarter ended September 30, 2017 was not material. The Company had approximately $1.9 million, $1.0 million, and $1.1 million of interest accrued on uncertain tax positions as of September 29, 2018, December 30, 2017, and September 30, 2017, respectively.</w:t>
      </w:r>
    </w:p>
    <w:p>
      <w:pPr>
        <w:spacing w:after="0" w:line="148" w:lineRule="exact"/>
        <w:rPr>
          <w:sz w:val="20"/>
          <w:szCs w:val="20"/>
          <w:color w:val="auto"/>
        </w:rPr>
      </w:pPr>
    </w:p>
    <w:p>
      <w:pPr>
        <w:ind w:right="2060"/>
        <w:spacing w:after="0" w:line="399" w:lineRule="auto"/>
        <w:rPr>
          <w:sz w:val="20"/>
          <w:szCs w:val="20"/>
          <w:color w:val="auto"/>
        </w:rPr>
      </w:pPr>
      <w:r>
        <w:rPr>
          <w:rFonts w:ascii="Arial" w:cs="Arial" w:eastAsia="Arial" w:hAnsi="Arial"/>
          <w:sz w:val="18"/>
          <w:szCs w:val="18"/>
          <w:color w:val="auto"/>
        </w:rPr>
        <w:t xml:space="preserve">For the full fiscal year 2018, the Company estimates that its consolidated effective income tax rate will be approximately 22.0%. </w:t>
      </w:r>
      <w:r>
        <w:rPr>
          <w:rFonts w:ascii="Arial" w:cs="Arial" w:eastAsia="Arial" w:hAnsi="Arial"/>
          <w:sz w:val="18"/>
          <w:szCs w:val="18"/>
          <w:b w:val="1"/>
          <w:bCs w:val="1"/>
          <w:color w:val="auto"/>
        </w:rPr>
        <w:t>U.S. Tax Reform</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 for income taxes recognized by the Company during the fiscal fourth quarter of 2017 reflected certain provisional estimates for the accounting of the December 22, 2017 enactment of income tax law changes commonly known as the U.S. Tax Cuts and Jobs Act of 2017 (the "2017 Tax Act"). The provisional accounting for the 2017 Tax Act is permitted by SEC Staff Accounting Bulletin No. 118, Income Tax Accounting Implications of the Tax Cuts and Jobs Act, issued in late</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337"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2017. Subsequent adjustments, if any, to the provisional accounting estimates must be reflected in income tax provisions/benefits during one or more periods in fiscal 2018.</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fourth quarter of fiscal 2017, the Company recorded a provisional tax expense estimate for the one-time transition tax liability for all of its foreign subsidiaries, resulting in an increase in income tax expense of approximately $10.4 million related to foreign earnings. The one-time transition tax is based on the Company's total post-1986 earnings and profits ("E&amp;P") that the Company previously deferred from United States income taxes. During the third quarter of fiscal 2018, the Company completed its calculation of the one-time transition tax for all of its foreign subsidiaries. The adjustments made to this provisional tax expense estimate during the first three quarters of fiscal 2018 were not material. No additional income taxes have been provided for any remaining undistributed foreign earnings not subject to the transition tax, or any additional outside basis difference inherent in these entities, as these amounts continue to be indefinitely reinvested in foreign operations.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but the related cumulative temporary difference as of December 30, 2017 and September 29, 2018 would not result in a material incremental deferred tax liability.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assets and liabilities that are remeasured at fair value each reporting period: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jc w:val="center"/>
              <w:ind w:left="459"/>
              <w:spacing w:after="0"/>
              <w:rPr>
                <w:sz w:val="20"/>
                <w:szCs w:val="20"/>
                <w:color w:val="auto"/>
              </w:rPr>
            </w:pPr>
            <w:r>
              <w:rPr>
                <w:rFonts w:ascii="Arial" w:cs="Arial" w:eastAsia="Arial" w:hAnsi="Arial"/>
                <w:sz w:val="16"/>
                <w:szCs w:val="16"/>
                <w:b w:val="1"/>
                <w:bCs w:val="1"/>
                <w:color w:val="auto"/>
                <w:w w:val="90"/>
              </w:rPr>
              <w:t>September 29, 2018</w:t>
            </w: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w w:val="90"/>
              </w:rPr>
              <w:t>December 30,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w w:val="89"/>
              </w:rPr>
              <w:t>September 30, 2017</w:t>
            </w: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Level 1</w:t>
            </w:r>
          </w:p>
        </w:tc>
        <w:tc>
          <w:tcPr>
            <w:tcW w:w="1100" w:type="dxa"/>
            <w:vAlign w:val="bottom"/>
            <w:gridSpan w:val="3"/>
          </w:tcPr>
          <w:p>
            <w:pPr>
              <w:jc w:val="center"/>
              <w:ind w:right="280"/>
              <w:spacing w:after="0"/>
              <w:rPr>
                <w:sz w:val="20"/>
                <w:szCs w:val="20"/>
                <w:color w:val="auto"/>
              </w:rPr>
            </w:pPr>
            <w:r>
              <w:rPr>
                <w:rFonts w:ascii="Arial" w:cs="Arial" w:eastAsia="Arial" w:hAnsi="Arial"/>
                <w:sz w:val="16"/>
                <w:szCs w:val="16"/>
                <w:color w:val="auto"/>
                <w:w w:val="96"/>
              </w:rPr>
              <w:t>Level 2</w:t>
            </w: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Level 1</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Level 2</w:t>
            </w:r>
          </w:p>
        </w:tc>
        <w:tc>
          <w:tcPr>
            <w:tcW w:w="9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color w:val="auto"/>
              </w:rPr>
              <w:t>Level 1</w:t>
            </w:r>
          </w:p>
        </w:tc>
        <w:tc>
          <w:tcPr>
            <w:tcW w:w="7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Level 2</w:t>
            </w:r>
          </w:p>
        </w:tc>
        <w:tc>
          <w:tcPr>
            <w:tcW w:w="780" w:type="dxa"/>
            <w:vAlign w:val="bottom"/>
          </w:tcPr>
          <w:p>
            <w:pPr>
              <w:ind w:left="140"/>
              <w:spacing w:after="0"/>
              <w:rPr>
                <w:sz w:val="20"/>
                <w:szCs w:val="20"/>
                <w:color w:val="auto"/>
              </w:rPr>
            </w:pPr>
            <w:r>
              <w:rPr>
                <w:rFonts w:ascii="Arial" w:cs="Arial" w:eastAsia="Arial" w:hAnsi="Arial"/>
                <w:sz w:val="16"/>
                <w:szCs w:val="16"/>
                <w:color w:val="auto"/>
              </w:rPr>
              <w:t>Level 3</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3"/>
                <w:szCs w:val="23"/>
                <w:color w:val="auto"/>
              </w:rPr>
            </w:pPr>
          </w:p>
        </w:tc>
        <w:tc>
          <w:tcPr>
            <w:tcW w:w="110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r>
    </w:tbl>
    <w:p>
      <w:pPr>
        <w:spacing w:after="0" w:line="3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Other assets on the Company's consolidated balance sheet.</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Other current liabilities on the Company's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Gains on the investments in marketable securities were $0.7 million and $0.9 million for the third fiscal quarter and the three fiscal quarters ended September 29, 2018, respectively, and were $0.4 million and $1.6 million for the third fiscal quarter and three fiscal quarters ended September 30, 2017, respectively. These amounts are included in Other expense (income), net on the Company's consolidated statement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estimated fair value of contingent consideration related to the Skip Hop acquisition was based on a weighted payout probability at the measurement date. Facts and circumstances that occurred subsequent to the acquisition indicated that the contingent earn out arrangement would not be achieved, and therefore approximately $3.6 million was credited to the Company's earnings during the third fiscal quarter ended September 30,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29, 2018, the fair value of the Company's $401.0 million in outstanding borrowings under its secured revolving credit facility approximated the carrying value.</w:t>
      </w:r>
    </w:p>
    <w:p>
      <w:pPr>
        <w:spacing w:after="0" w:line="13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fair value of the Company's senior notes at September 29, 2018 was approximately $406 million. The fair value of these senior notes with a notional value and carrying value (gross of debt cost) of $400 million was estimated using a quoted price as provided in the secondary market, which considers the Company's credit risk and market related conditions, and is therefore within Level 2 of the fair value hierarchy.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ectPr>
          <w:pgSz w:w="11900" w:h="16838" w:orient="portrait"/>
          <w:cols w:equalWidth="0" w:num="1">
            <w:col w:w="11420"/>
          </w:cols>
          <w:pgMar w:left="240" w:top="337" w:right="239" w:bottom="1440" w:gutter="0" w:footer="0" w:header="0"/>
        </w:sectPr>
      </w:pPr>
    </w:p>
    <w:p>
      <w:pPr>
        <w:spacing w:after="0" w:line="195"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46355</wp:posOffset>
            </wp:positionV>
            <wp:extent cx="2418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93" w:lineRule="exact"/>
        <w:rPr>
          <w:sz w:val="20"/>
          <w:szCs w:val="20"/>
          <w:color w:val="auto"/>
        </w:rPr>
      </w:pPr>
    </w:p>
    <w:p>
      <w:pPr>
        <w:ind w:left="4020"/>
        <w:spacing w:after="0"/>
        <w:tabs>
          <w:tab w:leader="none" w:pos="5980" w:val="left"/>
        </w:tabs>
        <w:rPr>
          <w:sz w:val="20"/>
          <w:szCs w:val="20"/>
          <w:color w:val="auto"/>
        </w:rPr>
      </w:pPr>
      <w:r>
        <w:rPr>
          <w:rFonts w:ascii="Arial" w:cs="Arial" w:eastAsia="Arial" w:hAnsi="Arial"/>
          <w:sz w:val="16"/>
          <w:szCs w:val="16"/>
          <w:b w:val="1"/>
          <w:bCs w:val="1"/>
          <w:color w:val="auto"/>
        </w:rPr>
        <w:t>September 29, 2018</w:t>
      </w:r>
      <w:r>
        <w:rPr>
          <w:sz w:val="20"/>
          <w:szCs w:val="20"/>
          <w:color w:val="auto"/>
        </w:rPr>
        <w:tab/>
      </w:r>
      <w:r>
        <w:rPr>
          <w:rFonts w:ascii="Arial" w:cs="Arial" w:eastAsia="Arial" w:hAnsi="Arial"/>
          <w:sz w:val="14"/>
          <w:szCs w:val="14"/>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37465</wp:posOffset>
            </wp:positionV>
            <wp:extent cx="2366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80"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September 29, 2018</w:t>
      </w:r>
      <w:r>
        <w:rPr>
          <w:sz w:val="20"/>
          <w:szCs w:val="20"/>
          <w:color w:val="auto"/>
        </w:rPr>
        <w:tab/>
      </w:r>
      <w:r>
        <w:rPr>
          <w:rFonts w:ascii="Arial" w:cs="Arial" w:eastAsia="Arial" w:hAnsi="Arial"/>
          <w:sz w:val="14"/>
          <w:szCs w:val="14"/>
          <w:b w:val="1"/>
          <w:bCs w:val="1"/>
          <w:color w:val="auto"/>
        </w:rPr>
        <w:t>September 30, 2017</w:t>
      </w:r>
    </w:p>
    <w:p>
      <w:pPr>
        <w:spacing w:after="0" w:line="77" w:lineRule="exact"/>
        <w:rPr>
          <w:sz w:val="20"/>
          <w:szCs w:val="20"/>
          <w:color w:val="auto"/>
        </w:rPr>
      </w:pPr>
    </w:p>
    <w:p>
      <w:pPr>
        <w:sectPr>
          <w:pgSz w:w="11900" w:h="16838" w:orient="portrait"/>
          <w:cols w:equalWidth="0" w:num="2">
            <w:col w:w="7340" w:space="580"/>
            <w:col w:w="3500"/>
          </w:cols>
          <w:pgMar w:left="240" w:top="33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Weighted-average number of common and common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equivalent shares outstanding: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45,990,039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47,303,074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46,399,746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47,829,794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490,283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541,325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538,422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549,213</w:t>
            </w:r>
          </w:p>
        </w:tc>
        <w:tc>
          <w:tcPr>
            <w:tcW w:w="0" w:type="dxa"/>
            <w:vAlign w:val="bottom"/>
          </w:tcPr>
          <w:p>
            <w:pPr>
              <w:spacing w:after="0"/>
              <w:rPr>
                <w:sz w:val="1"/>
                <w:szCs w:val="1"/>
                <w:color w:val="auto"/>
              </w:rPr>
            </w:pPr>
          </w:p>
        </w:tc>
      </w:tr>
      <w:tr>
        <w:trPr>
          <w:trHeight w:val="200"/>
        </w:trPr>
        <w:tc>
          <w:tcPr>
            <w:tcW w:w="3780" w:type="dxa"/>
            <w:vAlign w:val="bottom"/>
          </w:tcPr>
          <w:p>
            <w:pPr>
              <w:ind w:left="360"/>
              <w:spacing w:after="0"/>
              <w:rPr>
                <w:sz w:val="20"/>
                <w:szCs w:val="20"/>
                <w:color w:val="auto"/>
              </w:rPr>
            </w:pPr>
            <w:r>
              <w:rPr>
                <w:rFonts w:ascii="Arial" w:cs="Arial" w:eastAsia="Arial" w:hAnsi="Arial"/>
                <w:sz w:val="16"/>
                <w:szCs w:val="16"/>
                <w:color w:val="auto"/>
              </w:rPr>
              <w:t>Diluted number of common and common</w:t>
            </w:r>
          </w:p>
        </w:tc>
        <w:tc>
          <w:tcPr>
            <w:tcW w:w="5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46,480,322</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47,844,399</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46,938,168</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48,379,007</w:t>
            </w:r>
          </w:p>
        </w:tc>
        <w:tc>
          <w:tcPr>
            <w:tcW w:w="0" w:type="dxa"/>
            <w:vAlign w:val="bottom"/>
          </w:tcPr>
          <w:p>
            <w:pPr>
              <w:spacing w:after="0"/>
              <w:rPr>
                <w:sz w:val="1"/>
                <w:szCs w:val="1"/>
                <w:color w:val="auto"/>
              </w:rPr>
            </w:pPr>
          </w:p>
        </w:tc>
      </w:tr>
      <w:tr>
        <w:trPr>
          <w:trHeight w:val="259"/>
        </w:trPr>
        <w:tc>
          <w:tcPr>
            <w:tcW w:w="37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equivalent shares outstanding</w:t>
            </w: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Basic net income per common share (in thousands,</w:t>
            </w: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except per share data):</w:t>
            </w: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71,770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166,703</w:t>
            </w:r>
          </w:p>
        </w:tc>
        <w:tc>
          <w:tcPr>
            <w:tcW w:w="0" w:type="dxa"/>
            <w:vAlign w:val="bottom"/>
          </w:tcPr>
          <w:p>
            <w:pPr>
              <w:spacing w:after="0"/>
              <w:rPr>
                <w:sz w:val="1"/>
                <w:szCs w:val="1"/>
                <w:color w:val="auto"/>
              </w:rPr>
            </w:pPr>
          </w:p>
        </w:tc>
      </w:tr>
      <w:tr>
        <w:trPr>
          <w:trHeight w:val="237"/>
        </w:trPr>
        <w:tc>
          <w:tcPr>
            <w:tcW w:w="378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71,230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81,665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150,364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165,392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income per common share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Diluted net income per common share (in thousands,</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except per share data):</w:t>
            </w:r>
          </w:p>
        </w:tc>
        <w:tc>
          <w:tcPr>
            <w:tcW w:w="5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71,770</w:t>
            </w:r>
          </w:p>
        </w:tc>
        <w:tc>
          <w:tcPr>
            <w:tcW w:w="12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82,316</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151,506</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166,703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71,234</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81,671</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150,372</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165,402</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60"/>
              <w:spacing w:after="0"/>
              <w:rPr>
                <w:sz w:val="20"/>
                <w:szCs w:val="20"/>
                <w:color w:val="auto"/>
              </w:rPr>
            </w:pPr>
            <w:r>
              <w:rPr>
                <w:rFonts w:ascii="Arial" w:cs="Arial" w:eastAsia="Arial" w:hAnsi="Arial"/>
                <w:sz w:val="16"/>
                <w:szCs w:val="16"/>
                <w:color w:val="auto"/>
              </w:rPr>
              <w:t>Diluted net income per common share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360"/>
              <w:spacing w:after="0"/>
              <w:rPr>
                <w:sz w:val="20"/>
                <w:szCs w:val="20"/>
                <w:color w:val="auto"/>
              </w:rPr>
            </w:pPr>
            <w:r>
              <w:rPr>
                <w:rFonts w:ascii="Arial" w:cs="Arial" w:eastAsia="Arial" w:hAnsi="Arial"/>
                <w:sz w:val="16"/>
                <w:szCs w:val="16"/>
                <w:color w:val="auto"/>
              </w:rPr>
              <w:t>Anti-dilutive awards excluded from diluted</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360"/>
              <w:spacing w:after="0"/>
              <w:rPr>
                <w:sz w:val="20"/>
                <w:szCs w:val="20"/>
                <w:color w:val="auto"/>
              </w:rPr>
            </w:pPr>
            <w:r>
              <w:rPr>
                <w:rFonts w:ascii="Arial" w:cs="Arial" w:eastAsia="Arial" w:hAnsi="Arial"/>
                <w:sz w:val="16"/>
                <w:szCs w:val="16"/>
                <w:color w:val="auto"/>
              </w:rPr>
              <w:t>earnings per share computation</w:t>
            </w: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326,129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662,130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266,646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618,826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type w:val="continuous"/>
        </w:sectPr>
      </w:pPr>
    </w:p>
    <w:bookmarkStart w:id="20" w:name="page21"/>
    <w:bookmarkEnd w:id="20"/>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2018</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30, 2017</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bonuses and incentive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16,252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28,393</w:t>
            </w: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employee benefits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12,503</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Accrued and deferred rent</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19,137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18,160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2018</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30, 2017</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lease incentives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75,331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76,599</w:t>
            </w:r>
          </w:p>
        </w:tc>
      </w:tr>
      <w:tr>
        <w:trPr>
          <w:trHeight w:val="33"/>
        </w:trPr>
        <w:tc>
          <w:tcPr>
            <w:tcW w:w="5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Fiscal quarter ended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3"/>
              </w:rPr>
              <w:t>Three fiscal quarters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0" w:type="dxa"/>
            <w:vAlign w:val="bottom"/>
            <w:gridSpan w:val="4"/>
          </w:tcPr>
          <w:p>
            <w:pPr>
              <w:spacing w:after="0"/>
              <w:rPr>
                <w:sz w:val="20"/>
                <w:szCs w:val="20"/>
                <w:color w:val="auto"/>
              </w:rPr>
            </w:pPr>
            <w:r>
              <w:rPr>
                <w:rFonts w:ascii="Arial" w:cs="Arial" w:eastAsia="Arial" w:hAnsi="Arial"/>
                <w:sz w:val="16"/>
                <w:szCs w:val="16"/>
                <w:i w:val="1"/>
                <w:iCs w:val="1"/>
                <w:color w:val="auto"/>
              </w:rPr>
              <w:t>(dollars in</w:t>
            </w:r>
          </w:p>
        </w:tc>
        <w:tc>
          <w:tcPr>
            <w:tcW w:w="1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September 29,</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Total Net</w:t>
            </w:r>
          </w:p>
        </w:tc>
        <w:tc>
          <w:tcPr>
            <w:tcW w:w="12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Net</w:t>
            </w:r>
          </w:p>
        </w:tc>
        <w:tc>
          <w:tcPr>
            <w:tcW w:w="1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September 29,</w:t>
            </w:r>
          </w:p>
        </w:tc>
        <w:tc>
          <w:tcPr>
            <w:tcW w:w="12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Total Net</w:t>
            </w:r>
          </w:p>
        </w:tc>
        <w:tc>
          <w:tcPr>
            <w:tcW w:w="14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Total Net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6"/>
                <w:szCs w:val="16"/>
                <w:i w:val="1"/>
                <w:iCs w:val="1"/>
                <w:color w:val="auto"/>
              </w:rPr>
              <w:t>thousands)</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Sales</w:t>
            </w:r>
          </w:p>
        </w:tc>
        <w:tc>
          <w:tcPr>
            <w:tcW w:w="1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Sales</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459,101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453,843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1,244,863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1,209,143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338,963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369,577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829,272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879,842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125,843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124,626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301,755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283,639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923,907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948,046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2,375,890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2,372,624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Arial" w:cs="Arial" w:eastAsia="Arial" w:hAnsi="Arial"/>
                <w:sz w:val="16"/>
                <w:szCs w:val="16"/>
                <w:b w:val="1"/>
                <w:bCs w:val="1"/>
                <w:color w:val="auto"/>
              </w:rPr>
              <w:t>Operating income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5"/>
              </w:rPr>
              <w:t>Segment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8"/>
              </w:rPr>
              <w:t>Segment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240" w:type="dxa"/>
            <w:vAlign w:val="bottom"/>
            <w:tcBorders>
              <w:top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(loss):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w w:val="88"/>
              </w:rPr>
              <w:t>Net Sales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w w:val="86"/>
              </w:rPr>
              <w:t>Net Sales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line="183" w:lineRule="exact"/>
              <w:rPr>
                <w:sz w:val="20"/>
                <w:szCs w:val="20"/>
                <w:color w:val="auto"/>
              </w:rPr>
            </w:pPr>
            <w:r>
              <w:rPr>
                <w:rFonts w:ascii="Arial" w:cs="Arial" w:eastAsia="Arial" w:hAnsi="Arial"/>
                <w:sz w:val="16"/>
                <w:szCs w:val="16"/>
                <w:b w:val="1"/>
                <w:bCs w:val="1"/>
                <w:color w:val="auto"/>
                <w:w w:val="88"/>
              </w:rPr>
              <w:t>Net Sales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U.S. Retail</w:t>
            </w:r>
            <w:r>
              <w:rPr>
                <w:rFonts w:ascii="Arial" w:cs="Arial" w:eastAsia="Arial" w:hAnsi="Arial"/>
                <w:sz w:val="21"/>
                <w:szCs w:val="21"/>
                <w:color w:val="auto"/>
                <w:vertAlign w:val="superscript"/>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122,086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127,441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00" w:type="dxa"/>
            <w:vAlign w:val="bottom"/>
            <w:gridSpan w:val="4"/>
          </w:tcPr>
          <w:p>
            <w:pPr>
              <w:spacing w:after="0"/>
              <w:rPr>
                <w:sz w:val="20"/>
                <w:szCs w:val="20"/>
                <w:color w:val="auto"/>
              </w:rPr>
            </w:pPr>
            <w:r>
              <w:rPr>
                <w:rFonts w:ascii="Arial" w:cs="Arial" w:eastAsia="Arial" w:hAnsi="Arial"/>
                <w:sz w:val="16"/>
                <w:szCs w:val="16"/>
                <w:color w:val="auto"/>
                <w:w w:val="95"/>
              </w:rPr>
              <w:t>U.S. Wholesale</w:t>
            </w:r>
            <w:r>
              <w:rPr>
                <w:rFonts w:ascii="Arial" w:cs="Arial" w:eastAsia="Arial" w:hAnsi="Arial"/>
                <w:sz w:val="21"/>
                <w:szCs w:val="21"/>
                <w:color w:val="auto"/>
                <w:w w:val="95"/>
                <w:vertAlign w:val="superscript"/>
              </w:rPr>
              <w:t>(2)(5)</w:t>
            </w:r>
          </w:p>
        </w:tc>
        <w:tc>
          <w:tcPr>
            <w:tcW w:w="1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67,785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148,395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184,073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International</w:t>
            </w:r>
            <w:r>
              <w:rPr>
                <w:rFonts w:ascii="Arial" w:cs="Arial" w:eastAsia="Arial" w:hAnsi="Arial"/>
                <w:sz w:val="21"/>
                <w:szCs w:val="21"/>
                <w:color w:val="auto"/>
                <w:vertAlign w:val="superscript"/>
              </w:rPr>
              <w:t>(5)(6)</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00" w:type="dxa"/>
            <w:vAlign w:val="bottom"/>
            <w:gridSpan w:val="4"/>
          </w:tcPr>
          <w:p>
            <w:pPr>
              <w:spacing w:after="0"/>
              <w:rPr>
                <w:sz w:val="20"/>
                <w:szCs w:val="20"/>
                <w:color w:val="auto"/>
              </w:rPr>
            </w:pPr>
            <w:r>
              <w:rPr>
                <w:rFonts w:ascii="Arial" w:cs="Arial" w:eastAsia="Arial" w:hAnsi="Arial"/>
                <w:sz w:val="16"/>
                <w:szCs w:val="16"/>
                <w:color w:val="auto"/>
              </w:rPr>
              <w:t>Corporate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gridSpan w:val="4"/>
          </w:tcPr>
          <w:p>
            <w:pPr>
              <w:spacing w:after="0" w:line="239"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(3)(4)</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(23,801)</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(20,369)</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(70,152)</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(66,307)</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operating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103,557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130,448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220,837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273,215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insurance recoveries of approximately $0.4 million associated with storm-related store closures in 2017 for the three fiscal quarters ended September 29, 2018.</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approximately $12.8 million of charges related to a customer bankruptcy for the three fiscal quarters ended September 29, 2018.</w:t>
      </w:r>
    </w:p>
    <w:p>
      <w:pPr>
        <w:spacing w:after="0" w:line="82" w:lineRule="exact"/>
        <w:rPr>
          <w:rFonts w:ascii="Arial" w:cs="Arial" w:eastAsia="Arial" w:hAnsi="Arial"/>
          <w:sz w:val="14"/>
          <w:szCs w:val="14"/>
          <w:color w:val="auto"/>
        </w:rPr>
      </w:pPr>
    </w:p>
    <w:p>
      <w:pPr>
        <w:ind w:left="500" w:right="4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(4)</w:t>
            </w:r>
          </w:p>
        </w:tc>
        <w:tc>
          <w:tcPr>
            <w:tcW w:w="4860" w:type="dxa"/>
            <w:vAlign w:val="bottom"/>
            <w:gridSpan w:val="2"/>
          </w:tcPr>
          <w:p>
            <w:pPr>
              <w:ind w:left="160"/>
              <w:spacing w:after="0"/>
              <w:rPr>
                <w:sz w:val="20"/>
                <w:szCs w:val="20"/>
                <w:color w:val="auto"/>
              </w:rPr>
            </w:pPr>
            <w:r>
              <w:rPr>
                <w:rFonts w:ascii="Arial" w:cs="Arial" w:eastAsia="Arial" w:hAnsi="Arial"/>
                <w:sz w:val="14"/>
                <w:szCs w:val="14"/>
                <w:color w:val="auto"/>
              </w:rPr>
              <w:t>Includes the following charges: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25"/>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Fiscal quarter ended</w:t>
            </w:r>
          </w:p>
        </w:tc>
        <w:tc>
          <w:tcPr>
            <w:tcW w:w="240" w:type="dxa"/>
            <w:vAlign w:val="bottom"/>
          </w:tcPr>
          <w:p>
            <w:pPr>
              <w:spacing w:after="0"/>
              <w:rPr>
                <w:sz w:val="24"/>
                <w:szCs w:val="24"/>
                <w:color w:val="auto"/>
              </w:rPr>
            </w:pPr>
          </w:p>
        </w:tc>
        <w:tc>
          <w:tcPr>
            <w:tcW w:w="23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w w:val="95"/>
              </w:rPr>
              <w:t>Three fiscal quarters ended</w:t>
            </w:r>
          </w:p>
        </w:tc>
      </w:tr>
      <w:tr>
        <w:trPr>
          <w:trHeight w:val="33"/>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September 29,</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September 29,</w:t>
            </w:r>
          </w:p>
        </w:tc>
        <w:tc>
          <w:tcPr>
            <w:tcW w:w="1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September 30,</w:t>
            </w:r>
          </w:p>
        </w:tc>
      </w:tr>
      <w:tr>
        <w:trPr>
          <w:trHeight w:val="210"/>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contingency fair value adjustment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Direct sourcing initiative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ind w:left="500" w:right="60" w:hanging="492"/>
        <w:spacing w:after="0" w:line="27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$0.4 million and $0.8 million of certain costs related to inventory acquired from Skip Hop in operating income between U.S. Wholesale, U.S. Retail, and International for the fiscal quarter and three fiscal quarters ended September 30, 2017, respectively.</w:t>
      </w:r>
    </w:p>
    <w:p>
      <w:pPr>
        <w:spacing w:after="0" w:line="38" w:lineRule="exact"/>
        <w:rPr>
          <w:rFonts w:ascii="Arial" w:cs="Arial" w:eastAsia="Arial" w:hAnsi="Arial"/>
          <w:sz w:val="14"/>
          <w:szCs w:val="14"/>
          <w:color w:val="auto"/>
        </w:rPr>
      </w:pPr>
    </w:p>
    <w:p>
      <w:pPr>
        <w:ind w:left="500" w:right="280" w:hanging="492"/>
        <w:spacing w:after="0" w:line="27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Fiscal quarter and three fiscal quarters ended September 29, 2018 include approximately $3.5 million in costs associated with changes to the Company's business model in China, which includes inventory and severance charges.</w:t>
      </w:r>
    </w:p>
    <w:p>
      <w:pPr>
        <w:spacing w:after="0" w:line="134" w:lineRule="exact"/>
        <w:rPr>
          <w:sz w:val="20"/>
          <w:szCs w:val="20"/>
          <w:color w:val="auto"/>
        </w:rPr>
      </w:pPr>
    </w:p>
    <w:p>
      <w:pPr>
        <w:ind w:right="4420"/>
        <w:spacing w:after="0" w:line="346" w:lineRule="auto"/>
        <w:rPr>
          <w:sz w:val="20"/>
          <w:szCs w:val="20"/>
          <w:color w:val="auto"/>
        </w:rPr>
      </w:pPr>
      <w:r>
        <w:rPr>
          <w:rFonts w:ascii="Arial" w:cs="Arial" w:eastAsia="Arial" w:hAnsi="Arial"/>
          <w:sz w:val="18"/>
          <w:szCs w:val="18"/>
          <w:b w:val="1"/>
          <w:bCs w:val="1"/>
          <w:color w:val="auto"/>
        </w:rPr>
        <w:t>NOTE 16 – PENDING ADOPTION OF RECENT ACCOUNTING PRONOUNCEMENTS Leases (ASU 2016-02)</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Company is assessing the implications of applying the practical expedients and accounting policy elections, implementing software to meet the reporting requirements of the new standard, and identifying changes to its business processes and controls to support the adoption of the new standard. The Company believes the adoption will have a material impact on the total assets and total liabilities reported on the Company's consolidated balance sheets, but is not able to quantify the effect on the consolidated balance sheets at this time. However, the Company does not believe adoption of this standard will have a material impact on the Company's consolidated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Certain Tax Effects from Accumulated Other Comprehensive Income (ASU 2018-02)</w:t>
      </w:r>
    </w:p>
    <w:p>
      <w:pPr>
        <w:spacing w:after="0" w:line="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("ASU 2018-02"). ASU 2018-02 permits a company to reclassify the income tax effects of the U.S. Tax Cuts and Jobs Act of 2017 (the "2017 Tax Act") on items within accumulated other comprehensive income or loss ("AOCI-L") to retained earnings. Because most items that are charged to AOCI-L are recorded net of applicable income taxes, the subsequent reclassification of these items from AOCI-L to the statement of operations will be at different income tax rates due to the 2017 Tax Act, thereby leaving a "stranded" tax balance within AOCI-L. ASU 2018-02 will allow a company to transfer these "stranded" amounts from AOCI-L to retained earnings. ASU 2018-02 will be effective for the Company at the beginning of fiscal 2019, with early adoption permitted. The Company has amounts in its AOCI-L for defined benefit retirement plans that were recorded net of applicable income taxes, thus the Company anticipates the transfer of "stranded" tax amounts from its AOCI-L to retained earnings upon the adoption of ASU 2018-02. The effect of the adoption of ASU 2018-02 will not be material to the Company's financial position, and the adoption will have no impact on the Company's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 (ASU 2016-13)</w:t>
      </w:r>
    </w:p>
    <w:p>
      <w:pPr>
        <w:spacing w:after="0" w:line="9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w:t>
      </w:r>
      <w:r>
        <w:rPr>
          <w:rFonts w:ascii="Arial" w:cs="Arial" w:eastAsia="Arial" w:hAnsi="Arial"/>
          <w:sz w:val="17"/>
          <w:szCs w:val="17"/>
          <w:i w:val="1"/>
          <w:iCs w:val="1"/>
          <w:color w:val="auto"/>
        </w:rPr>
        <w:t>.</w:t>
      </w:r>
      <w:r>
        <w:rPr>
          <w:rFonts w:ascii="Arial" w:cs="Arial" w:eastAsia="Arial" w:hAnsi="Arial"/>
          <w:sz w:val="17"/>
          <w:szCs w:val="17"/>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Testing (ASU 2017-04)</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tests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337" w:right="299" w:bottom="1440" w:gutter="0" w:footer="0" w:header="0"/>
        </w:sectPr>
      </w:pPr>
    </w:p>
    <w:bookmarkStart w:id="23" w:name="page24"/>
    <w:bookmarkEnd w:id="23"/>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GUARANTOR UNAUDITED CONDENSED CONSOLIDATING FINANCIAL STATEMENTS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the Company's Annual Report on Form 10-K for the 2017 fiscal year ended December 30, 2017.</w:t>
      </w:r>
    </w:p>
    <w:p>
      <w:pPr>
        <w:spacing w:after="0" w:line="2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Issuer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70,518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123,898</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235,167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19,336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293,489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385,969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692,985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57,000</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844,862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466,417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191,403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(335,310)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1,167,372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360,718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229,611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365,754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42,614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45,525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490,514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811,185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1,117,864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283,169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(2,212,218)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811,185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2,585,544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1,657,612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281,647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(3,138,042)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2,197,946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121,721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185,285</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164,290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132,713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133,021</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326,714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253,422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318,306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798,020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798,020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87,888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490,514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80,812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88,860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182,547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811,185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1,173,510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227,523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(2,245,037)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811,185</w:t>
            </w:r>
          </w:p>
        </w:tc>
        <w:tc>
          <w:tcPr>
            <w:tcW w:w="0" w:type="dxa"/>
            <w:vAlign w:val="bottom"/>
          </w:tcPr>
          <w:p>
            <w:pPr>
              <w:spacing w:after="0"/>
              <w:rPr>
                <w:sz w:val="1"/>
                <w:szCs w:val="1"/>
                <w:color w:val="auto"/>
              </w:rPr>
            </w:pPr>
          </w:p>
        </w:tc>
      </w:tr>
      <w:tr>
        <w:trPr>
          <w:trHeight w:val="200"/>
        </w:trPr>
        <w:tc>
          <w:tcPr>
            <w:tcW w:w="2640" w:type="dxa"/>
            <w:vAlign w:val="bottom"/>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811,185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2,585,544</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1,657,612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281,647</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(3,138,042)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2,197,946</w:t>
            </w:r>
          </w:p>
        </w:tc>
        <w:tc>
          <w:tcPr>
            <w:tcW w:w="0" w:type="dxa"/>
            <w:vAlign w:val="bottom"/>
          </w:tcPr>
          <w:p>
            <w:pPr>
              <w:spacing w:after="0"/>
              <w:rPr>
                <w:sz w:val="1"/>
                <w:szCs w:val="1"/>
                <w:color w:val="auto"/>
              </w:rPr>
            </w:pPr>
          </w:p>
        </w:tc>
      </w:tr>
      <w:tr>
        <w:trPr>
          <w:trHeight w:val="224"/>
        </w:trPr>
        <w:tc>
          <w:tcPr>
            <w:tcW w:w="264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178,494</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182,944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240,561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Finished goods inventories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296,065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206,556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66,569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548,722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Prepaid expenses and other current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52,935</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713,186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440,233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196,450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(329,157)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1,020,712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377,924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230,424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Tradenames,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365,551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44,996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47,996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441,294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Intercompany long-term note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1,053,224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231,994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(2,142,634)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182,114</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215,573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91,697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149,134</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343,036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263,999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331,248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617,306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617,306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84,944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liability</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441,294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note payable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71,834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92,570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180,128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877,884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1,043,872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c>
          <w:tcPr>
            <w:tcW w:w="0" w:type="dxa"/>
            <w:vAlign w:val="bottom"/>
          </w:tcPr>
          <w:p>
            <w:pPr>
              <w:spacing w:after="0"/>
              <w:rPr>
                <w:sz w:val="1"/>
                <w:szCs w:val="1"/>
                <w:color w:val="auto"/>
              </w:rPr>
            </w:pPr>
          </w:p>
        </w:tc>
      </w:tr>
      <w:tr>
        <w:trPr>
          <w:trHeight w:val="200"/>
        </w:trPr>
        <w:tc>
          <w:tcPr>
            <w:tcW w:w="274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p>
        </w:tc>
        <w:tc>
          <w:tcPr>
            <w:tcW w:w="2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224"/>
        </w:trPr>
        <w:tc>
          <w:tcPr>
            <w:tcW w:w="2740" w:type="dxa"/>
            <w:vAlign w:val="bottom"/>
          </w:tcPr>
          <w:p>
            <w:pPr>
              <w:ind w:left="38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105,370</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229,425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19,061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285,651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311,260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245,934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74,631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609,996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50,956</w:t>
            </w:r>
          </w:p>
        </w:tc>
        <w:tc>
          <w:tcPr>
            <w:tcW w:w="0" w:type="dxa"/>
            <w:vAlign w:val="bottom"/>
          </w:tcPr>
          <w:p>
            <w:pPr>
              <w:spacing w:after="0"/>
              <w:rPr>
                <w:sz w:val="1"/>
                <w:szCs w:val="1"/>
                <w:color w:val="auto"/>
              </w:rPr>
            </w:pP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729,689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437,632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(286,163)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1,051,973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192,065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382,014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234,193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43,246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46,622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26,539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411,787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771,831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983,575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204,093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(1,959,499)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771,831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2,346,292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1,481,222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2,106,936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193,878</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148,416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111,972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314,964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244,687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(264,334)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330,992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687,074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687,074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138,161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411,787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178,878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771,831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793,660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(1,981,328)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771,831</w:t>
            </w:r>
          </w:p>
        </w:tc>
        <w:tc>
          <w:tcPr>
            <w:tcW w:w="0" w:type="dxa"/>
            <w:vAlign w:val="bottom"/>
          </w:tcPr>
          <w:p>
            <w:pPr>
              <w:spacing w:after="0"/>
              <w:rPr>
                <w:sz w:val="1"/>
                <w:szCs w:val="1"/>
                <w:color w:val="auto"/>
              </w:rPr>
            </w:pPr>
          </w:p>
        </w:tc>
      </w:tr>
      <w:tr>
        <w:trPr>
          <w:trHeight w:val="200"/>
        </w:trPr>
        <w:tc>
          <w:tcPr>
            <w:tcW w:w="2640" w:type="dxa"/>
            <w:vAlign w:val="bottom"/>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771,831</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2,346,292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1,481,222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265,040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(2,757,449)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2,106,936</w:t>
            </w:r>
          </w:p>
        </w:tc>
        <w:tc>
          <w:tcPr>
            <w:tcW w:w="0" w:type="dxa"/>
            <w:vAlign w:val="bottom"/>
          </w:tcPr>
          <w:p>
            <w:pPr>
              <w:spacing w:after="0"/>
              <w:rPr>
                <w:sz w:val="1"/>
                <w:szCs w:val="1"/>
                <w:color w:val="auto"/>
              </w:rPr>
            </w:pPr>
          </w:p>
        </w:tc>
      </w:tr>
      <w:tr>
        <w:trPr>
          <w:trHeight w:val="224"/>
        </w:trPr>
        <w:tc>
          <w:tcPr>
            <w:tcW w:w="264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570,007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506,994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(272,276)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923,907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424,895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309,123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536,457</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387,450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10,224</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294,117</w:t>
            </w: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100,619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(10,845)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103,557</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93,839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16,948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22,069</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71,770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71,770</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948,046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423,433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297,858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(236,323)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544,468</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403,578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10,350</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210,175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283,480</w:t>
            </w: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122,466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(9,659)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130,448</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123,243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28,483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40,927</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82,316</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1,376,806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1,379,293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298,148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(678,357)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2,375,890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1,028,751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820,721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147,498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(650,965)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1,346,005</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348,055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558,572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1,029,885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24,043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28,573</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626,125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837,621</w:t>
            </w: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234,852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52,150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220,837</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25,790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198,461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194,993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34,604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43,487</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163,857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151,506</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1,393,351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1,337,078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(596,827)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2,372,624</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1,014,968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783,973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(582,782)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1,350,107</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378,383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1,022,517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25,580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32,118</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593,544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781,420</w:t>
            </w: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275,368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273,215</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234,459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252,695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85,992</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166,703</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71,770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71,770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3,213</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74,983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74,983</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82,316</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4,157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4,157</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86,473</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163,857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151,506</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(3,225)</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148,281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148,281</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166,703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166,703</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8,244</w:t>
            </w: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174,947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174,947</w:t>
            </w: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(used in) provided by</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w w:val="92"/>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(47,844)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Intercompany investing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206,622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Acquisitions of businesses, net of</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cash acquired</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Disposals and recoveries from</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Net cash provided by (used in)</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206,622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(208,607)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(47,372)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Cash flows from financing activities: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Intercompany financing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shd w:val="clear" w:color="auto" w:fill="CCEEFF"/>
              </w:rPr>
              <w:t>Borrowings under secured revolving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credit facility</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290,000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w w:val="91"/>
              </w:rPr>
              <w:t>Payments on secured revolving credit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facility</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Dividends paid</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(145,493)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(145,493)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shd w:val="clear" w:color="auto" w:fill="CCEEFF"/>
              </w:rPr>
              <w:t>Withholdings from vestings of</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restricted stock</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Proceeds from exercises of stock</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options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8,732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Net cash (used in) provided by</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(206,622)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w w:val="96"/>
              </w:rPr>
              <w:t>Effect of exchange rate changes on</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Net (decrease) increase in cash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cash equivalents</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(58,945)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(54,596)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w w:val="90"/>
              </w:rPr>
              <w:t>Cash and cash equivalents, beginning</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auto"/>
              </w:rPr>
              <w:t>of period</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39,001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178,494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Cash and cash equivalents, end of</w:t>
            </w:r>
          </w:p>
        </w:tc>
        <w:tc>
          <w:tcPr>
            <w:tcW w:w="4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70,518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19,755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33,625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123,898</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shd w:val="clear" w:color="auto" w:fill="CCEEFF"/>
              </w:rPr>
              <w:t>period</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240" w:type="dxa"/>
            <w:vAlign w:val="bottom"/>
            <w:tcBorders>
              <w:bottom w:val="single" w:sz="8" w:color="CCEEFF"/>
            </w:tcBorders>
            <w:gridSpan w:val="2"/>
            <w:vMerge w:val="continue"/>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37"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fiscal quarters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provided by operating</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117,506</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2"/>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(51,656)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Intercompany investing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6"/>
                <w:szCs w:val="16"/>
                <w:color w:val="auto"/>
                <w:w w:val="97"/>
              </w:rPr>
              <w:t>Acquisition of business, net of cash</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(144,520)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(159,365)</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0" w:type="dxa"/>
            <w:vAlign w:val="bottom"/>
            <w:shd w:val="clear" w:color="auto" w:fill="CCEEFF"/>
          </w:tcPr>
          <w:p>
            <w:pPr>
              <w:spacing w:after="0"/>
              <w:rPr>
                <w:sz w:val="17"/>
                <w:szCs w:val="17"/>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cash provided by (used in)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(211,021)</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2"/>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Intercompany financing activity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(186,794)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204,421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6"/>
                <w:szCs w:val="16"/>
                <w:color w:val="auto"/>
                <w:w w:val="95"/>
              </w:rPr>
              <w:t>Borrowings under secured revolving</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credit facility</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w w:val="91"/>
              </w:rPr>
              <w:t>Payments on secured revolving credit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facility</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(93,965)</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(53,443)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(150,974)</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Withholdings from vestings of</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restricted stock</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(5,654)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Proceeds from exercises of stock</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options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Arial" w:cs="Arial" w:eastAsia="Arial" w:hAnsi="Arial"/>
                <w:sz w:val="16"/>
                <w:szCs w:val="16"/>
                <w:color w:val="auto"/>
              </w:rPr>
              <w:t>Net cash (used in) provided by</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(204,931)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(63,932)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204,421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(101,034)</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Effect of exchange rate changes 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cash</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6"/>
                <w:szCs w:val="16"/>
                <w:color w:val="auto"/>
                <w:w w:val="94"/>
              </w:rPr>
              <w:t>Net (decrease) increase in cash and</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(172,341)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(193,988)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Cash and cash equivalents, beginning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of period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299,358</w:t>
            </w:r>
          </w:p>
        </w:tc>
        <w:tc>
          <w:tcPr>
            <w:tcW w:w="0" w:type="dxa"/>
            <w:vAlign w:val="bottom"/>
          </w:tcPr>
          <w:p>
            <w:pPr>
              <w:spacing w:after="0"/>
              <w:rPr>
                <w:sz w:val="1"/>
                <w:szCs w:val="1"/>
                <w:color w:val="auto"/>
              </w:rPr>
            </w:pPr>
          </w:p>
        </w:tc>
      </w:tr>
      <w:tr>
        <w:trPr>
          <w:trHeight w:val="20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40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56,715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17,771</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30,884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105,370</w:t>
            </w:r>
          </w:p>
        </w:tc>
        <w:tc>
          <w:tcPr>
            <w:tcW w:w="0" w:type="dxa"/>
            <w:vAlign w:val="bottom"/>
          </w:tcPr>
          <w:p>
            <w:pPr>
              <w:spacing w:after="0"/>
              <w:rPr>
                <w:sz w:val="1"/>
                <w:szCs w:val="1"/>
                <w:color w:val="auto"/>
              </w:rPr>
            </w:pPr>
          </w:p>
        </w:tc>
      </w:tr>
      <w:tr>
        <w:trPr>
          <w:trHeight w:val="224"/>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period</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2018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in sizes newborn to 14 and accessories.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for children in sizes newborn to 14, with a focus on playclothes for toddlers and young children, and accessories.</w:t>
      </w:r>
    </w:p>
    <w:p>
      <w:pPr>
        <w:spacing w:after="0" w:line="13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 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takes durable childhood necessities, and re-thinks, re-energizes, and re-imagines them to produce higher value, superior quality, and top-performance goods for parents, babies, and toddlers.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market high-quality products and accessories at an attractive value proposition for consumers, and offer multiple product categories. Our multi-channel international business model - which includes retail stores, eCommerce and wholesale sales channels - enables us to reach a broad range of consumers around the world. We have extensive experience in the young children's apparel and accessories market and focus on delivering products that satisfy our consumers' needs.</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2017 fiscal year ended December 30,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 xml:space="preserve">Our U.S. Retail segment consists of revenue from sales of products to consumers in the United States, including </w:t>
      </w:r>
      <w:r>
        <w:rPr>
          <w:rFonts w:ascii="Arial" w:cs="Arial" w:eastAsia="Arial" w:hAnsi="Arial"/>
          <w:sz w:val="16"/>
          <w:szCs w:val="16"/>
          <w:i w:val="1"/>
          <w:iCs w:val="1"/>
          <w:color w:val="auto"/>
        </w:rPr>
        <w:t>Carter's,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through our retail stores and eCommerce sites. Similarly, our U.S. Wholesale segment consists of revenue from sales in the United States of </w:t>
      </w:r>
      <w:r>
        <w:rPr>
          <w:rFonts w:ascii="Arial" w:cs="Arial" w:eastAsia="Arial" w:hAnsi="Arial"/>
          <w:sz w:val="16"/>
          <w:szCs w:val="16"/>
          <w:i w:val="1"/>
          <w:iCs w:val="1"/>
          <w:color w:val="auto"/>
        </w:rPr>
        <w:t>Carter's,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to our wholesale customers. Finally, our International segment consists of income from sales</w:t>
      </w:r>
    </w:p>
    <w:p>
      <w:pPr>
        <w:ind w:right="400"/>
        <w:spacing w:after="0" w:line="255"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Carter's, 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our retail and online stores outside the United States, primarily through our retail stores in Canada and Mexico, our eCommerce sites in Canada and China, stores operated by our international partners, and sales to our international wholesale customers.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statement of operations data expressed as a percentage of consolidated net sales: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Net sales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Retail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Wholesale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goods sold</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net</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 - rounds to less than 0.1%, therefore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 Results may not be additive due to rounding.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Retail Sales Metrics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720" w:type="dxa"/>
            <w:vAlign w:val="bottom"/>
            <w:gridSpan w:val="4"/>
          </w:tcPr>
          <w:p>
            <w:pPr>
              <w:ind w:left="1100"/>
              <w:spacing w:after="0"/>
              <w:rPr>
                <w:sz w:val="20"/>
                <w:szCs w:val="20"/>
                <w:color w:val="auto"/>
              </w:rPr>
            </w:pPr>
            <w:r>
              <w:rPr>
                <w:rFonts w:ascii="Arial" w:cs="Arial" w:eastAsia="Arial" w:hAnsi="Arial"/>
                <w:sz w:val="16"/>
                <w:szCs w:val="16"/>
                <w:b w:val="1"/>
                <w:bCs w:val="1"/>
                <w:color w:val="auto"/>
              </w:rPr>
              <w:t>Fiscal quarter ended</w:t>
            </w:r>
          </w:p>
        </w:tc>
        <w:tc>
          <w:tcPr>
            <w:tcW w:w="362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18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182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29,</w:t>
            </w:r>
          </w:p>
        </w:tc>
        <w:tc>
          <w:tcPr>
            <w:tcW w:w="1900" w:type="dxa"/>
            <w:vAlign w:val="bottom"/>
            <w:gridSpan w:val="2"/>
          </w:tcPr>
          <w:p>
            <w:pPr>
              <w:ind w:left="380"/>
              <w:spacing w:after="0"/>
              <w:rPr>
                <w:sz w:val="20"/>
                <w:szCs w:val="20"/>
                <w:color w:val="auto"/>
              </w:rPr>
            </w:pPr>
            <w:r>
              <w:rPr>
                <w:rFonts w:ascii="Arial" w:cs="Arial" w:eastAsia="Arial" w:hAnsi="Arial"/>
                <w:sz w:val="16"/>
                <w:szCs w:val="16"/>
                <w:b w:val="1"/>
                <w:bCs w:val="1"/>
                <w:color w:val="auto"/>
              </w:rPr>
              <w:t>September 30,</w:t>
            </w:r>
          </w:p>
        </w:tc>
        <w:tc>
          <w:tcPr>
            <w:tcW w:w="18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29,</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7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01"/>
        </w:trPr>
        <w:tc>
          <w:tcPr>
            <w:tcW w:w="17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51.0 %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39.0 %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37.1 %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447"/>
        </w:trPr>
        <w:tc>
          <w:tcPr>
            <w:tcW w:w="17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57.4 %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56.9 %</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447"/>
        </w:trPr>
        <w:tc>
          <w:tcPr>
            <w:tcW w:w="172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42.6 %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43.1 %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32.9 %</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447"/>
        </w:trPr>
        <w:tc>
          <w:tcPr>
            <w:tcW w:w="17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70"/>
        </w:trPr>
        <w:tc>
          <w:tcPr>
            <w:tcW w:w="1820" w:type="dxa"/>
            <w:vAlign w:val="bottom"/>
            <w:gridSpan w:val="2"/>
          </w:tcPr>
          <w:p>
            <w:pPr>
              <w:ind w:left="1300"/>
              <w:spacing w:after="0"/>
              <w:rPr>
                <w:sz w:val="20"/>
                <w:szCs w:val="20"/>
                <w:color w:val="auto"/>
              </w:rPr>
            </w:pPr>
            <w:r>
              <w:rPr>
                <w:rFonts w:ascii="Arial" w:cs="Arial" w:eastAsia="Arial" w:hAnsi="Arial"/>
                <w:sz w:val="16"/>
                <w:szCs w:val="16"/>
                <w:color w:val="auto"/>
              </w:rPr>
              <w:t>n/m</w:t>
            </w:r>
          </w:p>
        </w:tc>
        <w:tc>
          <w:tcPr>
            <w:tcW w:w="1900" w:type="dxa"/>
            <w:vAlign w:val="bottom"/>
            <w:gridSpan w:val="2"/>
          </w:tcPr>
          <w:p>
            <w:pPr>
              <w:ind w:left="1320"/>
              <w:spacing w:after="0"/>
              <w:rPr>
                <w:sz w:val="20"/>
                <w:szCs w:val="20"/>
                <w:color w:val="auto"/>
              </w:rPr>
            </w:pPr>
            <w:r>
              <w:rPr>
                <w:rFonts w:ascii="Arial" w:cs="Arial" w:eastAsia="Arial" w:hAnsi="Arial"/>
                <w:sz w:val="16"/>
                <w:szCs w:val="16"/>
                <w:color w:val="auto"/>
              </w:rPr>
              <w:t>n/m</w:t>
            </w:r>
          </w:p>
        </w:tc>
        <w:tc>
          <w:tcPr>
            <w:tcW w:w="1840" w:type="dxa"/>
            <w:vAlign w:val="bottom"/>
            <w:gridSpan w:val="2"/>
          </w:tcPr>
          <w:p>
            <w:pPr>
              <w:ind w:left="1300"/>
              <w:spacing w:after="0"/>
              <w:rPr>
                <w:sz w:val="20"/>
                <w:szCs w:val="20"/>
                <w:color w:val="auto"/>
              </w:rPr>
            </w:pPr>
            <w:r>
              <w:rPr>
                <w:rFonts w:ascii="Arial" w:cs="Arial" w:eastAsia="Arial" w:hAnsi="Arial"/>
                <w:sz w:val="16"/>
                <w:szCs w:val="16"/>
                <w:color w:val="auto"/>
              </w:rPr>
              <w:t>n/m</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270"/>
        </w:trPr>
        <w:tc>
          <w:tcPr>
            <w:tcW w:w="1820" w:type="dxa"/>
            <w:vAlign w:val="bottom"/>
            <w:gridSpan w:val="2"/>
          </w:tcPr>
          <w:p>
            <w:pPr>
              <w:ind w:left="1300"/>
              <w:spacing w:after="0"/>
              <w:rPr>
                <w:sz w:val="20"/>
                <w:szCs w:val="20"/>
                <w:color w:val="auto"/>
              </w:rPr>
            </w:pPr>
            <w:r>
              <w:rPr>
                <w:rFonts w:ascii="Arial" w:cs="Arial" w:eastAsia="Arial" w:hAnsi="Arial"/>
                <w:sz w:val="16"/>
                <w:szCs w:val="16"/>
                <w:color w:val="auto"/>
              </w:rPr>
              <w:t>n/m</w:t>
            </w:r>
          </w:p>
        </w:tc>
        <w:tc>
          <w:tcPr>
            <w:tcW w:w="1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840" w:type="dxa"/>
            <w:vAlign w:val="bottom"/>
            <w:gridSpan w:val="2"/>
          </w:tcPr>
          <w:p>
            <w:pPr>
              <w:ind w:left="1300"/>
              <w:spacing w:after="0"/>
              <w:rPr>
                <w:sz w:val="20"/>
                <w:szCs w:val="20"/>
                <w:color w:val="auto"/>
              </w:rPr>
            </w:pPr>
            <w:r>
              <w:rPr>
                <w:rFonts w:ascii="Arial" w:cs="Arial" w:eastAsia="Arial" w:hAnsi="Arial"/>
                <w:sz w:val="16"/>
                <w:szCs w:val="16"/>
                <w:color w:val="auto"/>
              </w:rPr>
              <w:t>n/m</w:t>
            </w: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447"/>
        </w:trPr>
        <w:tc>
          <w:tcPr>
            <w:tcW w:w="1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70"/>
        </w:trPr>
        <w:tc>
          <w:tcPr>
            <w:tcW w:w="17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-3361055</wp:posOffset>
            </wp:positionV>
            <wp:extent cx="72377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-3009265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-2666365</wp:posOffset>
            </wp:positionV>
            <wp:extent cx="723773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460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-2348865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-2032000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-1689100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-1371600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-1028700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-685165</wp:posOffset>
            </wp:positionV>
            <wp:extent cx="723773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4605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-368300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25" w:lineRule="exact"/>
        <w:rPr>
          <w:sz w:val="20"/>
          <w:szCs w:val="20"/>
          <w:color w:val="auto"/>
        </w:rPr>
      </w:pPr>
    </w:p>
    <w:p>
      <w:pPr>
        <w:sectPr>
          <w:pgSz w:w="11900" w:h="16838" w:orient="portrait"/>
          <w:cols w:equalWidth="0" w:num="2">
            <w:col w:w="3920" w:space="160"/>
            <w:col w:w="7340"/>
          </w:cols>
          <w:pgMar w:left="240" w:top="121" w:right="239" w:bottom="1440" w:gutter="0" w:footer="0" w:header="0"/>
          <w:type w:val="continuous"/>
        </w:sectPr>
      </w:pPr>
    </w:p>
    <w:p>
      <w:pPr>
        <w:ind w:right="120"/>
        <w:spacing w:after="0" w:line="264" w:lineRule="auto"/>
        <w:rPr>
          <w:sz w:val="20"/>
          <w:szCs w:val="20"/>
          <w:color w:val="auto"/>
        </w:rPr>
      </w:pPr>
      <w:r>
        <w:rPr>
          <w:rFonts w:ascii="Arial" w:cs="Arial" w:eastAsia="Arial" w:hAnsi="Arial"/>
          <w:sz w:val="18"/>
          <w:szCs w:val="18"/>
          <w:color w:val="auto"/>
        </w:rPr>
        <w:t>At the beginning of fiscal 2018, we transitioned to disclosing a total comparable retail sales metric, including both retail stores and eCommerce. This change aligns with how management views and measures our retail business. We believe it reflects our maturing omni-channel strategy and consumers’ increasing tendency to shop with us both in our stores and online.</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method of calculating comparable sales may not be the same as that of other retailers.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THIRD FISCAL QUARTER AND THREE FISCAL QUARTERS ENDED SEPTEMBER 29, 2018 COMPARED TO THIRD FISCAL QUARTER AND THREE FISCAL QUARTERS ENDED SEPTEMBER 30,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third quarter of fiscal 2018, consolidated net sales decreased $24.1 million, or 2.5%, to $923.9 million from $948.0 million in the third quarter of fiscal 2017. Consolidated net sales were $2.4 billion in the first three quarters of both fiscal 2018 and fiscal 2017. The decrease for the third quarter of fiscal 2018 was primarily driven by a decline in our U.S. Wholesale segment, slightly offset by growth in our U.S. Retail and International segments. Changes in foreign currency exchange rates used for translation in the third quarter of fiscal 2018, as compared to the third quarter of fiscal 2017, had an unfavorable impact on our consolidated net sales of approximately $4.1 million. Changes in foreign currency exchange rates used for translation in the first three quarters of fiscal 2018, as compared to the first three quarters of fiscal 2017, had a favorable impact on our consolidated net sales of approximately $1.3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180"/>
              <w:spacing w:after="0"/>
              <w:rPr>
                <w:sz w:val="20"/>
                <w:szCs w:val="20"/>
                <w:color w:val="auto"/>
              </w:rPr>
            </w:pPr>
            <w:r>
              <w:rPr>
                <w:rFonts w:ascii="Arial" w:cs="Arial" w:eastAsia="Arial" w:hAnsi="Arial"/>
                <w:sz w:val="16"/>
                <w:szCs w:val="16"/>
                <w:b w:val="1"/>
                <w:bCs w:val="1"/>
                <w:color w:val="auto"/>
              </w:rPr>
              <w:t>Fiscal quarter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fiscal quarters ended</w:t>
            </w:r>
          </w:p>
        </w:tc>
        <w:tc>
          <w:tcPr>
            <w:tcW w:w="840" w:type="dxa"/>
            <w:vAlign w:val="bottom"/>
          </w:tcPr>
          <w:p>
            <w:pPr>
              <w:spacing w:after="0"/>
              <w:rPr>
                <w:sz w:val="18"/>
                <w:szCs w:val="18"/>
                <w:color w:val="auto"/>
              </w:rPr>
            </w:pPr>
          </w:p>
        </w:tc>
      </w:tr>
      <w:tr>
        <w:trPr>
          <w:trHeight w:val="4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September 29,</w:t>
            </w: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 of</w:t>
            </w:r>
          </w:p>
        </w:tc>
      </w:tr>
      <w:tr>
        <w:trPr>
          <w:trHeight w:val="210"/>
        </w:trPr>
        <w:tc>
          <w:tcPr>
            <w:tcW w:w="192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9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r>
      <w:tr>
        <w:trPr>
          <w:trHeight w:val="237"/>
        </w:trPr>
        <w:tc>
          <w:tcPr>
            <w:tcW w:w="192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459,101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453,843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1,244,863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1,209,143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338,963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369,577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829,272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879,842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37"/>
        </w:trPr>
        <w:tc>
          <w:tcPr>
            <w:tcW w:w="192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125,843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124,626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301,755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283,639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923,907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948,046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2,375,890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2,372,624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Percentages may not be additive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U.S. Retail segment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70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U.S. Retail Stores</w:t>
            </w:r>
          </w:p>
        </w:tc>
      </w:tr>
      <w:tr>
        <w:trPr>
          <w:trHeight w:val="33"/>
        </w:trPr>
        <w:tc>
          <w:tcPr>
            <w:tcW w:w="97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30, 2017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Openings</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33"/>
        </w:trPr>
        <w:tc>
          <w:tcPr>
            <w:tcW w:w="9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84"/>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Store count at September 29, 2018</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w:t>
            </w:r>
          </w:p>
        </w:tc>
      </w:tr>
      <w:tr>
        <w:trPr>
          <w:trHeight w:val="203"/>
        </w:trPr>
        <w:tc>
          <w:tcPr>
            <w:tcW w:w="97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b w:val="1"/>
                <w:bCs w:val="1"/>
                <w:color w:val="auto"/>
              </w:rPr>
              <w:t>Projected store count at December 29, 2018</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849</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U.S. Retail segment</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Comparable retail net sales increased 0.5% during the third quarter and 1.4% during the first three quarters of fiscal 2018 compared to the corresponding periods in fiscal 2017 primarily due to eCommerce sales growth, partially offset by a decline in comparable retail store net sales.</w:t>
      </w:r>
    </w:p>
    <w:p>
      <w:pPr>
        <w:spacing w:after="0" w:line="1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comparable retail net sales were negatively affected in the third fiscal quarter of 2018 by reduced overall demand during the Labor Day holiday and decreased international customer demand on our U.S. eCommerce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Retail segment net sales increased approximately $5.3 million, or 1.2%, in the third quarter of fiscal 2018 to $459.1 million from $453.8 million in the third quarter of fiscal 2017. This increase in net sales primarily reflected a/an:</w:t>
      </w:r>
    </w:p>
    <w:p>
      <w:pPr>
        <w:spacing w:after="0" w:line="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$16.9 million from new retail stores that are not yet comparable;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$5.5 million from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$11.3 million due to the effect of store closings;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$4.5 million in comparable retail store sales, primarily a result of reduced traffic.</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U.S. Retail segment net sales increased $35.7 million, or 3.0%, in the first three quarters of fiscal 2018 to $1.2 billion from the first three quarters of fiscal 2017. This increase in net sales primarily reflected a/an:</w:t>
      </w:r>
    </w:p>
    <w:p>
      <w:pPr>
        <w:spacing w:after="0" w:line="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$46.7 million from new retail stores that are not yet comparable;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$35.6 million from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of $25.7 million due to the effect of store closings;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of $19.2 million in comparable retail store sales, primarily a result of reduced traffic.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 Wholesale segment net sales decreased approximately $30.6 million, or 8.3%, in the third quarter of fiscal 2018 to $339.0 million from $369.6 million in the third quarter of fiscal 2017. This decline reflected a 8.5% decrease in the number of units shipped and a 0.2% increase in the average price per unit, primarily as a result of reduced demand due to customer bankruptcies.</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U.S. Wholesale segment net sales decreased $50.6 million, or 5.7%, in the first three quarters of fiscal 2018 to $829.3 million from $879.8 million in the first three quarters of fiscal 2017. This decline reflected a 6.1% decrease in the number of units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3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shipped which was primarily the result of reduced demand due to customer bankruptcies, partially offset by a 0.4% increase in the average price per unit and contributions from the Skip Hop business that was acquired during the first quarter of fiscal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International segment net sales increased approximately $1.2 million, or 1.0%, in the third quarter of fiscal 2018 to $125.8 million from $124.6 million in the third quarter of fiscal 2017. Changes in foreign currency exchange rates used for translation had an unfavorable impact on International segment net sales of approximately $4.1 million in the third quarter of fiscal 2018 compared to the third quarter of fiscal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$1.2 million increase in net sales in our International segment primarily reflected a/an:</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of $2.9 million related to the contribution from Carter's Mexico that was acquired in the third fiscal quarter of 2017;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of $1.3 million from international sales to customers across various regions;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$3.0 million from sales in China.</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International segment net sales increased $18.1 million, or 6.4%, in the first three quarters of fiscal 2018 to $301.8 million from $283.6 million in the first three quarters of fiscal 2017. Changes in foreign currency exchange rates, primarily between the U.S. dollar and the Canadian dollar, had a favorable impact on International segment net sales of approximately $1.3 million in the first three quarters of fiscal 2018 compared to the first three quarters of fiscal 2017.</w:t>
      </w:r>
    </w:p>
    <w:p>
      <w:pPr>
        <w:spacing w:after="0" w:line="106" w:lineRule="exact"/>
        <w:rPr>
          <w:sz w:val="20"/>
          <w:szCs w:val="20"/>
          <w:color w:val="auto"/>
        </w:rPr>
      </w:pPr>
    </w:p>
    <w:p>
      <w:pPr>
        <w:jc w:val="center"/>
        <w:ind w:right="4780"/>
        <w:spacing w:after="0"/>
        <w:rPr>
          <w:sz w:val="20"/>
          <w:szCs w:val="20"/>
          <w:color w:val="auto"/>
        </w:rPr>
      </w:pPr>
      <w:r>
        <w:rPr>
          <w:rFonts w:ascii="Arial" w:cs="Arial" w:eastAsia="Arial" w:hAnsi="Arial"/>
          <w:sz w:val="16"/>
          <w:szCs w:val="16"/>
          <w:color w:val="auto"/>
        </w:rPr>
        <w:t>The $18.1 million increase in net sales in our International segment primarily reflected a/an:</w:t>
      </w:r>
    </w:p>
    <w:p>
      <w:pPr>
        <w:spacing w:after="0" w:line="11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Increase of $20.3 million related to the contribution from acquired businesses;</w:t>
      </w:r>
    </w:p>
    <w:p>
      <w:pPr>
        <w:spacing w:after="0" w:line="2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Increase of $8.4 million from our Canada business, including wholesale and retail operations;</w:t>
      </w:r>
    </w:p>
    <w:p>
      <w:pPr>
        <w:spacing w:after="0" w:line="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Decrease of $5.4 million from international sales to customers across various regions; and</w:t>
      </w:r>
    </w:p>
    <w:p>
      <w:pPr>
        <w:spacing w:after="0" w:line="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Decrease of $5.1 million from sales in China.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International Segment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Canada Retail Stores</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Mexico Retail Stores</w:t>
            </w:r>
          </w:p>
        </w:tc>
      </w:tr>
      <w:tr>
        <w:trPr>
          <w:trHeight w:val="33"/>
        </w:trPr>
        <w:tc>
          <w:tcPr>
            <w:tcW w:w="78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30, 2017</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Openings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7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Store count at September 29, 2018</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r>
      <w:tr>
        <w:trPr>
          <w:trHeight w:val="203"/>
        </w:trPr>
        <w:tc>
          <w:tcPr>
            <w:tcW w:w="78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Projected store count at December 29, 2018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42</w:t>
            </w:r>
          </w:p>
        </w:tc>
      </w:tr>
    </w:tbl>
    <w:p>
      <w:pPr>
        <w:spacing w:after="0" w:line="19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Compared to the third quarter of fiscal 2017, our Canadian comparable retail sales increased 2.9% in the third quarter of fiscal 2018. Compared to the first three quarters of fiscal 2017, our Canadian total retail comparable sales increased 1.7% in the first three quarters of fiscal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and Gross Profit</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consolidated gross margin decreased from 42.6% in the third quarter of fiscal 2017 to 41.9% in the third quarter of fiscal 2018. Our consolidated gross profit decreased $16.1 million, or 4.0%, to $387.5 million in the third quarter of fiscal 2018 from $403.6 million in the third quarter of fiscal 2017. These decreases were primarily due to higher provisions for inventory, lower sales and price realization.</w:t>
      </w:r>
    </w:p>
    <w:p>
      <w:pPr>
        <w:spacing w:after="0" w:line="22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consolidated gross margin increased from 43.1% in the first three quarters of fiscal 2017 to 43.3% for the first three quarters of fiscal 2018. Our consolidated gross profit increased $7.4 million, or 0.7%, to $1.0 billion in the first three quarters of fiscal 2018 from the first three quarters of fiscal 2017. These increases were primarily due to favorable product costs partially offset by higher provisions for inventory.</w:t>
      </w:r>
    </w:p>
    <w:p>
      <w:pPr>
        <w:spacing w:after="0" w:line="14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 xml:space="preserve">We license the use of many of our brand names,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Genuine Kids from</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Baby B'gosh</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 and</w:t>
      </w:r>
      <w:r>
        <w:rPr>
          <w:rFonts w:ascii="Arial" w:cs="Arial" w:eastAsia="Arial" w:hAnsi="Arial"/>
          <w:sz w:val="18"/>
          <w:szCs w:val="18"/>
          <w:i w:val="1"/>
          <w:iCs w:val="1"/>
          <w:color w:val="auto"/>
        </w:rPr>
        <w:t xml:space="preserve"> Precious Firsts</w:t>
      </w:r>
      <w:r>
        <w:rPr>
          <w:rFonts w:ascii="Arial" w:cs="Arial" w:eastAsia="Arial" w:hAnsi="Arial"/>
          <w:sz w:val="18"/>
          <w:szCs w:val="18"/>
          <w:color w:val="auto"/>
        </w:rPr>
        <w:t>.</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Royalty income from these brands for the third quarter of fiscal 2018 decreased $0.1 million, or 1.2% to $10.2 million from $10.4 million in the third quarter of fiscal 2017.</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Royalty income from these brands for the first three quarters of fiscal 2018 decreased $3.5 million, or 11.0%, to $28.6 million from $32.1 million in the first three quarters of fiscal 2017. The decrease was primarily attributable to insourcing certain formerly licensed products and the absence of royalty income from Carter's Mexico, which we acquired in the third fiscal quarter of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Consolidated SG&amp;A expenses in the third quarter of fiscal 2018 increased $10.6 million, or 3.8%, to $294.1 million from $283.5 million in the third quarter of fiscal 2017. As a percentage of net sales, SG&amp;A expenses increased from 29.9% in the third quarter of fiscal 2017 to 31.8% in the third quarter of fiscal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SG&amp;A expenses in the third quarter of fiscal 2018 primarily reflected a:</w:t>
      </w:r>
    </w:p>
    <w:p>
      <w:pPr>
        <w:spacing w:after="0" w:line="90" w:lineRule="exact"/>
        <w:rPr>
          <w:sz w:val="20"/>
          <w:szCs w:val="20"/>
          <w:color w:val="auto"/>
        </w:rPr>
      </w:pPr>
    </w:p>
    <w:p>
      <w:pPr>
        <w:ind w:left="660" w:right="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 million increase in expenses related to U.S. retail operations, including fulfillment costs, as a result of eCommerce growth, partially offset by a reduction in costs associated with store closures;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 million increase in expenses related to marketing and brand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$3.1 million increase in distribution and freight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 million increase in provisions for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 million increase in expenses related to employee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 million increase in investments related to information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 million in severance associated with changes to the Company's business model in China;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$4.3 million decrease in performance based compensation expenses.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SG&amp;A expenses in the first three quarters of fiscal 2018 increased $56.2 million, or 7.2%, to $837.6 million from $781.4 million in the first three quarters of fiscal 2017. As a percentage of net sales, SG&amp;A expenses increased from 32.9% in the first three quarters of fiscal 2017 to 35.3% in the first three quarters of fiscal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SG&amp;A expenses in the first three quarters of fiscal 2018 primarily reflected a:</w:t>
      </w:r>
    </w:p>
    <w:p>
      <w:pPr>
        <w:spacing w:after="0" w:line="90" w:lineRule="exact"/>
        <w:rPr>
          <w:sz w:val="20"/>
          <w:szCs w:val="20"/>
          <w:color w:val="auto"/>
        </w:rPr>
      </w:pPr>
    </w:p>
    <w:p>
      <w:pPr>
        <w:ind w:left="660" w:right="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$17.6 million increase in expenses related to U.S. retail operations, including fulfillment costs, primarily as a result of eCommerce growth, partially offset by a reduction in costs associated with store closures;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$12.8 million in expenses related to a customer bankruptcy in the first quarter of fiscal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$9.9 million increase in expenses related to marketing and brand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$7.7 million increase in expenses related to distribution and freight;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 million increase in investments related to information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 million increase in employee benefit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million decrease in performance based compensation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operating income decreased $26.9 million, or 20.6%, to $103.6 million in the third quarter of fiscal 2018 from $130.4 million in the third quarter of fiscal 2017. Consolidated operating income decreased $52.4 million, or 19.2%, to $220.8 million in the first three quarters of fiscal 2018 from $273.2 million in the first three quarters of fiscal 2017.</w:t>
      </w:r>
    </w:p>
    <w:p>
      <w:pPr>
        <w:spacing w:after="0" w:line="14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Consolidated operating margin decreased from 13.8% in the third quarter of fiscal 2017 to 11.2% in the third quarter of fiscal 2018. Consolidated operating margin decreased from 11.5% in the first three quarters of fiscal 2017 to 9.3% in the first three quarters of fiscal 2018.</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1" w:right="29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changes in each of our segment's operating results and unallocated corporate expenses between the fiscal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Unallocated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80" w:type="dxa"/>
            <w:vAlign w:val="bottom"/>
            <w:gridSpan w:val="4"/>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for the third quarter of fiscal</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78,572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16,726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130,448</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Arial" w:cs="Arial" w:eastAsia="Arial" w:hAnsi="Arial"/>
                <w:sz w:val="16"/>
                <w:szCs w:val="16"/>
                <w:color w:val="auto"/>
              </w:rPr>
              <w:t>Favorable (unfavorable) change in the third quarter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fiscal 2018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(16,129)</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SG&amp;A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(10,636)</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 for the third quarter of fiscal</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47,139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67,785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12,434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(23,801)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103,557</w:t>
            </w:r>
          </w:p>
        </w:tc>
        <w:tc>
          <w:tcPr>
            <w:tcW w:w="0" w:type="dxa"/>
            <w:vAlign w:val="bottom"/>
          </w:tcPr>
          <w:p>
            <w:pPr>
              <w:spacing w:after="0"/>
              <w:rPr>
                <w:sz w:val="1"/>
                <w:szCs w:val="1"/>
                <w:color w:val="auto"/>
              </w:rPr>
            </w:pPr>
          </w:p>
        </w:tc>
      </w:tr>
      <w:tr>
        <w:trPr>
          <w:trHeight w:val="559"/>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Unallocated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for the first three quarters of</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2017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127,441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184,073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273,215</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Arial" w:cs="Arial" w:eastAsia="Arial" w:hAnsi="Arial"/>
                <w:sz w:val="16"/>
                <w:szCs w:val="16"/>
                <w:color w:val="auto"/>
                <w:w w:val="97"/>
              </w:rPr>
              <w:t>Favorable (unfavorable) change in the first three quarters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of fiscal 2018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SG&amp;A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(56,201)</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 for the first three quarters of</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122,086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148,395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20,508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(70,152)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220,837</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fiscal 2018</w:t>
            </w:r>
          </w:p>
        </w:tc>
        <w:tc>
          <w:tcPr>
            <w:tcW w:w="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presents changes in the operating margin for each of our three operating segments expressed in basis points ("bps") relative to net sales. The first table presents the changes between the third quarter of fiscal 2017 and the third quarter of fiscal 2018. The second table presents the changes between the first three quarters of fiscal 2017 and the first three quarters of fiscal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880" w:type="dxa"/>
            <w:vAlign w:val="bottom"/>
            <w:gridSpan w:val="2"/>
          </w:tcPr>
          <w:p>
            <w:pPr>
              <w:ind w:left="520"/>
              <w:spacing w:after="0"/>
              <w:rPr>
                <w:sz w:val="20"/>
                <w:szCs w:val="20"/>
                <w:color w:val="auto"/>
              </w:rPr>
            </w:pPr>
            <w:r>
              <w:rPr>
                <w:rFonts w:ascii="Arial" w:cs="Arial" w:eastAsia="Arial" w:hAnsi="Arial"/>
                <w:sz w:val="16"/>
                <w:szCs w:val="16"/>
                <w:b w:val="1"/>
                <w:bCs w:val="1"/>
                <w:color w:val="auto"/>
              </w:rPr>
              <w:t>U.S. Retail</w:t>
            </w:r>
          </w:p>
        </w:tc>
        <w:tc>
          <w:tcPr>
            <w:tcW w:w="1880" w:type="dxa"/>
            <w:vAlign w:val="bottom"/>
            <w:gridSpan w:val="2"/>
          </w:tcPr>
          <w:p>
            <w:pPr>
              <w:ind w:left="360"/>
              <w:spacing w:after="0"/>
              <w:rPr>
                <w:sz w:val="20"/>
                <w:szCs w:val="20"/>
                <w:color w:val="auto"/>
              </w:rPr>
            </w:pPr>
            <w:r>
              <w:rPr>
                <w:rFonts w:ascii="Arial" w:cs="Arial" w:eastAsia="Arial" w:hAnsi="Arial"/>
                <w:sz w:val="16"/>
                <w:szCs w:val="16"/>
                <w:b w:val="1"/>
                <w:bCs w:val="1"/>
                <w:color w:val="auto"/>
              </w:rPr>
              <w:t>U.S. Wholesale</w:t>
            </w: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International</w:t>
            </w:r>
          </w:p>
        </w:tc>
      </w:tr>
      <w:tr>
        <w:trPr>
          <w:trHeight w:val="33"/>
        </w:trPr>
        <w:tc>
          <w:tcPr>
            <w:tcW w:w="5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 for the third quarter of fiscal 2017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w w:val="96"/>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37"/>
        </w:trPr>
        <w:tc>
          <w:tcPr>
            <w:tcW w:w="5900" w:type="dxa"/>
            <w:vAlign w:val="bottom"/>
          </w:tcPr>
          <w:p>
            <w:pPr>
              <w:ind w:left="140"/>
              <w:spacing w:after="0"/>
              <w:rPr>
                <w:sz w:val="20"/>
                <w:szCs w:val="20"/>
                <w:color w:val="auto"/>
              </w:rPr>
            </w:pPr>
            <w:r>
              <w:rPr>
                <w:rFonts w:ascii="Arial" w:cs="Arial" w:eastAsia="Arial" w:hAnsi="Arial"/>
                <w:sz w:val="16"/>
                <w:szCs w:val="16"/>
                <w:color w:val="auto"/>
              </w:rPr>
              <w:t>Favorable (unfavorable) bps change in the third quarter of fiscal 2018</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Gross profit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(290) bps</w:t>
            </w:r>
          </w:p>
        </w:tc>
      </w:tr>
      <w:tr>
        <w:trPr>
          <w:trHeight w:val="237"/>
        </w:trPr>
        <w:tc>
          <w:tcPr>
            <w:tcW w:w="5900" w:type="dxa"/>
            <w:vAlign w:val="bottom"/>
          </w:tcPr>
          <w:p>
            <w:pPr>
              <w:jc w:val="right"/>
              <w:spacing w:after="0"/>
              <w:rPr>
                <w:sz w:val="20"/>
                <w:szCs w:val="20"/>
                <w:color w:val="auto"/>
              </w:rPr>
            </w:pPr>
            <w:r>
              <w:rPr>
                <w:rFonts w:ascii="Arial" w:cs="Arial" w:eastAsia="Arial" w:hAnsi="Arial"/>
                <w:sz w:val="16"/>
                <w:szCs w:val="16"/>
                <w:color w:val="auto"/>
              </w:rPr>
              <w:t>Royalty income</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33"/>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SG&amp;A expenses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 bps</w:t>
            </w:r>
          </w:p>
        </w:tc>
      </w:tr>
      <w:tr>
        <w:trPr>
          <w:trHeight w:val="244"/>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Operating margin for the third quarter of fiscal 2018</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6"/>
                <w:szCs w:val="16"/>
                <w:b w:val="1"/>
                <w:bCs w:val="1"/>
                <w:color w:val="auto"/>
                <w:w w:val="96"/>
              </w:rPr>
              <w:t>20.0%</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0"/>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35"/>
        </w:trPr>
        <w:tc>
          <w:tcPr>
            <w:tcW w:w="5900" w:type="dxa"/>
            <w:vAlign w:val="bottom"/>
          </w:tcPr>
          <w:p>
            <w:pPr>
              <w:spacing w:after="0"/>
              <w:rPr>
                <w:sz w:val="24"/>
                <w:szCs w:val="24"/>
                <w:color w:val="auto"/>
              </w:rPr>
            </w:pPr>
          </w:p>
        </w:tc>
        <w:tc>
          <w:tcPr>
            <w:tcW w:w="1880" w:type="dxa"/>
            <w:vAlign w:val="bottom"/>
            <w:gridSpan w:val="2"/>
          </w:tcPr>
          <w:p>
            <w:pPr>
              <w:ind w:left="520"/>
              <w:spacing w:after="0"/>
              <w:rPr>
                <w:sz w:val="20"/>
                <w:szCs w:val="20"/>
                <w:color w:val="auto"/>
              </w:rPr>
            </w:pPr>
            <w:r>
              <w:rPr>
                <w:rFonts w:ascii="Arial" w:cs="Arial" w:eastAsia="Arial" w:hAnsi="Arial"/>
                <w:sz w:val="16"/>
                <w:szCs w:val="16"/>
                <w:b w:val="1"/>
                <w:bCs w:val="1"/>
                <w:color w:val="auto"/>
              </w:rPr>
              <w:t>U.S. Retail</w:t>
            </w:r>
          </w:p>
        </w:tc>
        <w:tc>
          <w:tcPr>
            <w:tcW w:w="1880" w:type="dxa"/>
            <w:vAlign w:val="bottom"/>
            <w:gridSpan w:val="2"/>
          </w:tcPr>
          <w:p>
            <w:pPr>
              <w:ind w:left="360"/>
              <w:spacing w:after="0"/>
              <w:rPr>
                <w:sz w:val="20"/>
                <w:szCs w:val="20"/>
                <w:color w:val="auto"/>
              </w:rPr>
            </w:pPr>
            <w:r>
              <w:rPr>
                <w:rFonts w:ascii="Arial" w:cs="Arial" w:eastAsia="Arial" w:hAnsi="Arial"/>
                <w:sz w:val="16"/>
                <w:szCs w:val="16"/>
                <w:b w:val="1"/>
                <w:bCs w:val="1"/>
                <w:color w:val="auto"/>
              </w:rPr>
              <w:t>U.S. Wholesale</w:t>
            </w: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International</w:t>
            </w:r>
          </w:p>
        </w:tc>
      </w:tr>
      <w:tr>
        <w:trPr>
          <w:trHeight w:val="33"/>
        </w:trPr>
        <w:tc>
          <w:tcPr>
            <w:tcW w:w="5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 for the first three quarters of fiscal 2017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w w:val="96"/>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7"/>
        </w:trPr>
        <w:tc>
          <w:tcPr>
            <w:tcW w:w="5900" w:type="dxa"/>
            <w:vAlign w:val="bottom"/>
          </w:tcPr>
          <w:p>
            <w:pPr>
              <w:ind w:left="140"/>
              <w:spacing w:after="0"/>
              <w:rPr>
                <w:sz w:val="20"/>
                <w:szCs w:val="20"/>
                <w:color w:val="auto"/>
              </w:rPr>
            </w:pPr>
            <w:r>
              <w:rPr>
                <w:rFonts w:ascii="Arial" w:cs="Arial" w:eastAsia="Arial" w:hAnsi="Arial"/>
                <w:sz w:val="16"/>
                <w:szCs w:val="16"/>
                <w:color w:val="auto"/>
              </w:rPr>
              <w:t>Favorable (unfavorable) bps change in the first three quarters of fiscal 2018</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Gross profit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 bps</w:t>
            </w:r>
          </w:p>
        </w:tc>
      </w:tr>
      <w:tr>
        <w:trPr>
          <w:trHeight w:val="237"/>
        </w:trPr>
        <w:tc>
          <w:tcPr>
            <w:tcW w:w="5900" w:type="dxa"/>
            <w:vAlign w:val="bottom"/>
          </w:tcPr>
          <w:p>
            <w:pPr>
              <w:jc w:val="right"/>
              <w:spacing w:after="0"/>
              <w:rPr>
                <w:sz w:val="20"/>
                <w:szCs w:val="20"/>
                <w:color w:val="auto"/>
              </w:rPr>
            </w:pPr>
            <w:r>
              <w:rPr>
                <w:rFonts w:ascii="Arial" w:cs="Arial" w:eastAsia="Arial" w:hAnsi="Arial"/>
                <w:sz w:val="16"/>
                <w:szCs w:val="16"/>
                <w:color w:val="auto"/>
              </w:rPr>
              <w:t>Royalty income</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(20) bps</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(20) bps</w:t>
            </w:r>
          </w:p>
        </w:tc>
      </w:tr>
      <w:tr>
        <w:trPr>
          <w:trHeight w:val="33"/>
        </w:trPr>
        <w:tc>
          <w:tcPr>
            <w:tcW w:w="590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SG&amp;A expenses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(220)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 bps</w:t>
            </w:r>
          </w:p>
        </w:tc>
      </w:tr>
      <w:tr>
        <w:trPr>
          <w:trHeight w:val="244"/>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Operating margin for the first three quarters of fiscal 2018</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6"/>
                <w:szCs w:val="16"/>
                <w:b w:val="1"/>
                <w:bCs w:val="1"/>
                <w:color w:val="auto"/>
                <w:w w:val="96"/>
              </w:rPr>
              <w:t>17.9%</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r>
      <w:tr>
        <w:trPr>
          <w:trHeight w:val="20"/>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Operating Income</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 Retail segment operating income decreased by $8.4 million, or 15.1%, to $47.1 million in the third quarter of fiscal 2018 from $55.5 million in the third quarter of fiscal 2017. This segment's operating margin decreased 190 bps from 12.2% in the</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fiscal 2017 to 10.3% in the third quarter of fiscal 2018. The primary drivers of the change in operating margin were a:</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130 bps decrease in gross profit, primarily due to decreased price realization in our eCommerce channel driven in part by increased shipping costs;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30 bps increase in expenses related to eCommerce growth, partially offset by a reduction in expenses associated with store closures;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30 bps increase in distribution expenses;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20 bps increase in marketing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30 bps decrease in expenses for performance based compensation.</w:t>
      </w:r>
    </w:p>
    <w:p>
      <w:pPr>
        <w:spacing w:after="0" w:line="25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U.S. Retail segment operating income decreased by $5.4 million, or 4.2%, to $122.1 million in the first three quarters of fiscal 2018 from $127.4 million in the first three quarters of fiscal 2017. This segment's operating margin decreased 70 bps from 10.5% in the first three quarters of fiscal 2017 to 9.8% in the first three quarters of fiscal 2018. The primary drivers of the change in operating margin were a/an:</w:t>
      </w:r>
    </w:p>
    <w:p>
      <w:pPr>
        <w:spacing w:after="0" w:line="4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 bps increase in gross profit, primarily due to lower product costs and improved price realization;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bps decrease in royalty income primarily attributable to insourcing of certain formerly licensed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40 bps increase in expenses related to eCommerce initiatives, partially offset by a reduction in expenses associated with store closures;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40 bps increase in marketing and brand management expenses;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30 bps increase in distribution expenses;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20 bps decrease in expenses associated with performance 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Operating Income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 Wholesale segment operating income in the third quarter of fiscal 2018 decreased $10.8 million, or 13.7%, to $67.8 million from $78.6 million in the third quarter of fiscal 2017. The segment's operating margin decreased 130 bps from 21.3% in the third quarter of fiscal 2017 to 20.0% in the third quarter of fiscal 2018. The primary drivers of the change in operating margin were a:</w:t>
      </w:r>
    </w:p>
    <w:p>
      <w:pPr>
        <w:spacing w:after="0" w:line="46" w:lineRule="exact"/>
        <w:rPr>
          <w:sz w:val="20"/>
          <w:szCs w:val="20"/>
          <w:color w:val="auto"/>
        </w:rPr>
      </w:pPr>
    </w:p>
    <w:p>
      <w:pPr>
        <w:ind w:left="660" w:right="2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 bps decrease in gross profit, primarily due to higher provisions for inventory and unfavorable customer mix, partially offset by lower product costs; and</w:t>
      </w:r>
    </w:p>
    <w:p>
      <w:pPr>
        <w:spacing w:after="0" w:line="1"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90 bps increase in SG&amp;A expenses, primarily due to an increase in provisions for accounts receivable, higher distribution costs, and increased marketing investments.</w:t>
      </w:r>
    </w:p>
    <w:p>
      <w:pPr>
        <w:spacing w:after="0" w:line="2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U.S. Wholesale segment operating income in the first three quarters of fiscal 2018 decreased $35.7 million or 19.4%, to $148.4 million from $184.1 million in the first three quarters of fiscal 2017. The segment's operating margin decreased 300 bps from 20.9% in the first three quarters of fiscal 2017 to 17.9% in the first three quarters of fiscal 2018. The primary drivers of the change in operating margin were a:</w:t>
      </w:r>
    </w:p>
    <w:p>
      <w:pPr>
        <w:spacing w:after="0" w:line="4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70 bps decrease in gross profit, primarily due to higher provisions for inventory and unfavorable customer sales mix;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160 bps increase in the provision for accounts receivable due to a customer bankruptcy;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40 bps increase in distribution and freight expenses;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20 bps increase in marketing and brand management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Operating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International segment operating income decreased by $4.3 million, or 25.7%, to $12.4 million in the third quarter of fiscal 2018 from $16.7 million in the third quarter of 2017. This segment's operating margin decreased 350 bps from 13.4% in the third quarter of fiscal 2017 to 9.9% in the third quarter of fiscal 2018. The primary drivers of the change in operating margin were a:</w:t>
      </w:r>
    </w:p>
    <w:p>
      <w:pPr>
        <w:spacing w:after="0" w:line="46" w:lineRule="exact"/>
        <w:rPr>
          <w:sz w:val="20"/>
          <w:szCs w:val="20"/>
          <w:color w:val="auto"/>
        </w:rPr>
      </w:pPr>
    </w:p>
    <w:p>
      <w:pPr>
        <w:ind w:left="660" w:right="10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290 bps decrease in gross profit primarily due to higher provisions for inventory related to changes in the Company's business model in China and lower price realization;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90 bps for severance associated with changes to the Company's business model in China;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60 bps increase in costs associated with the Canadian business's recycling obligations;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50 bps decrease in marketing and brand management expenses;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40 bps decrease in provisions for accounts receivable.</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1" w:right="35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International segment operating income decreased by $7.5 million, or 26.8%, to $20.5 million in the first three quarters of fiscal 2018 from $28.0 million in the first three quarters of 2017. This segment's operating margin decreased 310 bps from 9.9% in the first three quarters of fiscal 2017 to 6.8% in the first three quarters of fiscal 2018. The primary drivers of the change in operating margin were a/an:</w:t>
      </w:r>
    </w:p>
    <w:p>
      <w:pPr>
        <w:spacing w:after="0" w:line="46" w:lineRule="exact"/>
        <w:rPr>
          <w:sz w:val="20"/>
          <w:szCs w:val="20"/>
          <w:color w:val="auto"/>
        </w:rPr>
      </w:pPr>
    </w:p>
    <w:p>
      <w:pPr>
        <w:ind w:left="660" w:right="30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90 bps decrease in gross profit primarily due to higher provisions for inventory related to changes in the Company's business model in China and customer sales mix;</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 bps decrease in royalty income due to a reduction in the number of licensees that pay royalties;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100 bps increase in selling, distribution and freight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50 bps increase in costs associated with the Canadian business's recycling obligations;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50 bps for severance associated with changes to the Company's business model in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Unallocated corporate expenses increased by $3.4 million, or 16.8%, in the third quarter of fiscal 2018 compared to the third quarter of fiscal 2017, primarily due to a $3.6 million credit for an earn out adjustment that occurred in third quarter fiscal 2017. Unallocated corporate expenses, as a percentage of consolidated net sales, increased from 2.1% in the third quarter of fiscal 2017 to 2.6% in the third quarter of fiscal 2018.</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Unallocated corporate expenses increased by $3.8 million, or 5.8%, in the first three quarters of fiscal 2018 compared to the first three quarters of fiscal 2017. Unallocated corporate expenses, as a percentage of consolidated net sales, increased from 2.8% in the first three quarters of fiscal 2017 to 3.0% in the first three quarters of fiscal 2018. The increase was attributable to the same reason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 the third quarters of fiscal 2018 and 2017 was approximately $9.9 million and $8.1 million, respectively. Weighted-average borrowings for the third quarter of fiscal 2018 were approximately $782.4 million with an effective interest rate of 4.72%, compared to weighted-average borrowings for the third quarter of fiscal 2017 of $742.4 million with an effective interest rate of 4.30%. The increase in weighted-average borrowings during the third quarter of fiscal 2018 was attributable to additional borrowings under our secured revolving credit facility.</w:t>
      </w:r>
    </w:p>
    <w:p>
      <w:pPr>
        <w:spacing w:after="0" w:line="14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Interest expense in the first three quarters of fiscal 2018 and 2017 was approximately $25.8 million and $22.4 million, respectively. Weighted-average borrowings over the course of the first three quarters of fiscal 2018 were approximately $684.1 million with an effective interest rate of 4.85%, compared to weighted-average borrowings for the first three quarters of fiscal 2017 of $648.9 million with an effective interest rate of 4.50%. The increase in weighted-average borrowings during the first three quarters of fiscal 2018 was attributable to additional borrowings under our secured revolving credit facility.</w:t>
      </w:r>
    </w:p>
    <w:p>
      <w:pPr>
        <w:spacing w:after="0" w:line="1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increases in the weighted-average interest rate for the third quarter and first three quarters of fiscal 2018 compared to the third quarter and first three quarters of fiscal 2017 was due primarily to a higher LIBOR rate for the outstanding borrowings on our variable-rate secured revolving credit facility during the 2018 period.</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net is comprised primarily of gains and losses on foreign currency transactions and, if utilized during a reporting period, gains and losses on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consolidated effective income tax rate for the third quarter of fiscal 2018 was 23.5% compared to 33.2% for the third quarter of fiscal 2017. Our consolidated effective income tax rate for the first three quarters of fiscal 2018 was 22.3% compared to 34.0% for the first three quarters of fiscal 2017. The lower effective rate in fiscal 2018 was due mainly to a lower corporate income tax rate and other changes under the 2017 Tax Act.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full year fiscal 2018, we estimate our annual consolidated effective income tax rate will be approximately 22.0%.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consolidated net income for the third quarter of fiscal 2018 decreased by $10.5 million, or 12.8%, to $71.8 million compared to $82.3 million in the third quarter of fiscal 2017. Our consolidated net income for the first three quarters of fiscal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2018 decreased by $15.2 million, or 9.1%, to $151.5 million compared to $166.7 million in the first three quarters of fiscal 2017. These changes were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September 29, 2018, the Company had approximately $123.9 million of cash and cash equivalents in major financial institutions, including approximately $33.6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2018, the United States imposed additional tariffs between 10% and 25% on a variety of imports from China, including certain products we import into the United States. Through the third quarter of fiscal 2018, these tariffs have not had a material effect on the Company. The Company is closely monitoring potential additional tariffs for imports from China to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accounts receivable at September 29, 2018 were $293.5 million compared to $285.7 million at September 30, 2017 and $240.6 million at December 30, 2017. The overall increase of $7.8 million, or 2.7%, at September 29, 2018 compared to September 30, 2017 was a result of the timing of customer receipts. Due to the seasonal nature of our operations, the net accounts receivable balance at September 29, 2018 is not comparable to the net accounts receivable balance at December 30, 2017.</w:t>
      </w:r>
    </w:p>
    <w:p>
      <w:pPr>
        <w:spacing w:after="0" w:line="14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Inventories at September 29, 2018 were $693.0 million compared to $610.0 million at September 30, 2017 and $548.7 million at December 30, 2017. The increase of $83.0 million, or 13.6%, at September 29, 2018 compared to September 30, 2017 primarily reflects business growth and timing of receipts. Due to the seasonal nature of our operations, the inventories balance at September 29, 2018 is not comparable to the inventories balance at December 30,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for the first three quarters of fiscal 2018 was $21.4 million compared to net cash provided by operating activities of $117.5 million in the first three quarters of fiscal 2017. This decrease in operating cash flow for the 2018 period was due primarily to working capital changes and lower net income.</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investing activities was $47.4 million for the first three quarters of fiscal 2018 compared to $211.0 million in the first three quarters of fiscal 2017. Cash used for investing activities during the first three quarters of fiscal 2017 included $159.4 million for business acquisitions. Capital expenditures were $47.8 million in the first three quarters of fiscal 2018 compared to $51.7 million in the first three quarters of fiscal 2017, reflecting timing of new store openings in the 2018 fiscal period. Capital spending in the first three quarters of fiscal 2018 included approximately $27.2 million for our U.S. and international retail store openings and re-modelings, $9.1 million for information technology initiatives, $7.4 million for distribution and office facilities, and $2.8 million for wholesale fixtures.</w:t>
      </w:r>
    </w:p>
    <w:p>
      <w:pPr>
        <w:spacing w:after="0" w:line="1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plan to invest approximately $75 million in total capital expenditures for all of fiscal 2018, primarily for our U.S. and international retail store openings and re-modelings, information technology initiatives, and distribution facilities.</w:t>
      </w:r>
    </w:p>
    <w:p>
      <w:pPr>
        <w:spacing w:after="0" w:line="1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used in financing activities was $27.5 million in the first three quarters of fiscal 2018 compared to $101.0 million in the first three quarters of fiscal 2017. The net decrease in cash used for the 2018 period primarily reflected an increase in borrowings partially offset by an increase in debt payments and higher dividend payments.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1" w:right="27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September 21, 2018, our wholly-owned subsidiary The William Carter Company ("TWCC") and a syndicate of lenders entered into Amendment No. 1 to its fourth amended and restated credit agreement to, among other things, extend the term of the facility from August 25, 2022 to September 21, 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secured revolving credit facility provides liquidity that can be used as needed for ongoing working capital purposes and general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corporate purposes. This facility provides for (i) a $650 million U.S. dollar revolving facility (including a $100 million sub-limit for letters of credit and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swing line sub-limit of $70 million) available for borrowings in U.S. dollars and (ii) a $100 million multicurrency revolving facility (including a $40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sub-limit for letters of credit and a swing line sub-limit of $15 million) available for borrowings denominated in U.S. dollars, Canadian dollars, Euros,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Sterling, or other currencies agreed to by the applicable lenders. Our secured revolving credit facility also includes additional potential borrowing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facilities in an aggregate amount not to exceed $425 million (with the aggregate U.S. dollar amount not to exceed $350 million and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multicurrency amount not to exceed $75 million). The U.S. dollar credit facility can also potentially increase to an unlimited borrowing amount so long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first lien leverage ratio (as defined) does not exceed 2.25:1.00.</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secured credit facility, our wholly-owned operating subsidiary,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4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September 29, 2018, we had $401.0 million in outstanding borrowings under our secured revolving credit facility, exclusive of $4.5 million of outstanding letters of credit. As of September 29, 2018, approximately $344.5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as of September 29, 2018 were 1.375% for LIBOR rate loans (which may be adjusted based on a leverage-based pricing grid ranging from 1.125% to 1.875%) and 0.375% for base rate loans (which may be adjusted based on a leverage-based pricing grid ranging from 0.125% to 0.875%).</w:t>
      </w:r>
    </w:p>
    <w:p>
      <w:pPr>
        <w:spacing w:after="0" w:line="14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September 29, 2018, U.S. dollar borrowings outstanding under the secured revolving credit facility accrued interest at a LIBOR rate plus the applicable base rate, which resulted in a weighted-average borrowing rate of 3.58%. There were no Canadian dollar borrowings during the third quarter of fiscal 2018 or the third quarter of fiscal 2017.</w:t>
      </w:r>
    </w:p>
    <w:p>
      <w:pPr>
        <w:spacing w:after="0" w:line="141" w:lineRule="exact"/>
        <w:rPr>
          <w:sz w:val="20"/>
          <w:szCs w:val="20"/>
          <w:color w:val="auto"/>
        </w:rPr>
      </w:pPr>
    </w:p>
    <w:p>
      <w:pPr>
        <w:ind w:right="1860"/>
        <w:spacing w:after="0" w:line="399" w:lineRule="auto"/>
        <w:rPr>
          <w:sz w:val="20"/>
          <w:szCs w:val="20"/>
          <w:color w:val="auto"/>
        </w:rPr>
      </w:pPr>
      <w:r>
        <w:rPr>
          <w:rFonts w:ascii="Arial" w:cs="Arial" w:eastAsia="Arial" w:hAnsi="Arial"/>
          <w:sz w:val="18"/>
          <w:szCs w:val="18"/>
          <w:color w:val="auto"/>
        </w:rPr>
        <w:t xml:space="preserve">As of September 29, 2018, we were in compliance with the financial and other covenants under our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29, 2018, TWCC had $400.0 million principal amount of senior notes outstanding, bearing interest at a fixed rate of 5.25% per annum, and maturing on August 15, 2021. On our consolidated balance sheet, the $400.0 million outstanding is reported net of $3.0 million, $3.7 million and $3.9 million unamortized issuance-related debt costs at September 29, 2018, December 30, 2017 and September 30, 2017, respectively. The senior notes are unsecured and are fully and unconditionally guaranteed by Carter's, Inc. and certain subsidiaries of TWCC.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first three quarters of fiscal 2018, the Company repurchased and retired 1,364,420 shares in open market transactions for approximately $145.5 million at an average price of $106.63 per share. In the first three quarters of fiscal 2017, the Company repurchased and retired 1,727,587 shares in open market transactions for approximately $151.0 million, at an average price of $87.39 per share.</w:t>
      </w:r>
    </w:p>
    <w:p>
      <w:pPr>
        <w:spacing w:after="0" w:line="14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September 29, 2018 was approximately $440.1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1" w:right="25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first, second and third quarters of fiscal 2018, we paid quarterly cash dividends of $0.45 per share in each quarter. In the first, second and third quarters of fiscal 2017, we paid quarterly cash dividends of $0.37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disclosed in our most recent Annual Report on Form 10-K for the 2017 fiscal year ended December 30, 2017, provisions in our secured revolving credit facility and indenture governing our senior notes could have the effect of restricting our ability to pay future cash dividends on or make future repurchases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critical accounting policies and estimates are described under the heading "Critical Accounting Policies and Estimates" in Item 7 of our most recent Annual Report on Form 10-K for the 2017 fiscal year ended December 30, 2017.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had on our policies as disclosed under the header "Adoption of New Accounting Pronouncements At the Beginning of Fiscal 2018"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to the accompanying unaudited condensed consolidated financial statements contained in Item 1 of this Quarterly Report on Form 10-Q.</w:t>
      </w:r>
    </w:p>
    <w:p>
      <w:pPr>
        <w:spacing w:after="0" w:line="14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16,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ind w:right="412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0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Fluctuations in currency exchange rates, primarily between the U.S. dollar and the currencies of Canada, Mexico, China,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some of our foreign operations may use currency forward contracts to hedge purchases that are made in U.S. dollars, primarily for inventory purchases. As part of this strategy, we primarily use foreign currency forward exchange contracts that have maturities of less than 12 months to provide continuing coverage throughout the hedging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variable rate borrowings outstanding as of September 29, 2018 were $401.0 million. An increase or decrease of 1% in the effective interest rate on that amount would increase or decrease our annual pre-tax interest expense by approximately $4.0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29,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29, 2018 that have materially affected, or which are reasonably likely to materially affect, Internal Control.</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September 29, 2018.</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5" w:name="page46"/>
    <w:bookmarkEnd w:id="45"/>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2017 fiscal year ended December 30,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36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third quarter of fiscal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dollar value of shares</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yet be</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6"/>
              </w:rPr>
              <w:t>purchased</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(3)</w:t>
            </w: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2018 through July 28,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126,509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$482,300,133</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29, 2018 through August 25,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124,260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$107.26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123,525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$469,051,111</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26, 2018 through September 29,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293,759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293,759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$440,148,188</w:t>
            </w:r>
          </w:p>
        </w:tc>
      </w:tr>
      <w:tr>
        <w:trPr>
          <w:trHeight w:val="216"/>
        </w:trPr>
        <w:tc>
          <w:tcPr>
            <w:tcW w:w="42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544,528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543,793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40" w:hanging="332"/>
        <w:spacing w:after="0" w:line="273"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735 shares surrendered between July 1, 2018 and September 29, 2018.</w:t>
      </w:r>
    </w:p>
    <w:p>
      <w:pPr>
        <w:spacing w:after="0" w:line="38" w:lineRule="exact"/>
        <w:rPr>
          <w:rFonts w:ascii="Arial" w:cs="Arial" w:eastAsia="Arial" w:hAnsi="Arial"/>
          <w:sz w:val="14"/>
          <w:szCs w:val="14"/>
          <w:color w:val="auto"/>
        </w:rPr>
      </w:pPr>
    </w:p>
    <w:p>
      <w:pPr>
        <w:ind w:left="340" w:right="100" w:hanging="332"/>
        <w:spacing w:after="0" w:line="312"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Share purchases during the third quarter of fiscal 2018 were made in compliance with all applicable rules and regulations and in accordance with the share repurchase authorizations described in Note 7, </w:t>
      </w:r>
      <w:r>
        <w:rPr>
          <w:rFonts w:ascii="Arial" w:cs="Arial" w:eastAsia="Arial" w:hAnsi="Arial"/>
          <w:sz w:val="13"/>
          <w:szCs w:val="13"/>
          <w:i w:val="1"/>
          <w:iCs w:val="1"/>
          <w:color w:val="auto"/>
        </w:rPr>
        <w:t>Common Stock</w:t>
      </w:r>
      <w:r>
        <w:rPr>
          <w:rFonts w:ascii="Arial" w:cs="Arial" w:eastAsia="Arial" w:hAnsi="Arial"/>
          <w:sz w:val="13"/>
          <w:szCs w:val="13"/>
          <w:color w:val="auto"/>
        </w:rPr>
        <w:t>, to our accompanying unaudited condensed consolidated financial statements included in Item 1 of this Quarterly Report on Form 10-Q.</w:t>
      </w:r>
    </w:p>
    <w:p>
      <w:pPr>
        <w:spacing w:after="0" w:line="16" w:lineRule="exact"/>
        <w:rPr>
          <w:rFonts w:ascii="Arial" w:cs="Arial" w:eastAsia="Arial" w:hAnsi="Arial"/>
          <w:sz w:val="13"/>
          <w:szCs w:val="13"/>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Number</w:t>
            </w:r>
          </w:p>
        </w:tc>
        <w:tc>
          <w:tcPr>
            <w:tcW w:w="9580" w:type="dxa"/>
            <w:vAlign w:val="bottom"/>
            <w:gridSpan w:val="1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87"/>
              </w:rPr>
              <w:t>3.1</w:t>
            </w:r>
          </w:p>
        </w:tc>
        <w:tc>
          <w:tcPr>
            <w:tcW w:w="460" w:type="dxa"/>
            <w:vAlign w:val="bottom"/>
          </w:tcPr>
          <w:p>
            <w:pPr>
              <w:spacing w:after="0"/>
              <w:rPr>
                <w:sz w:val="24"/>
                <w:szCs w:val="24"/>
                <w:color w:val="auto"/>
              </w:rPr>
            </w:pPr>
          </w:p>
        </w:tc>
        <w:tc>
          <w:tcPr>
            <w:tcW w:w="9580" w:type="dxa"/>
            <w:vAlign w:val="bottom"/>
            <w:tcBorders>
              <w:bottom w:val="single" w:sz="8" w:color="0000FF"/>
            </w:tcBorders>
            <w:gridSpan w:val="12"/>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Certificate of Incorporation of Carter's, Inc., as amended on May 22, 2017 (incorporated by reference to Exhibit 3.1 of Carter's, Inc.'s</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Current Report on Form 8-K filed on May 23, 2017).</w:t>
              </w:r>
            </w:hyperlink>
          </w:p>
        </w:tc>
        <w:tc>
          <w:tcPr>
            <w:tcW w:w="5760" w:type="dxa"/>
            <w:vAlign w:val="bottom"/>
            <w:gridSpan w:val="9"/>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460" w:type="dxa"/>
            <w:vAlign w:val="bottom"/>
          </w:tcPr>
          <w:p>
            <w:pPr>
              <w:spacing w:after="0"/>
              <w:rPr>
                <w:sz w:val="21"/>
                <w:szCs w:val="21"/>
                <w:color w:val="auto"/>
              </w:rPr>
            </w:pPr>
          </w:p>
        </w:tc>
        <w:tc>
          <w:tcPr>
            <w:tcW w:w="9560" w:type="dxa"/>
            <w:vAlign w:val="bottom"/>
            <w:tcBorders>
              <w:bottom w:val="single" w:sz="8" w:color="0000FF"/>
            </w:tcBorders>
            <w:gridSpan w:val="11"/>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Amended and Restated By-Laws of Carter's, Inc. (incorporated by reference to Exhibit 3.2 of Carter's, Inc.'s Current Report on Form</w:t>
              </w:r>
            </w:hyperlink>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8-K filed on May 23, 2017).</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21"/>
                <w:szCs w:val="21"/>
                <w:color w:val="auto"/>
              </w:rPr>
            </w:pPr>
          </w:p>
        </w:tc>
        <w:tc>
          <w:tcPr>
            <w:tcW w:w="9580" w:type="dxa"/>
            <w:vAlign w:val="bottom"/>
            <w:gridSpan w:val="12"/>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Amendment No. 1, dated as of September 21, 2018, to the Fourth Amended and Restated Credit Agreement dated as of August 25,</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2017, by and among The William Carter Company, as U.S. Borrower, The Genuine Canadian Corp., as Canadian Borrower, Carter’s</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Holdings B.V., as Dutch Borrower, JPMorgan Chase Bank, N.A., as Administrative Agent, Collateral Agent, U.S. Dollar Facility</w:t>
              </w:r>
            </w:hyperlink>
          </w:p>
        </w:tc>
        <w:tc>
          <w:tcPr>
            <w:tcW w:w="24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18"/>
                <w:szCs w:val="18"/>
                <w:color w:val="0000FF"/>
                <w:w w:val="97"/>
              </w:rPr>
            </w:pPr>
            <w:hyperlink r:id="rId25">
              <w:r>
                <w:rPr>
                  <w:rFonts w:ascii="Arial" w:cs="Arial" w:eastAsia="Arial" w:hAnsi="Arial"/>
                  <w:sz w:val="18"/>
                  <w:szCs w:val="18"/>
                  <w:color w:val="0000FF"/>
                  <w:w w:val="97"/>
                </w:rPr>
                <w:t>Swing Line Lender and U.S. Dollar Facility L/C Issuer, JPMorgan Chase Bank, N.A., Toronto Branch, as Canadian Agent, a</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Multicurrency Facility Swing Line Lender and a Multicurrency Facility L/C Issuer, J.P. Morgan Europe Limited, as European Agent,</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top w:val="single" w:sz="8" w:color="0000FF"/>
            </w:tcBorders>
            <w:gridSpan w:val="11"/>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JPMorgan Chase Bank, N.A., London Branch, as a Multicurrency Facility Swing Line Lender and a Multicurrency Facility L/C</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Issuer, each lender from time to time party thereto and the other parties party thereto (incorporated by reference to Exhibit 10.1 of</w:t>
              </w:r>
            </w:hyperlink>
          </w:p>
        </w:tc>
        <w:tc>
          <w:tcPr>
            <w:tcW w:w="24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Carter’s, Inc.’s Current Report on Form 8-K filed on September 26, 2018).</w:t>
              </w:r>
            </w:hyperlink>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1"/>
                <w:szCs w:val="21"/>
                <w:color w:val="auto"/>
              </w:rPr>
            </w:pPr>
          </w:p>
        </w:tc>
        <w:tc>
          <w:tcPr>
            <w:tcW w:w="5360" w:type="dxa"/>
            <w:vAlign w:val="bottom"/>
            <w:tcBorders>
              <w:top w:val="single" w:sz="8" w:color="0000FF"/>
            </w:tcBorders>
            <w:gridSpan w:val="5"/>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Rule 13a-15(e)/15d-15(e) and 13a-15(f)/15d-15(f) Certification.</w:t>
              </w:r>
            </w:hyperlink>
          </w:p>
        </w:tc>
        <w:tc>
          <w:tcPr>
            <w:tcW w:w="4220" w:type="dxa"/>
            <w:vAlign w:val="bottom"/>
            <w:gridSpan w:val="7"/>
          </w:tcPr>
          <w:p>
            <w:pPr>
              <w:spacing w:after="0"/>
              <w:rPr>
                <w:sz w:val="21"/>
                <w:szCs w:val="21"/>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1"/>
                <w:szCs w:val="21"/>
                <w:color w:val="auto"/>
              </w:rPr>
            </w:pPr>
          </w:p>
        </w:tc>
        <w:tc>
          <w:tcPr>
            <w:tcW w:w="9580" w:type="dxa"/>
            <w:vAlign w:val="bottom"/>
            <w:gridSpan w:val="1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Rule 13a-15(e)/15d-15(e) and 13a-15(f)/15d-15(f) Certification.</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1760" w:hanging="984"/>
        <w:spacing w:after="0"/>
        <w:tabs>
          <w:tab w:leader="none" w:pos="1760" w:val="left"/>
        </w:tabs>
        <w:numPr>
          <w:ilvl w:val="0"/>
          <w:numId w:val="24"/>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Section 1350 Certification.</w:t>
        </w:r>
      </w:hyperlink>
    </w:p>
    <w:p>
      <w:pPr>
        <w:spacing w:after="0" w:line="63"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364" w:right="319" w:bottom="1440" w:gutter="0" w:footer="0" w:header="0"/>
        </w:sectPr>
      </w:pPr>
    </w:p>
    <w:bookmarkStart w:id="48" w:name="page49"/>
    <w:bookmarkEnd w:id="48"/>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00"/>
          </w:cols>
          <w:pgMar w:left="240" w:top="589" w:right="11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September 29, 2018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October 25, 2018</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
      <w:numFmt w:val="bullet"/>
      <w:start w:val="1"/>
    </w:lvl>
  </w:abstractNum>
  <w:abstractNum w:abstractNumId="20">
    <w:nsid w:val="6763845E"/>
    <w:multiLevelType w:val="hybridMultilevel"/>
    <w:lvl w:ilvl="0">
      <w:lvlJc w:val="left"/>
      <w:lvlText w:val="•"/>
      <w:numFmt w:val="bullet"/>
      <w:start w:val="1"/>
    </w:lvl>
    <w:lvl w:ilvl="1">
      <w:lvlJc w:val="left"/>
      <w:lvlText w:val="•"/>
      <w:numFmt w:val="bullet"/>
      <w:start w:val="1"/>
    </w:lvl>
  </w:abstractNum>
  <w:abstractNum w:abstractNumId="21">
    <w:nsid w:val="75A2A8D4"/>
    <w:multiLevelType w:val="hybridMultilevel"/>
    <w:lvl w:ilvl="0">
      <w:lvlJc w:val="left"/>
      <w:lvlText w:val="•"/>
      <w:numFmt w:val="bullet"/>
      <w:start w:val="1"/>
    </w:lvl>
    <w:lvl w:ilvl="1">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32"/>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23" Type="http://schemas.openxmlformats.org/officeDocument/2006/relationships/hyperlink" Target="http://www.sec.gov/Archives/edgar/data/1060822/000119312517179483/d400342dex31.htm" TargetMode="External"/><Relationship Id="rId24" Type="http://schemas.openxmlformats.org/officeDocument/2006/relationships/hyperlink" Target="http://www.sec.gov/Archives/edgar/data/1060822/000119312517179483/d400342dex32.htm" TargetMode="External"/><Relationship Id="rId25" Type="http://schemas.openxmlformats.org/officeDocument/2006/relationships/hyperlink" Target="http://www.sec.gov/Archives/edgar/data/1060822/000119312518283958/d62912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2019-12-28T18:56:45Z</dcterms:created>
  <dcterms:modified xsi:type="dcterms:W3CDTF">2019-12-28T18:56:45Z</dcterms:modified>
</cp:coreProperties>
</file>