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7" w:lineRule="exact"/>
        <w:rPr>
          <w:sz w:val="24"/>
          <w:szCs w:val="24"/>
          <w:color w:val="auto"/>
        </w:rPr>
      </w:pPr>
    </w:p>
    <w:p>
      <w:pPr>
        <w:ind w:left="1680" w:hanging="351"/>
        <w:spacing w:after="0"/>
        <w:tabs>
          <w:tab w:leader="none" w:pos="1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9" w:lineRule="exact"/>
        <w:rPr>
          <w:rFonts w:ascii="MS PGothic" w:cs="MS PGothic" w:eastAsia="MS PGothic" w:hAnsi="MS PGothic"/>
          <w:sz w:val="20"/>
          <w:szCs w:val="20"/>
          <w:color w:val="auto"/>
        </w:rPr>
      </w:pPr>
    </w:p>
    <w:p>
      <w:pPr>
        <w:ind w:left="4200"/>
        <w:spacing w:after="0"/>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For the quarterly period ended April 4, 2026</w:t>
      </w:r>
    </w:p>
    <w:p>
      <w:pPr>
        <w:spacing w:after="0" w:line="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2" w:lineRule="exact"/>
        <w:rPr>
          <w:sz w:val="24"/>
          <w:szCs w:val="24"/>
          <w:color w:val="auto"/>
        </w:rPr>
      </w:pPr>
    </w:p>
    <w:p>
      <w:pPr>
        <w:ind w:left="1700" w:hanging="406"/>
        <w:spacing w:after="0"/>
        <w:tabs>
          <w:tab w:leader="none" w:pos="1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 w:lineRule="exact"/>
        <w:rPr>
          <w:sz w:val="24"/>
          <w:szCs w:val="24"/>
          <w:color w:val="auto"/>
        </w:rPr>
      </w:pPr>
    </w:p>
    <w:p>
      <w:pPr>
        <w:ind w:left="41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3987165</wp:posOffset>
            </wp:positionH>
            <wp:positionV relativeFrom="paragraph">
              <wp:posOffset>-15875</wp:posOffset>
            </wp:positionV>
            <wp:extent cx="522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001-31829</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5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6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200" w:lineRule="exact"/>
        <w:rPr>
          <w:sz w:val="24"/>
          <w:szCs w:val="24"/>
          <w:color w:val="auto"/>
        </w:rPr>
      </w:pPr>
    </w:p>
    <w:p>
      <w:pPr>
        <w:sectPr>
          <w:pgSz w:w="11900" w:h="16838" w:orient="portrait"/>
          <w:cols w:equalWidth="0" w:num="2">
            <w:col w:w="7080" w:space="720"/>
            <w:col w:w="3420"/>
          </w:cols>
          <w:pgMar w:left="320" w:top="1053" w:right="359" w:bottom="1440" w:gutter="0" w:footer="0" w:header="0"/>
          <w:type w:val="continuous"/>
        </w:sectPr>
      </w:pPr>
    </w:p>
    <w:p>
      <w:pPr>
        <w:spacing w:after="0" w:line="5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300" w:space="720"/>
            <w:col w:w="4200"/>
          </w:cols>
          <w:pgMar w:left="320" w:top="1053" w:right="359" w:bottom="1440" w:gutter="0" w:footer="0" w:header="0"/>
          <w:type w:val="continuous"/>
        </w:sectPr>
      </w:pPr>
    </w:p>
    <w:p>
      <w:pPr>
        <w:spacing w:after="0" w:line="4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6"/>
          <w:szCs w:val="16"/>
          <w:color w:val="auto"/>
        </w:rPr>
        <w:t>incorporation or organization)</w:t>
      </w:r>
    </w:p>
    <w:p>
      <w:pPr>
        <w:sectPr>
          <w:pgSz w:w="11900" w:h="16838" w:orient="portrait"/>
          <w:cols w:equalWidth="0" w:num="1">
            <w:col w:w="11220"/>
          </w:cols>
          <w:pgMar w:left="320" w:top="1053" w:right="359" w:bottom="1440" w:gutter="0" w:footer="0" w:header="0"/>
          <w:type w:val="continuous"/>
        </w:sect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51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512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spacing w:after="0"/>
              <w:rPr>
                <w:sz w:val="18"/>
                <w:szCs w:val="18"/>
                <w:color w:val="auto"/>
              </w:rPr>
            </w:pPr>
          </w:p>
        </w:tc>
      </w:tr>
      <w:tr>
        <w:trPr>
          <w:trHeight w:val="217"/>
        </w:trPr>
        <w:tc>
          <w:tcPr>
            <w:tcW w:w="5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8"/>
        </w:trPr>
        <w:tc>
          <w:tcPr>
            <w:tcW w:w="512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spacing w:after="0"/>
              <w:rPr>
                <w:sz w:val="18"/>
                <w:szCs w:val="18"/>
                <w:color w:val="auto"/>
              </w:rPr>
            </w:pPr>
          </w:p>
        </w:tc>
      </w:tr>
      <w:tr>
        <w:trPr>
          <w:trHeight w:val="217"/>
        </w:trPr>
        <w:tc>
          <w:tcPr>
            <w:tcW w:w="5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Series A Preferred Stock Purchase Rights</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8"/>
        </w:trPr>
        <w:tc>
          <w:tcPr>
            <w:tcW w:w="512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spacing w:after="0"/>
              <w:rPr>
                <w:sz w:val="18"/>
                <w:szCs w:val="18"/>
                <w:color w:val="auto"/>
              </w:rPr>
            </w:pPr>
          </w:p>
        </w:tc>
      </w:tr>
    </w:tbl>
    <w:p>
      <w:pPr>
        <w:spacing w:after="0" w:line="171"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85" w:lineRule="exact"/>
        <w:rPr>
          <w:sz w:val="24"/>
          <w:szCs w:val="24"/>
          <w:color w:val="auto"/>
        </w:rPr>
      </w:pPr>
    </w:p>
    <w:p>
      <w:pPr>
        <w:jc w:val="center"/>
        <w:ind w:right="-19"/>
        <w:spacing w:after="0" w:line="21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115"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03"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27, 2026, there were 36,850,117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643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ind w:left="1700"/>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1.</w:t>
      </w:r>
      <w:r>
        <w:rPr>
          <w:sz w:val="20"/>
          <w:szCs w:val="20"/>
          <w:color w:val="auto"/>
        </w:rPr>
        <w:tab/>
      </w:r>
      <w:r>
        <w:rPr>
          <w:rFonts w:ascii="Times New Roman" w:cs="Times New Roman" w:eastAsia="Times New Roman" w:hAnsi="Times New Roman"/>
          <w:sz w:val="16"/>
          <w:szCs w:val="16"/>
          <w:u w:val="single" w:color="auto"/>
          <w:color w:val="0000FF"/>
        </w:rPr>
        <w:t>Financial Statements</w:t>
      </w:r>
    </w:p>
    <w:p>
      <w:pPr>
        <w:spacing w:after="0" w:line="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u w:val="single" w:color="auto"/>
          <w:color w:val="0000FF"/>
        </w:rPr>
        <w:t>Unaudited Condensed Consolidated Balance Sheets as of April 4, 2026, January 3, 2026, and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28" w:lineRule="exact"/>
        <w:rPr>
          <w:sz w:val="20"/>
          <w:szCs w:val="20"/>
          <w:color w:val="auto"/>
        </w:rPr>
      </w:pPr>
    </w:p>
    <w:p>
      <w:pPr>
        <w:ind w:left="1680" w:right="180"/>
        <w:spacing w:after="0" w:line="298"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Operations for the fiscal quarter ended April 4, 2026 and March 29, 2025</w:t>
      </w:r>
    </w:p>
    <w:p>
      <w:pPr>
        <w:spacing w:after="0" w:line="164" w:lineRule="exact"/>
        <w:rPr>
          <w:sz w:val="20"/>
          <w:szCs w:val="20"/>
          <w:color w:val="auto"/>
        </w:rPr>
      </w:pPr>
    </w:p>
    <w:p>
      <w:pPr>
        <w:ind w:left="1680" w:right="60"/>
        <w:spacing w:after="0" w:line="298"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Comprehensive Income for the fiscal quarter ended April 4, 2026 and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44" w:lineRule="exact"/>
        <w:rPr>
          <w:sz w:val="20"/>
          <w:szCs w:val="20"/>
          <w:color w:val="auto"/>
        </w:rPr>
      </w:pPr>
    </w:p>
    <w:p>
      <w:pPr>
        <w:ind w:left="1680" w:right="100"/>
        <w:spacing w:after="0" w:line="298"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Changes in Shareholders’ Equity for the fiscal quarter ended April 4, 2026 and March 29, 2025</w:t>
      </w:r>
    </w:p>
    <w:p>
      <w:pPr>
        <w:spacing w:after="0" w:line="164" w:lineRule="exact"/>
        <w:rPr>
          <w:sz w:val="20"/>
          <w:szCs w:val="20"/>
          <w:color w:val="auto"/>
        </w:rPr>
      </w:pPr>
    </w:p>
    <w:p>
      <w:pPr>
        <w:ind w:left="1680" w:right="140"/>
        <w:spacing w:after="0" w:line="298" w:lineRule="auto"/>
        <w:rPr>
          <w:sz w:val="20"/>
          <w:szCs w:val="20"/>
          <w:color w:val="auto"/>
        </w:rPr>
      </w:pPr>
      <w:r>
        <w:rPr>
          <w:rFonts w:ascii="Times New Roman" w:cs="Times New Roman" w:eastAsia="Times New Roman" w:hAnsi="Times New Roman"/>
          <w:sz w:val="16"/>
          <w:szCs w:val="16"/>
          <w:u w:val="single" w:color="auto"/>
          <w:color w:val="0000FF"/>
        </w:rPr>
        <w:t>Unaudited Condensed Consolidated Statements of Cash Flows for the fiscal quarter ended April 4, 2026 and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u w:val="single" w:color="auto"/>
          <w:color w:val="0000FF"/>
        </w:rPr>
        <w:t>Notes to the Unaudited Condensed Consolidated Financial Statements</w:t>
      </w:r>
    </w:p>
    <w:p>
      <w:pPr>
        <w:spacing w:after="0" w:line="59"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2.</w:t>
      </w:r>
      <w:r>
        <w:rPr>
          <w:sz w:val="20"/>
          <w:szCs w:val="20"/>
          <w:color w:val="auto"/>
        </w:rPr>
        <w:tab/>
      </w:r>
      <w:r>
        <w:rPr>
          <w:rFonts w:ascii="Times New Roman" w:cs="Times New Roman" w:eastAsia="Times New Roman" w:hAnsi="Times New Roman"/>
          <w:sz w:val="16"/>
          <w:szCs w:val="16"/>
          <w:u w:val="single" w:color="auto"/>
          <w:color w:val="000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3.</w:t>
      </w:r>
      <w:r>
        <w:rPr>
          <w:sz w:val="20"/>
          <w:szCs w:val="20"/>
          <w:color w:val="auto"/>
        </w:rPr>
        <w:tab/>
      </w:r>
      <w:r>
        <w:rPr>
          <w:rFonts w:ascii="Times New Roman" w:cs="Times New Roman" w:eastAsia="Times New Roman" w:hAnsi="Times New Roman"/>
          <w:sz w:val="16"/>
          <w:szCs w:val="16"/>
          <w:u w:val="single" w:color="auto"/>
          <w:color w:val="0000FF"/>
        </w:rPr>
        <w:t>Quantitative and Qualitative Disclosures about Market Risk</w:t>
      </w:r>
    </w:p>
    <w:p>
      <w:pPr>
        <w:spacing w:after="0" w:line="59" w:lineRule="exact"/>
        <w:rPr>
          <w:sz w:val="20"/>
          <w:szCs w:val="20"/>
          <w:color w:val="auto"/>
        </w:rPr>
      </w:pPr>
    </w:p>
    <w:p>
      <w:pPr>
        <w:ind w:left="620"/>
        <w:spacing w:after="0"/>
        <w:tabs>
          <w:tab w:leader="none" w:pos="1660" w:val="left"/>
        </w:tabs>
        <w:rPr>
          <w:sz w:val="20"/>
          <w:szCs w:val="20"/>
          <w:color w:val="auto"/>
        </w:rPr>
      </w:pPr>
      <w:r>
        <w:rPr>
          <w:rFonts w:ascii="Times New Roman" w:cs="Times New Roman" w:eastAsia="Times New Roman" w:hAnsi="Times New Roman"/>
          <w:sz w:val="16"/>
          <w:szCs w:val="16"/>
          <w:u w:val="single" w:color="auto"/>
          <w:color w:val="0000FF"/>
        </w:rPr>
        <w:t>Item 4.</w:t>
      </w:r>
      <w:r>
        <w:rPr>
          <w:sz w:val="20"/>
          <w:szCs w:val="20"/>
          <w:color w:val="auto"/>
        </w:rPr>
        <w:tab/>
      </w:r>
      <w:r>
        <w:rPr>
          <w:rFonts w:ascii="Times New Roman" w:cs="Times New Roman" w:eastAsia="Times New Roman" w:hAnsi="Times New Roman"/>
          <w:sz w:val="16"/>
          <w:szCs w:val="16"/>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161290</wp:posOffset>
            </wp:positionV>
            <wp:extent cx="9944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1</w:t>
      </w: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2</w:t>
      </w: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3</w:t>
      </w: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4</w:t>
      </w: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5</w:t>
      </w: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u w:val="single" w:color="auto"/>
          <w:color w:val="0000FF"/>
        </w:rPr>
        <w:t>6</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16</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28</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0000FF"/>
        </w:rPr>
        <w:t>28</w:t>
      </w:r>
    </w:p>
    <w:p>
      <w:pPr>
        <w:spacing w:after="0" w:line="105" w:lineRule="exact"/>
        <w:rPr>
          <w:sz w:val="20"/>
          <w:szCs w:val="20"/>
          <w:color w:val="auto"/>
        </w:rPr>
      </w:pPr>
    </w:p>
    <w:p>
      <w:pPr>
        <w:sectPr>
          <w:pgSz w:w="11900" w:h="16838" w:orient="portrait"/>
          <w:cols w:equalWidth="0" w:num="2">
            <w:col w:w="9540" w:space="720"/>
            <w:col w:w="980"/>
          </w:cols>
          <w:pgMar w:left="320" w:top="81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Other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120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750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70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8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0000FF"/>
                <w:w w:val="87"/>
              </w:rPr>
              <w:t>29</w:t>
            </w: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600" w:type="dxa"/>
            <w:vAlign w:val="bottom"/>
            <w:gridSpan w:val="2"/>
            <w:shd w:val="clear" w:color="auto" w:fill="CCEEFF"/>
          </w:tcPr>
          <w:p>
            <w:pPr>
              <w:spacing w:after="0"/>
              <w:rPr>
                <w:sz w:val="19"/>
                <w:szCs w:val="19"/>
                <w:color w:val="auto"/>
              </w:rPr>
            </w:pP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30</w:t>
            </w: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600" w:type="dxa"/>
            <w:vAlign w:val="bottom"/>
            <w:tcBorders>
              <w:top w:val="single" w:sz="8" w:color="CCEEFF"/>
            </w:tcBorders>
            <w:gridSpan w:val="2"/>
          </w:tcPr>
          <w:p>
            <w:pPr>
              <w:spacing w:after="0"/>
              <w:rPr>
                <w:sz w:val="16"/>
                <w:szCs w:val="16"/>
                <w:color w:val="auto"/>
              </w:rPr>
            </w:pPr>
          </w:p>
        </w:tc>
        <w:tc>
          <w:tcPr>
            <w:tcW w:w="39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4800" w:type="dxa"/>
            <w:vAlign w:val="bottom"/>
            <w:tcBorders>
              <w:top w:val="single" w:sz="8" w:color="CCEEFF"/>
            </w:tcBorders>
          </w:tcPr>
          <w:p>
            <w:pPr>
              <w:spacing w:after="0"/>
              <w:rPr>
                <w:sz w:val="16"/>
                <w:szCs w:val="16"/>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600" w:type="dxa"/>
            <w:vAlign w:val="bottom"/>
            <w:gridSpan w:val="2"/>
            <w:shd w:val="clear" w:color="auto" w:fill="CCEEFF"/>
          </w:tcPr>
          <w:p>
            <w:pPr>
              <w:spacing w:after="0"/>
              <w:rPr>
                <w:sz w:val="19"/>
                <w:szCs w:val="19"/>
                <w:color w:val="auto"/>
              </w:rPr>
            </w:pP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30</w:t>
            </w: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600" w:type="dxa"/>
            <w:vAlign w:val="bottom"/>
            <w:tcBorders>
              <w:top w:val="single" w:sz="8" w:color="CCEEFF"/>
            </w:tcBorders>
            <w:gridSpan w:val="2"/>
          </w:tcPr>
          <w:p>
            <w:pPr>
              <w:spacing w:after="0"/>
              <w:rPr>
                <w:sz w:val="16"/>
                <w:szCs w:val="16"/>
                <w:color w:val="auto"/>
              </w:rPr>
            </w:pPr>
          </w:p>
        </w:tc>
        <w:tc>
          <w:tcPr>
            <w:tcW w:w="1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1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70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6.</w:t>
            </w:r>
          </w:p>
        </w:tc>
        <w:tc>
          <w:tcPr>
            <w:tcW w:w="8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Exhibits</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31</w:t>
            </w: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480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66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0000FF"/>
                <w:w w:val="87"/>
              </w:rPr>
              <w:t>32</w:t>
            </w:r>
          </w:p>
        </w:tc>
      </w:tr>
      <w:tr>
        <w:trPr>
          <w:trHeight w:val="1249"/>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60" w:type="dxa"/>
            <w:vAlign w:val="bottom"/>
            <w:tcBorders>
              <w:top w:val="single" w:sz="8" w:color="CCEEFF"/>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2" w:name="page3"/>
    <w:bookmarkEnd w:id="2"/>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0139"/>
          </w:cols>
          <w:pgMar w:left="320" w:top="8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4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5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320,794</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$6,018, $7,587, and</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203,873</w:t>
            </w:r>
          </w:p>
        </w:tc>
        <w:tc>
          <w:tcPr>
            <w:tcW w:w="0" w:type="dxa"/>
            <w:vAlign w:val="bottom"/>
          </w:tcPr>
          <w:p>
            <w:pPr>
              <w:spacing w:after="0"/>
              <w:rPr>
                <w:sz w:val="1"/>
                <w:szCs w:val="1"/>
                <w:color w:val="auto"/>
              </w:rPr>
            </w:pPr>
          </w:p>
        </w:tc>
      </w:tr>
      <w:tr>
        <w:trPr>
          <w:trHeight w:val="210"/>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$5,213, respectively</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Finished goods inventories, net of inventory reserves of $12,027, $8,897, and</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474,124</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$9,641,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50,216</w:t>
            </w:r>
          </w:p>
        </w:tc>
        <w:tc>
          <w:tcPr>
            <w:tcW w:w="0" w:type="dxa"/>
            <w:vAlign w:val="bottom"/>
          </w:tcPr>
          <w:p>
            <w:pPr>
              <w:spacing w:after="0"/>
              <w:rPr>
                <w:sz w:val="1"/>
                <w:szCs w:val="1"/>
                <w:color w:val="auto"/>
              </w:rPr>
            </w:pPr>
          </w:p>
        </w:tc>
      </w:tr>
      <w:tr>
        <w:trPr>
          <w:trHeight w:val="202"/>
        </w:trPr>
        <w:tc>
          <w:tcPr>
            <w:tcW w:w="54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1,049,007</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$617,458,</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179,247</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$609,059, and $612,079, respectively</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568,856</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268,836</w:t>
            </w:r>
          </w:p>
        </w:tc>
        <w:tc>
          <w:tcPr>
            <w:tcW w:w="0" w:type="dxa"/>
            <w:vAlign w:val="bottom"/>
          </w:tcPr>
          <w:p>
            <w:pPr>
              <w:spacing w:after="0"/>
              <w:rPr>
                <w:sz w:val="1"/>
                <w:szCs w:val="1"/>
                <w:color w:val="auto"/>
              </w:rPr>
            </w:pPr>
          </w:p>
        </w:tc>
      </w:tr>
      <w:tr>
        <w:trPr>
          <w:trHeight w:val="20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207,125</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w:t>
            </w:r>
          </w:p>
        </w:tc>
        <w:tc>
          <w:tcPr>
            <w:tcW w:w="0" w:type="dxa"/>
            <w:vAlign w:val="bottom"/>
          </w:tcPr>
          <w:p>
            <w:pPr>
              <w:spacing w:after="0"/>
              <w:rPr>
                <w:sz w:val="1"/>
                <w:szCs w:val="1"/>
                <w:color w:val="auto"/>
              </w:rPr>
            </w:pPr>
          </w:p>
        </w:tc>
      </w:tr>
      <w:tr>
        <w:trPr>
          <w:trHeight w:val="20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2,484,155</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2,565,470</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2,331,800</w:t>
            </w:r>
          </w:p>
        </w:tc>
        <w:tc>
          <w:tcPr>
            <w:tcW w:w="0" w:type="dxa"/>
            <w:vAlign w:val="bottom"/>
          </w:tcPr>
          <w:p>
            <w:pPr>
              <w:spacing w:after="0"/>
              <w:rPr>
                <w:sz w:val="1"/>
                <w:szCs w:val="1"/>
                <w:color w:val="auto"/>
              </w:rPr>
            </w:pPr>
          </w:p>
        </w:tc>
      </w:tr>
      <w:tr>
        <w:trPr>
          <w:trHeight w:val="181"/>
        </w:trPr>
        <w:tc>
          <w:tcPr>
            <w:tcW w:w="5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188,692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235,700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199,056</w:t>
            </w:r>
          </w:p>
        </w:tc>
        <w:tc>
          <w:tcPr>
            <w:tcW w:w="0" w:type="dxa"/>
            <w:vAlign w:val="bottom"/>
          </w:tcPr>
          <w:p>
            <w:pPr>
              <w:spacing w:after="0"/>
              <w:rPr>
                <w:sz w:val="1"/>
                <w:szCs w:val="1"/>
                <w:color w:val="auto"/>
              </w:rPr>
            </w:pPr>
          </w:p>
        </w:tc>
      </w:tr>
      <w:tr>
        <w:trPr>
          <w:trHeight w:val="20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125,556</w:t>
            </w:r>
          </w:p>
        </w:tc>
        <w:tc>
          <w:tcPr>
            <w:tcW w:w="0" w:type="dxa"/>
            <w:vAlign w:val="bottom"/>
          </w:tcPr>
          <w:p>
            <w:pPr>
              <w:spacing w:after="0"/>
              <w:rPr>
                <w:sz w:val="1"/>
                <w:szCs w:val="1"/>
                <w:color w:val="auto"/>
              </w:rPr>
            </w:pPr>
          </w:p>
        </w:tc>
      </w:tr>
      <w:tr>
        <w:trPr>
          <w:trHeight w:val="209"/>
        </w:trPr>
        <w:tc>
          <w:tcPr>
            <w:tcW w:w="54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84,734</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409,346</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498,328</w:t>
            </w:r>
          </w:p>
        </w:tc>
        <w:tc>
          <w:tcPr>
            <w:tcW w:w="0" w:type="dxa"/>
            <w:vAlign w:val="bottom"/>
          </w:tcPr>
          <w:p>
            <w:pPr>
              <w:spacing w:after="0"/>
              <w:rPr>
                <w:sz w:val="1"/>
                <w:szCs w:val="1"/>
                <w:color w:val="auto"/>
              </w:rPr>
            </w:pPr>
          </w:p>
        </w:tc>
      </w:tr>
      <w:tr>
        <w:trPr>
          <w:trHeight w:val="20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45,300</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498,628</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32,953</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1,555,698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1,640,422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1,484,555</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Note 15</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par value $0.01 per share; 100,000 shares authorized; none issued</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 outstanding</w:t>
            </w:r>
          </w:p>
        </w:tc>
        <w:tc>
          <w:tcPr>
            <w:tcW w:w="3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voting; par value $0.01 per share; 150,000,000 shares authorized;</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36,850,117, 36,425,877, and 36,237,114 shares issued and outstanding,</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2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(43,066)</w:t>
            </w:r>
          </w:p>
        </w:tc>
        <w:tc>
          <w:tcPr>
            <w:tcW w:w="0" w:type="dxa"/>
            <w:vAlign w:val="bottom"/>
          </w:tcPr>
          <w:p>
            <w:pPr>
              <w:spacing w:after="0"/>
              <w:rPr>
                <w:sz w:val="1"/>
                <w:szCs w:val="1"/>
                <w:color w:val="auto"/>
              </w:rPr>
            </w:pPr>
          </w:p>
        </w:tc>
      </w:tr>
      <w:tr>
        <w:trPr>
          <w:trHeight w:val="20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880,564</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847,245</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2,484,155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2,331,800</w:t>
            </w:r>
          </w:p>
        </w:tc>
        <w:tc>
          <w:tcPr>
            <w:tcW w:w="0" w:type="dxa"/>
            <w:vAlign w:val="bottom"/>
          </w:tcPr>
          <w:p>
            <w:pPr>
              <w:spacing w:after="0"/>
              <w:rPr>
                <w:sz w:val="1"/>
                <w:szCs w:val="1"/>
                <w:color w:val="auto"/>
              </w:rPr>
            </w:pPr>
          </w:p>
        </w:tc>
      </w:tr>
      <w:tr>
        <w:trPr>
          <w:trHeight w:val="206"/>
        </w:trPr>
        <w:tc>
          <w:tcPr>
            <w:tcW w:w="5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 unaudited condensed consolidated financial statements.</w:t>
      </w:r>
    </w:p>
    <w:p>
      <w:pPr>
        <w:sectPr>
          <w:pgSz w:w="11900" w:h="16838" w:orient="portrait"/>
          <w:cols w:equalWidth="0" w:num="1">
            <w:col w:w="11240"/>
          </w:cols>
          <w:pgMar w:left="320" w:top="178" w:right="339" w:bottom="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08"/>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208"/>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629,827</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338,737</w:t>
            </w:r>
          </w:p>
        </w:tc>
      </w:tr>
      <w:tr>
        <w:trPr>
          <w:trHeight w:val="208"/>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291,090</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270,320</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21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26,102</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21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r>
      <w:tr>
        <w:trPr>
          <w:trHeight w:val="209"/>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24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r>
      <w:tr>
        <w:trPr>
          <w:trHeight w:val="182"/>
        </w:trPr>
        <w:tc>
          <w:tcPr>
            <w:tcW w:w="7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29"/>
        </w:trPr>
        <w:tc>
          <w:tcPr>
            <w:tcW w:w="7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08"/>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208"/>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related to settlement of Carter’s post-retirement life insurance arrangement, net of tax of</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3"/>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08"/>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24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11,957</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r>
      <w:tr>
        <w:trPr>
          <w:trHeight w:val="181"/>
        </w:trPr>
        <w:tc>
          <w:tcPr>
            <w:tcW w:w="7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6"/>
                <w:szCs w:val="16"/>
                <w:color w:val="auto"/>
              </w:rPr>
            </w:pPr>
          </w:p>
        </w:tc>
        <w:tc>
          <w:tcPr>
            <w:tcW w:w="16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 shares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paid-in capital</w:t>
            </w:r>
          </w:p>
        </w:tc>
        <w:tc>
          <w:tcPr>
            <w:tcW w:w="4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 2026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36,425,877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(79,985)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(3,012)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ind w:left="12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of $0.25 per</w:t>
            </w:r>
          </w:p>
        </w:tc>
        <w:tc>
          <w:tcPr>
            <w:tcW w:w="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4, 2026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36,850,117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934,577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928,457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0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8"/>
              </w:rPr>
              <w:t>- shares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paid-in 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36,041,995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(43,678)</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(93,538)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(4,221)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(28,999)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29, 2025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36,237,114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(43,066)</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880,564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0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19" w:right="379" w:bottom="1440" w:gutter="0" w:footer="0" w:header="0"/>
        </w:sectPr>
      </w:pPr>
    </w:p>
    <w:bookmarkStart w:id="8" w:name="page9"/>
    <w:bookmarkEnd w:id="8"/>
    <w:p>
      <w:pPr>
        <w:ind w:left="414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9019"/>
          </w:cols>
          <w:pgMar w:left="1440" w:top="81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excess and obsolete inventory, net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Unrealized foreign currency exchange loss (gain), net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Recoveries of doubtful accounts receivable from customers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 expense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operating items, net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27,122</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(19,035)</w:t>
            </w:r>
          </w:p>
        </w:tc>
        <w:tc>
          <w:tcPr>
            <w:tcW w:w="0" w:type="dxa"/>
            <w:vAlign w:val="bottom"/>
          </w:tcPr>
          <w:p>
            <w:pPr>
              <w:spacing w:after="0"/>
              <w:rPr>
                <w:sz w:val="1"/>
                <w:szCs w:val="1"/>
                <w:color w:val="auto"/>
              </w:rPr>
            </w:pPr>
          </w:p>
        </w:tc>
      </w:tr>
      <w:tr>
        <w:trPr>
          <w:trHeight w:val="208"/>
        </w:trPr>
        <w:tc>
          <w:tcPr>
            <w:tcW w:w="74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(93,968)</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(48,644)</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0" w:type="dxa"/>
            <w:vAlign w:val="bottom"/>
          </w:tcPr>
          <w:p>
            <w:pPr>
              <w:spacing w:after="0"/>
              <w:rPr>
                <w:sz w:val="1"/>
                <w:szCs w:val="1"/>
                <w:color w:val="auto"/>
              </w:rPr>
            </w:pPr>
          </w:p>
        </w:tc>
      </w:tr>
      <w:tr>
        <w:trPr>
          <w:trHeight w:val="208"/>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(33,591)</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effect of exchange rate changes on cash and cash equivalents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(92,132)</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412,926</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473,435</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320,794</w:t>
            </w:r>
          </w:p>
        </w:tc>
        <w:tc>
          <w:tcPr>
            <w:tcW w:w="0" w:type="dxa"/>
            <w:vAlign w:val="bottom"/>
          </w:tcPr>
          <w:p>
            <w:pPr>
              <w:spacing w:after="0"/>
              <w:rPr>
                <w:sz w:val="1"/>
                <w:szCs w:val="1"/>
                <w:color w:val="auto"/>
              </w:rPr>
            </w:pPr>
          </w:p>
        </w:tc>
      </w:tr>
      <w:tr>
        <w:trPr>
          <w:trHeight w:val="181"/>
        </w:trPr>
        <w:tc>
          <w:tcPr>
            <w:tcW w:w="7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78" w:right="339" w:bottom="268"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268"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OshKosh B’gosh </w:t>
      </w:r>
      <w:r>
        <w:rPr>
          <w:rFonts w:ascii="Times New Roman" w:cs="Times New Roman" w:eastAsia="Times New Roman" w:hAnsi="Times New Roman"/>
          <w:sz w:val="17"/>
          <w:szCs w:val="17"/>
          <w:color w:val="auto"/>
        </w:rPr>
        <w:t>(or “</w:t>
      </w:r>
      <w:r>
        <w:rPr>
          <w:rFonts w:ascii="Times New Roman" w:cs="Times New Roman" w:eastAsia="Times New Roman" w:hAnsi="Times New Roman"/>
          <w:sz w:val="17"/>
          <w:szCs w:val="17"/>
          <w:i w:val="1"/>
          <w:iCs w:val="1"/>
          <w:color w:val="auto"/>
        </w:rPr>
        <w:t>OshKosh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Skip Hop, Child of Mine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Just One You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Simple Joys, Little Planet, Otter Avenue, </w:t>
      </w:r>
      <w:r>
        <w:rPr>
          <w:rFonts w:ascii="Times New Roman" w:cs="Times New Roman" w:eastAsia="Times New Roman" w:hAnsi="Times New Roman"/>
          <w:sz w:val="17"/>
          <w:szCs w:val="17"/>
          <w:color w:val="auto"/>
        </w:rPr>
        <w:t>and other brands.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are sourced through contractual arrangements with manufacturers worldwide for sale in the Company’s retail stores, eCommerce sites, and mobile app, which offer the Company’s brand name merchandise and other licensed products manufactured by other companies. The Company also distributes its products to wholesale customers, which include leading department stores, national chains, and specialty retailers domestically and internationally.</w:t>
      </w:r>
    </w:p>
    <w:p>
      <w:pPr>
        <w:spacing w:after="0" w:line="14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Our trademarks that are referred to in this Quarterly Report on Form 10-Q, including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 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Simple Joys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Little Planet, Otter Avenue, PurelySoft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Carter’s Rewards</w:t>
      </w:r>
      <w:r>
        <w:rPr>
          <w:rFonts w:ascii="Times New Roman" w:cs="Times New Roman" w:eastAsia="Times New Roman" w:hAnsi="Times New Roman"/>
          <w:sz w:val="18"/>
          <w:szCs w:val="18"/>
          <w:color w:val="auto"/>
        </w:rPr>
        <w:t>, many of which are registered in the United States and in over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countries and territories, are each the property of one or more subsidiaries of Carter’s,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condensed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April 4, 2026 are not necessarily indicative of the results that may be expected for the current fiscal year ending January 2, 2027.</w:t>
      </w:r>
    </w:p>
    <w:p>
      <w:pPr>
        <w:spacing w:after="0" w:line="14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3, 2026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 week fiscal calendar. Fiscal 2026 will end on January 2, 2027 and includes 52 weeks. Fiscal 2025 ended on January 3, 2026 and included 53 weeks. The fiscal quarters ended April 4, 2026 and March 29, 2025 each included 13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 During the first quarter of fiscal 2026, the Company applied the accounting guidance for loss recoveries to potential IEEPA tariff refunds, as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IEEPA Tariff Recovery</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the U.S. Supreme Court ruled that tariffs imposed under the International Emergency Economic Powers Act (“IEEPA”) were unlawful. Subsequent to April 4, 2026, following the April 20, 2026 launch of U.S. Customs and Border Protection’s Consolidated Administration and Processing of Entries (“CAPE”) process, the Company submitted claims seeking approximately $130 million of refunds of previously paid IEEPA tariffs through the CAPE system.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elected to apply a gain contingency model in accordance with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to account for potential recoveries of previously paid IEEPA tariffs. Under this model, a gain contingency is not recognized in the financial statements until the gain is realized or realizable. Any recovery, when recognized, would be reflected as a reduction of inventory to the extent the related goods remain on hand, or as a reduction of Cost of goods sold for amounts related to goods already sold.</w:t>
      </w:r>
    </w:p>
    <w:p>
      <w:pPr>
        <w:spacing w:after="0" w:line="1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April 4, 2026, the Company had not received any refund payments, and uncertainty remained regarding the timing, amount, and ultimate receipt of any refunds. Accordingly, no gain has been recognized in the condensed consolidated financial statements for the fiscal quarter ended April 4,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This new guidance is intended to increase transparency and comparability of financial statements by requiring disclosure of significant expense components for certain expenses on the face of the consolidated statement of operations. The ASU is effective for fiscal years beginning after December 15, 2026 and for interim periods within fiscal years beginning after December 15, 2027, with early adoption permitted. The Company expects to adopt the ASU in the fourth quarter of fiscal 2027 using a prospective transition method. The Company is currently evaluating the impact that this standard will have on its consolidated financial statements but does not expect the effect of the adoption of ASU 2024-03 to be material.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 (ASU 2025-06)</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Targeted Improvements to the Accounting for Internal-Use Software. The ASU modernizes the accounting for internal-use software by removing the existing “software development stages” model and instead requiring capitalization of internal-use software costs when (1) management has authorized and committed to funding the project and (2) it is probable the project will be completed and the software will be used as intended. The ASU is effective for fiscal years beginning after December 15, 2027 and interim periods within those annual periods, with early adoption permitted. The Company is currently evaluating the timing and transition method of its adoption of the ASU.</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08"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Company generates revenue primarily from the sale of products to retail and wholesale customers and from royalties earned under licensing arrangements. Contracts with customers include written agreements as well as arrangements that are implied by customary business practices or law.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 sells products directly to consumers (“direct-to-consumer”) through its retail stores, eCommerce websites, and mobile app, and to other retailers and partners that in turn sell the products to their own customers (“wholesale channel”). The Company also earns royalties from certain of its licensees that sell products under the Company’s brands.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revenues from these sources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Fiscal quarter ended April 4, 2026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4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83"/>
        </w:trPr>
        <w:tc>
          <w:tcPr>
            <w:tcW w:w="43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5"/>
                <w:szCs w:val="15"/>
                <w:color w:val="auto"/>
              </w:rPr>
            </w:pPr>
          </w:p>
        </w:tc>
        <w:tc>
          <w:tcPr>
            <w:tcW w:w="12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3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5"/>
                <w:szCs w:val="15"/>
                <w:color w:val="auto"/>
              </w:rPr>
            </w:pPr>
          </w:p>
        </w:tc>
        <w:tc>
          <w:tcPr>
            <w:tcW w:w="1260" w:type="dxa"/>
            <w:vAlign w:val="bottom"/>
            <w:gridSpan w:val="3"/>
          </w:tcPr>
          <w:p>
            <w:pPr>
              <w:jc w:val="right"/>
              <w:ind w:right="640"/>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396,125</w:t>
            </w:r>
          </w:p>
        </w:tc>
      </w:tr>
      <w:tr>
        <w:trPr>
          <w:trHeight w:val="209"/>
        </w:trPr>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251,406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284,988</w:t>
            </w:r>
          </w:p>
        </w:tc>
      </w:tr>
      <w:tr>
        <w:trPr>
          <w:trHeight w:val="209"/>
        </w:trPr>
        <w:tc>
          <w:tcPr>
            <w:tcW w:w="43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7"/>
        </w:trPr>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97,459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681,113</w:t>
            </w:r>
          </w:p>
        </w:tc>
      </w:tr>
      <w:tr>
        <w:trPr>
          <w:trHeight w:val="234"/>
        </w:trPr>
        <w:tc>
          <w:tcPr>
            <w:tcW w:w="43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4,619</w:t>
            </w:r>
          </w:p>
        </w:tc>
      </w:tr>
      <w:tr>
        <w:trPr>
          <w:trHeight w:val="209"/>
        </w:trPr>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Fiscal quarter ended March 29, 2025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4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83"/>
        </w:trPr>
        <w:tc>
          <w:tcPr>
            <w:tcW w:w="43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5"/>
                <w:szCs w:val="15"/>
                <w:color w:val="auto"/>
              </w:rPr>
            </w:pPr>
          </w:p>
        </w:tc>
        <w:tc>
          <w:tcPr>
            <w:tcW w:w="12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3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5"/>
                <w:szCs w:val="15"/>
                <w:color w:val="auto"/>
              </w:rPr>
            </w:pPr>
          </w:p>
        </w:tc>
        <w:tc>
          <w:tcPr>
            <w:tcW w:w="1260" w:type="dxa"/>
            <w:vAlign w:val="bottom"/>
            <w:gridSpan w:val="3"/>
          </w:tcPr>
          <w:p>
            <w:pPr>
              <w:jc w:val="right"/>
              <w:ind w:right="640"/>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53,823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348,255</w:t>
            </w:r>
          </w:p>
        </w:tc>
      </w:tr>
      <w:tr>
        <w:trPr>
          <w:trHeight w:val="208"/>
        </w:trPr>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281,572</w:t>
            </w:r>
          </w:p>
        </w:tc>
      </w:tr>
      <w:tr>
        <w:trPr>
          <w:trHeight w:val="208"/>
        </w:trPr>
        <w:tc>
          <w:tcPr>
            <w:tcW w:w="43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7"/>
        </w:trPr>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85,299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629,827</w:t>
            </w:r>
          </w:p>
        </w:tc>
      </w:tr>
      <w:tr>
        <w:trPr>
          <w:trHeight w:val="233"/>
        </w:trPr>
        <w:tc>
          <w:tcPr>
            <w:tcW w:w="43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2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5,332</w:t>
            </w:r>
          </w:p>
        </w:tc>
      </w:tr>
      <w:tr>
        <w:trPr>
          <w:trHeight w:val="208"/>
        </w:trPr>
        <w:tc>
          <w:tcPr>
            <w:tcW w:w="4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Accounts receivable primarily represent amounts due from wholesale customers and licensees and are recorded net of allowances for chargebacks and expected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80" w:type="dxa"/>
            <w:vAlign w:val="bottom"/>
          </w:tcPr>
          <w:p>
            <w:pPr>
              <w:spacing w:after="0"/>
              <w:rPr>
                <w:sz w:val="18"/>
                <w:szCs w:val="18"/>
                <w:color w:val="auto"/>
              </w:rPr>
            </w:pPr>
          </w:p>
        </w:tc>
        <w:tc>
          <w:tcPr>
            <w:tcW w:w="16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196,109</w:t>
            </w:r>
          </w:p>
        </w:tc>
        <w:tc>
          <w:tcPr>
            <w:tcW w:w="0" w:type="dxa"/>
            <w:vAlign w:val="bottom"/>
          </w:tcPr>
          <w:p>
            <w:pPr>
              <w:spacing w:after="0"/>
              <w:rPr>
                <w:sz w:val="1"/>
                <w:szCs w:val="1"/>
                <w:color w:val="auto"/>
              </w:rPr>
            </w:pPr>
          </w:p>
        </w:tc>
      </w:tr>
      <w:tr>
        <w:trPr>
          <w:trHeight w:val="208"/>
        </w:trPr>
        <w:tc>
          <w:tcPr>
            <w:tcW w:w="51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 net</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0" w:type="dxa"/>
            <w:vAlign w:val="bottom"/>
          </w:tcPr>
          <w:p>
            <w:pPr>
              <w:spacing w:after="0"/>
              <w:rPr>
                <w:sz w:val="1"/>
                <w:szCs w:val="1"/>
                <w:color w:val="auto"/>
              </w:rPr>
            </w:pPr>
          </w:p>
        </w:tc>
      </w:tr>
      <w:tr>
        <w:trPr>
          <w:trHeight w:val="208"/>
        </w:trPr>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0" w:type="dxa"/>
            <w:vAlign w:val="bottom"/>
          </w:tcPr>
          <w:p>
            <w:pPr>
              <w:spacing w:after="0"/>
              <w:rPr>
                <w:sz w:val="1"/>
                <w:szCs w:val="1"/>
                <w:color w:val="auto"/>
              </w:rPr>
            </w:pPr>
          </w:p>
        </w:tc>
      </w:tr>
      <w:tr>
        <w:trPr>
          <w:trHeight w:val="208"/>
        </w:trPr>
        <w:tc>
          <w:tcPr>
            <w:tcW w:w="5140" w:type="dxa"/>
            <w:vAlign w:val="bottom"/>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receivables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206,595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190,282</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212,180</w:t>
            </w:r>
          </w:p>
        </w:tc>
        <w:tc>
          <w:tcPr>
            <w:tcW w:w="0" w:type="dxa"/>
            <w:vAlign w:val="bottom"/>
          </w:tcPr>
          <w:p>
            <w:pPr>
              <w:spacing w:after="0"/>
              <w:rPr>
                <w:sz w:val="1"/>
                <w:szCs w:val="1"/>
                <w:color w:val="auto"/>
              </w:rPr>
            </w:pPr>
          </w:p>
        </w:tc>
      </w:tr>
      <w:tr>
        <w:trPr>
          <w:trHeight w:val="208"/>
        </w:trPr>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(2)(3)</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0" w:type="dxa"/>
            <w:vAlign w:val="bottom"/>
          </w:tcPr>
          <w:p>
            <w:pPr>
              <w:spacing w:after="0"/>
              <w:rPr>
                <w:sz w:val="1"/>
                <w:szCs w:val="1"/>
                <w:color w:val="auto"/>
              </w:rPr>
            </w:pPr>
          </w:p>
        </w:tc>
      </w:tr>
      <w:tr>
        <w:trPr>
          <w:trHeight w:val="209"/>
        </w:trPr>
        <w:tc>
          <w:tcPr>
            <w:tcW w:w="5140" w:type="dxa"/>
            <w:vAlign w:val="bottom"/>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196,596</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178,566</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115570</wp:posOffset>
            </wp:positionV>
            <wp:extent cx="385762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7625" cy="34290"/>
                    </a:xfrm>
                    <a:prstGeom prst="rect">
                      <a:avLst/>
                    </a:prstGeom>
                    <a:noFill/>
                  </pic:spPr>
                </pic:pic>
              </a:graphicData>
            </a:graphic>
          </wp:anchor>
        </w:drawing>
      </w:r>
    </w:p>
    <w:p>
      <w:pPr>
        <w:spacing w:after="0" w:line="328" w:lineRule="exact"/>
        <w:rPr>
          <w:sz w:val="20"/>
          <w:szCs w:val="20"/>
          <w:color w:val="auto"/>
        </w:rPr>
      </w:pPr>
    </w:p>
    <w:p>
      <w:pPr>
        <w:ind w:left="340" w:right="140" w:hanging="332"/>
        <w:spacing w:after="0" w:line="30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related to shipping volume rebates, healthcare-related rebates, amounts due from third-party gift card program partners, recoveries related to provisional anti-dumping duties in Mexico, and tax recoveries.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chargebacks of $4.0 million, $4.1 million, and $3.1 million for the periods ended April 4, 2026, January 3, 2026, and March 29, 2025, respectively.</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$6.0 million, $7.6 million, and $5.2 million for the periods ended April 4, 2026, January 3, 2026, and March 29,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 to the Company’s condensed consolidated financial statements.</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before transferring the related goods to the customer. The Company’s contract liabilities primarily consist of (1) obligations related to unredeemed gift cards, (2) unredeemed customer loyalty rewards, and (3) the unamortized upfront bonus received from a third-party financial institution under the Company’s private label credit card program. Contract liabilities are classified as current and are included in Other current liabilities on the Company’s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contract liabilities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80" w:type="dxa"/>
            <w:vAlign w:val="bottom"/>
          </w:tcPr>
          <w:p>
            <w:pPr>
              <w:spacing w:after="0"/>
              <w:rPr>
                <w:sz w:val="18"/>
                <w:szCs w:val="18"/>
                <w:color w:val="auto"/>
              </w:rPr>
            </w:pPr>
          </w:p>
        </w:tc>
        <w:tc>
          <w:tcPr>
            <w:tcW w:w="17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25,994</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24,275</w:t>
            </w:r>
          </w:p>
        </w:tc>
        <w:tc>
          <w:tcPr>
            <w:tcW w:w="0" w:type="dxa"/>
            <w:vAlign w:val="bottom"/>
          </w:tcPr>
          <w:p>
            <w:pPr>
              <w:spacing w:after="0"/>
              <w:rPr>
                <w:sz w:val="1"/>
                <w:szCs w:val="1"/>
                <w:color w:val="auto"/>
              </w:rPr>
            </w:pPr>
          </w:p>
        </w:tc>
      </w:tr>
      <w:tr>
        <w:trPr>
          <w:trHeight w:val="220"/>
        </w:trPr>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Unredeemed gift cards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60" w:type="dxa"/>
            <w:vAlign w:val="bottom"/>
            <w:gridSpan w:val="2"/>
            <w:shd w:val="clear" w:color="auto" w:fill="CCEEFF"/>
          </w:tcPr>
          <w:p>
            <w:pPr>
              <w:jc w:val="center"/>
              <w:ind w:right="242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Carter’s credit card - upfront bonus</w:t>
            </w:r>
          </w:p>
        </w:tc>
        <w:tc>
          <w:tcPr>
            <w:tcW w:w="320" w:type="dxa"/>
            <w:vAlign w:val="bottom"/>
            <w:vMerge w:val="restart"/>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02"/>
        </w:trPr>
        <w:tc>
          <w:tcPr>
            <w:tcW w:w="514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0" w:type="dxa"/>
            <w:vAlign w:val="bottom"/>
          </w:tcPr>
          <w:p>
            <w:pPr>
              <w:spacing w:after="0"/>
              <w:rPr>
                <w:sz w:val="1"/>
                <w:szCs w:val="1"/>
                <w:color w:val="auto"/>
              </w:rPr>
            </w:pPr>
          </w:p>
        </w:tc>
      </w:tr>
      <w:tr>
        <w:trPr>
          <w:trHeight w:val="228"/>
        </w:trPr>
        <w:tc>
          <w:tcPr>
            <w:tcW w:w="5460" w:type="dxa"/>
            <w:vAlign w:val="bottom"/>
            <w:gridSpan w:val="2"/>
            <w:shd w:val="clear" w:color="auto" w:fill="CCEEFF"/>
          </w:tcPr>
          <w:p>
            <w:pPr>
              <w:jc w:val="center"/>
              <w:ind w:right="2380"/>
              <w:spacing w:after="0"/>
              <w:rPr>
                <w:sz w:val="20"/>
                <w:szCs w:val="20"/>
                <w:color w:val="auto"/>
              </w:rPr>
            </w:pPr>
            <w:r>
              <w:rPr>
                <w:rFonts w:ascii="Times New Roman" w:cs="Times New Roman" w:eastAsia="Times New Roman" w:hAnsi="Times New Roman"/>
                <w:sz w:val="16"/>
                <w:szCs w:val="16"/>
                <w:color w:val="auto"/>
              </w:rPr>
              <w:t>Total contract liabilities - current</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Contract Liabilities</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Unredeemed gift cards - represent obligations to transfer goods in the future to customers that have purchased gift cards. Gift card contract liabilities change due to the issuance and redemption of gift cards and the recognition of breakage on balances that are not expected to be redeemed. Although gift cards do not expire, all outstanding gift card balances are classified as current liabilities, as they are redeemable on demand by the cardholder. The majority of gift cards are redeemed within one year of issuance. During the first quarters of fiscal 2026 and fiscal 2025, the Company recognized revenue of $4.1 million and $3.6 million related to the gift card liability balance that existed at the beginning of each respective period.</w:t>
      </w:r>
    </w:p>
    <w:p>
      <w:pPr>
        <w:sectPr>
          <w:pgSz w:w="11900" w:h="16838" w:orient="portrait"/>
          <w:cols w:equalWidth="0" w:num="1">
            <w:col w:w="11240"/>
          </w:cols>
          <w:pgMar w:left="320" w:top="360" w:right="339" w:bottom="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Unredeemed loyalty rewards - represent obligations under the Company’s loyalty program to transfer goods in the future to customers when the reward certificates are redeemed. Changes in the loyalty program contract liability result from new rewards earned, and reward certificate redemptions and expirations. The earning and redemption cycles are under one year in duration.</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Carter’s credit card - upfront bonus - represents the unamortized portion of the upfront signing bonus received from a third-party financial institution under the Company’s private label credit card program. This bonus was recognized as revenue over the term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4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5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24,275</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Accrued interest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08"/>
        </w:trPr>
        <w:tc>
          <w:tcPr>
            <w:tcW w:w="5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Accrued employee benefits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w:t>
            </w:r>
          </w:p>
        </w:tc>
        <w:tc>
          <w:tcPr>
            <w:tcW w:w="0" w:type="dxa"/>
            <w:vAlign w:val="bottom"/>
          </w:tcPr>
          <w:p>
            <w:pPr>
              <w:spacing w:after="0"/>
              <w:rPr>
                <w:sz w:val="1"/>
                <w:szCs w:val="1"/>
                <w:color w:val="auto"/>
              </w:rPr>
            </w:pPr>
          </w:p>
        </w:tc>
      </w:tr>
      <w:tr>
        <w:trPr>
          <w:trHeight w:val="138"/>
        </w:trPr>
        <w:tc>
          <w:tcPr>
            <w:tcW w:w="5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34,771</w:t>
            </w:r>
          </w:p>
        </w:tc>
        <w:tc>
          <w:tcPr>
            <w:tcW w:w="0" w:type="dxa"/>
            <w:vAlign w:val="bottom"/>
          </w:tcPr>
          <w:p>
            <w:pPr>
              <w:spacing w:after="0"/>
              <w:rPr>
                <w:sz w:val="1"/>
                <w:szCs w:val="1"/>
                <w:color w:val="auto"/>
              </w:rPr>
            </w:pPr>
          </w:p>
        </w:tc>
      </w:tr>
      <w:tr>
        <w:trPr>
          <w:trHeight w:val="138"/>
        </w:trPr>
        <w:tc>
          <w:tcPr>
            <w:tcW w:w="55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84,734</w:t>
            </w:r>
          </w:p>
        </w:tc>
        <w:tc>
          <w:tcPr>
            <w:tcW w:w="0" w:type="dxa"/>
            <w:vAlign w:val="bottom"/>
          </w:tcPr>
          <w:p>
            <w:pPr>
              <w:spacing w:after="0"/>
              <w:rPr>
                <w:sz w:val="1"/>
                <w:szCs w:val="1"/>
                <w:color w:val="auto"/>
              </w:rPr>
            </w:pPr>
          </w:p>
        </w:tc>
      </w:tr>
      <w:tr>
        <w:trPr>
          <w:trHeight w:val="206"/>
        </w:trPr>
        <w:tc>
          <w:tcPr>
            <w:tcW w:w="5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as of April 4, 2026 reflects the timing of interest payments on long-term debt.</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accruals for severance and other termination benefits. See Note 13, </w:t>
      </w:r>
      <w:r>
        <w:rPr>
          <w:rFonts w:ascii="Times New Roman" w:cs="Times New Roman" w:eastAsia="Times New Roman" w:hAnsi="Times New Roman"/>
          <w:sz w:val="14"/>
          <w:szCs w:val="14"/>
          <w:i w:val="1"/>
          <w:iCs w:val="1"/>
          <w:color w:val="auto"/>
        </w:rPr>
        <w:t>Organizational Restructuring</w:t>
      </w:r>
      <w:r>
        <w:rPr>
          <w:rFonts w:ascii="Times New Roman" w:cs="Times New Roman" w:eastAsia="Times New Roman" w:hAnsi="Times New Roman"/>
          <w:sz w:val="14"/>
          <w:szCs w:val="14"/>
          <w:color w:val="auto"/>
        </w:rPr>
        <w:t>, for additional information.</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as of April 4, 2026 and January 3, 2026 includes liabilities under the deferred compensation plan. See Note 10,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SUPPLY CHAIN FINANCE PROGRAM</w:t>
      </w:r>
    </w:p>
    <w:p>
      <w:pPr>
        <w:spacing w:after="0" w:line="10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established a voluntary supply chain finance (“SCF”) program through participating financial institutions. This SCF program enables participating suppliers to accelerate payments for receivables due from the Company by selling receivables directly to the participating financial institutions at their discretion. As of April 4, 2026, the SCF program has a $70.0 million revolving capacity. We are not a party to the agreements between the participating financial institutions and the suppliers in connection with the SCF program and we have no economic interest in the supplier’s decision to sell a receivable. Payment terms for most of our suppliers are 60 days, regardless of participation in the SCF program. The Company settles obligations with the participating financial institutions in accordance with the original invoice due dates, and participation in the SCF program does not extend the Company’s payment terms. The Company does not provide any guarantees in connection with the SCF program and does not pledge collateral under the program.</w:t>
      </w:r>
    </w:p>
    <w:p>
      <w:pPr>
        <w:spacing w:after="0" w:line="1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amounts payable to the participating financial institutions for suppliers who voluntarily participate in the SCF program is included in Accounts payable on our consolidated balance sheets. As of April 4, 2026, January 3, 2026, and March 29, 2025, amounts under the SCF program included in Accounts payable were $11.6 million, $13.5 million, and $14.3 million, respectively. Payments made in connection with the SCF program, like payments of other accounts payable, are reflected as a reduction to our operating cash flow.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2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4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$575 million 7.375% Senior Notes due 2031</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2027</w:t>
            </w:r>
          </w:p>
        </w:tc>
        <w:tc>
          <w:tcPr>
            <w:tcW w:w="2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199"/>
        </w:trPr>
        <w:tc>
          <w:tcPr>
            <w:tcW w:w="5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issuance-related costs</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202"/>
        </w:trPr>
        <w:tc>
          <w:tcPr>
            <w:tcW w:w="5580" w:type="dxa"/>
            <w:vAlign w:val="bottom"/>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567,487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498,328</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567,487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498,328</w:t>
            </w:r>
          </w:p>
        </w:tc>
        <w:tc>
          <w:tcPr>
            <w:tcW w:w="0" w:type="dxa"/>
            <w:vAlign w:val="bottom"/>
          </w:tcPr>
          <w:p>
            <w:pPr>
              <w:spacing w:after="0"/>
              <w:rPr>
                <w:sz w:val="1"/>
                <w:szCs w:val="1"/>
                <w:color w:val="auto"/>
              </w:rPr>
            </w:pPr>
          </w:p>
        </w:tc>
      </w:tr>
      <w:tr>
        <w:trPr>
          <w:trHeight w:val="209"/>
        </w:trPr>
        <w:tc>
          <w:tcPr>
            <w:tcW w:w="55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86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862"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of April 4, 2026 and January 3, 2026, the Company had no outstanding borrowings under its secured asset-based revolving credit facility (“ABL facility”), exclusive of $5.5 million and $6.3 million of outstanding letters of credit, respectively. As of March 29, 2025, the Company had no outstanding borrowings under its secured cash-flow-based revolving credit facility, exclusive of $6.4 million of outstanding letters of credit. As of April 4, 2026, January 3, 2026, and March 29, 2025, there was approximately $605.2 million, $743.7 million, and $843.6 million available for future borrowing, respectively. Any outstanding borrowings under the Company’s ABL facility and secured cash-flow-based revolving credit facility are classified as non-current liabilities on the Company’s condensed consolidated balance sheets due to contractual repayment terms under the credit facility. However, these repayment terms also allow us to repay some or all of the outstanding borrowings at any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17, 2025, the Company, through its wholly-owned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availability under the ABL facility was $605.2 million and $743.7 million as of April 4, 2026 and January 3, 2026, respectively.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April 4, 2026, the borrowing rate for a term Secured Overnight Financing Rate (“SOFR”) loan would have been 4.90%, which includes an excess availability-based adjustment of 1.25%.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was in compliance with its covenants and requirements under the ABL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On November 13, 2025, TWCC issued $575.0 million principal amount of senior notes at par, bearing interest at a rate of 7.375% per annum, and maturing on February 15, 2031. TWCC received net proceeds from the offering of the senior notes of approximately $567.0 million, after deducting underwriting fees and other expenses, which TWCC used to redeem the senior notes discussed below and for other general corporate purposes. Approximately</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$8.0 million, including both bank fees and other third-party expenses, was capitalized in connection with the issuance and is being amortized over the term of the senior notes.</w:t>
      </w:r>
    </w:p>
    <w:p>
      <w:pPr>
        <w:spacing w:after="0" w:line="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27, 2025,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7"/>
          <w:szCs w:val="17"/>
          <w:color w:val="auto"/>
        </w:rPr>
        <w:t>The Company’s Board of Directors (the “Board”) has authorized the repurchase of shares of the Company’s common stock under share repurchase programs with an aggregate authorization of up to $1.00 billion. As of April 4, 2026, the total remaining capacity under outstanding repurchase authorizations was $599.0 million, based on settled repurchase transactions. The share repurchase authorizations have no expiration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and retire shares through open market transactions during the first quarters of fiscal 2026 and 2025.</w:t>
      </w:r>
    </w:p>
    <w:p>
      <w:pPr>
        <w:spacing w:after="0" w:line="19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market conditions, stock price, other investment priorities, excise taxes, and other factors.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2026, the Company’s Board declared, and the Company paid, a cash dividend per common share of $0.25. Additionally, in the first quarter of fiscal 2025, the Board declared, and the Company paid, a cash dividend per common share of $0.80.</w:t>
      </w:r>
    </w:p>
    <w:p>
      <w:pPr>
        <w:spacing w:after="0" w:line="2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Board will evaluate future dividend declarations based on a number of factors, including restrictions under the Company’s secured asset-based revolving credit facility, business conditions, the Company’s financial performance, and other considerations.</w:t>
      </w:r>
    </w:p>
    <w:p>
      <w:pPr>
        <w:spacing w:after="0" w:line="40"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 xml:space="preserve">Provisions in the Company’s secured asset-based revolving credit facility could have the effect of restricting the Company’s ability to pay cash dividends on, or make future repurchases of its common stock, as further described in Note 6,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to the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cost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08"/>
        </w:trPr>
        <w:tc>
          <w:tcPr>
            <w:tcW w:w="7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208"/>
        </w:trPr>
        <w:tc>
          <w:tcPr>
            <w:tcW w:w="7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8"/>
        </w:trPr>
        <w:tc>
          <w:tcPr>
            <w:tcW w:w="7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94"/>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Time-based awards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w:t>
            </w:r>
          </w:p>
        </w:tc>
      </w:tr>
      <w:tr>
        <w:trPr>
          <w:trHeight w:val="138"/>
        </w:trPr>
        <w:tc>
          <w:tcPr>
            <w:tcW w:w="7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2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8"/>
        </w:trPr>
        <w:tc>
          <w:tcPr>
            <w:tcW w:w="7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Market-based awards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08"/>
        </w:trPr>
        <w:tc>
          <w:tcPr>
            <w:tcW w:w="7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4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r>
      <w:tr>
        <w:trPr>
          <w:trHeight w:val="207"/>
        </w:trPr>
        <w:tc>
          <w:tcPr>
            <w:tcW w:w="7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quarter of 2025 includes accelerated vesting of outstanding time-based restricted stock awards related to the retirement of the Company’s former CEO.</w:t>
      </w:r>
    </w:p>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174,091 time-based restricted stock awards and 24,940 of performance-based restricted stock awards vested in the first quarter of fiscal 2026.</w:t>
      </w:r>
    </w:p>
    <w:p>
      <w:pPr>
        <w:spacing w:after="0" w:line="18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Additionally, in the first quarter of fiscal 2026, the Company’s Board approved the issuance of the following new awards to certain key employees under the Company’s existing stock-based compensation plan, subject to vesting: 454,741 shares of time-based restricted stock awards with a weighted average grant-date fair value of $34.95 per award, 107,523 shares of performance-based restricted stock awards with a weighted average grant-date fair value of $34.95 per award, and 107,508 shares of market-based restricted stock awards with a weighted average grant-date fair value of $52.95 per award.</w:t>
      </w:r>
    </w:p>
    <w:p>
      <w:pPr>
        <w:spacing w:after="0" w:line="1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market-based restricted stock awards cliff vest after a three-year period, subject to the performance of the Company’s total shareholder return (“TSR”) relative to a defined peer group over the three-year period. A Monte-Carlo simulation was utilized to determine the grant-date fair value of the market-based restricted stock awards in fiscal 2026, using the following assumptions: beginning TSR price of $32.14, grant-date share price of $34.95, simulation term of 3 years, expected volatility of 45.7%, and risk-free interest rate of 3.5%.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(1)(2)(3)</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(43,066)</w:t>
            </w:r>
          </w:p>
        </w:tc>
        <w:tc>
          <w:tcPr>
            <w:tcW w:w="0" w:type="dxa"/>
            <w:vAlign w:val="bottom"/>
          </w:tcPr>
          <w:p>
            <w:pPr>
              <w:spacing w:after="0"/>
              <w:rPr>
                <w:sz w:val="1"/>
                <w:szCs w:val="1"/>
                <w:color w:val="auto"/>
              </w:rPr>
            </w:pPr>
          </w:p>
        </w:tc>
      </w:tr>
      <w:tr>
        <w:trPr>
          <w:trHeight w:val="206"/>
        </w:trPr>
        <w:tc>
          <w:tcPr>
            <w:tcW w:w="5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$0.2 million, $0.3 million, and $1.2 million, for the period ended April 4, 2026, January 3, 2026, and March 29, 2025, respectively.</w:t>
      </w:r>
    </w:p>
    <w:p>
      <w:pPr>
        <w:spacing w:after="0" w:line="68" w:lineRule="exact"/>
        <w:rPr>
          <w:rFonts w:ascii="Times New Roman" w:cs="Times New Roman" w:eastAsia="Times New Roman" w:hAnsi="Times New Roman"/>
          <w:sz w:val="14"/>
          <w:szCs w:val="14"/>
          <w:color w:val="auto"/>
        </w:rPr>
      </w:pPr>
    </w:p>
    <w:p>
      <w:pPr>
        <w:ind w:left="340" w:right="180" w:hanging="332"/>
        <w:spacing w:after="0" w:line="29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2025, the Company substantially completed the process of settling its pension obligations under the frozen OshKosh B’Gosh, Inc. Pension Plan. In the first quarter of fiscal 2026, the Company distributed the surplus plan assets, net of final plan expenses and adjustments, in accordance with the terms of the plan and regulatory requirements.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first quarter of fiscal 2026, the Company settled its post-retirement life insurance liabilities.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the Company made a lump-sum payment to a third-party insurance provider to assume all remaining premium obligations related to its post-retirement life insurance arrangement. In connection with this settlement, $0.4 million of deferred gains on post-retirement life obligations (net of income taxes of $0.1 million) were reclassified from Accumulated other comprehensive loss to Other expense, net within the condensed consolidated statement of operations. In the first quarter of fiscal 2025, no amounts were reclassified from Accumulated other comprehensive loss to the condensed consolidated statement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support of The William Carter Company Deferred Compensation Plan (the “Deferred Compensation Plan”), the Company invests comparable amounts in marketable securities, principally equity-based mutual funds, to approximate the participant’s investment return on employee deferrals of compensation. These investments are held in an irrevocable Rabbi Trust established to fund the Company’s obligations under the Deferred Compensation Plan. The Rabbi Trust investments are restricted in their use to meet funding obligations to Plan participants.</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fiscal 2025, the Board approved the termination of the Deferred Compensation Plan, effective as of September 20, 2025. In connection with the Deferred Compensation Plan’s termination, the Company expects to liquidate the Rabbi Trust investments to fund the settlement of the related Deferred Compensation Plan obligations, with final settlement expected to occur in the fourth quarter of fiscal 2026.</w:t>
      </w:r>
    </w:p>
    <w:p>
      <w:pPr>
        <w:spacing w:after="0" w:line="13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All of the marketable securities are included in Prepaid expenses and other current assets on the Company’s condensed consolidated balance sheets as of April 4, 2026 and January 3, 2026, and their aggregate fair values were $22.2 million and $21.7 million, respectively. As of March 29, 2025, the aggregate fair value of the Rabbi Trust investments was $19.8 million and was included in Other assets. The change in classification reflects the Company’s expectation to liquidate the Rabbi Trust investments to fund the settlement of Deferred Compensation Plan obligations in the fourth quarter of fiscal 2026.</w:t>
      </w:r>
    </w:p>
    <w:p>
      <w:pPr>
        <w:spacing w:after="0" w:line="1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$0.5 million and $0.3 million for the first fiscal quarters ended April 4, 2026 and March 29, 2025, respectively. These amounts are included in Other expense (income), net on the Company’s condensed consolidated statement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had no outstanding borrowings under its ABL facility.</w:t>
      </w:r>
    </w:p>
    <w:p>
      <w:pPr>
        <w:spacing w:after="0" w:line="18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fair value of the Company’s senior notes was $588.4 million, $592.9 million, and $495.6 million at April 4, 2026, January 3, 2026, and March 29, 2025, respectively. The fair value of these senior notes was estimated using observable market inputs, which incorporates quoted market prices of comparable borrowings, the Company’s credit risk, and current market conditions, and is therefore within Level 2 of the fair value hierarchy. The senior notes had a notional value and carrying value (gross of debt issuance costs) of $575.0 million, $575.0 million, and $500.0 million as of April 4, 2026, January 3, 2026, and March 29,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other long-lived assets that have been reduced to fair value when impaired. Assets that are written down to fair value when impaired are not subsequently adjusted to fair value unless further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tax rates for the fiscal periods indicated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gridSpan w:val="4"/>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08"/>
        </w:trPr>
        <w:tc>
          <w:tcPr>
            <w:tcW w:w="7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208"/>
        </w:trPr>
        <w:tc>
          <w:tcPr>
            <w:tcW w:w="7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5,810</w:t>
            </w:r>
          </w:p>
        </w:tc>
      </w:tr>
      <w:tr>
        <w:trPr>
          <w:trHeight w:val="209"/>
        </w:trPr>
        <w:tc>
          <w:tcPr>
            <w:tcW w:w="7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27.8% for the first fiscal quarter ended April 4, 2026, compared to 27.2% for the first fiscal quarter ended March 29, 2025. The increase in the effective tax rate was primarily driven by incremental tax expense related to the applicability of the global minimum tax in Hong Kong. This was partially offset by lower incremental tax expense associated with the vesting of restricted stock awards compared to the prior period.</w:t>
      </w:r>
    </w:p>
    <w:p>
      <w:pPr>
        <w:spacing w:after="0" w:line="13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April 4, 2026, the Company had gross unrecognized income tax benefits of $6.3 million, of which $5.5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5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Weighted-average number of common and common equivalent shares outstanding:</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12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35,493,430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35,312,090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5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500" w:type="dxa"/>
            <w:vAlign w:val="bottom"/>
            <w:gridSpan w:val="3"/>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35,495,975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35,314,013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5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5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500" w:type="dxa"/>
            <w:vAlign w:val="bottom"/>
            <w:gridSpan w:val="3"/>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500" w:type="dxa"/>
            <w:vAlign w:val="bottom"/>
            <w:gridSpan w:val="3"/>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shd w:val="clear" w:color="auto" w:fill="CCEEFF"/>
          </w:tcPr>
          <w:p>
            <w:pPr>
              <w:spacing w:after="0"/>
              <w:rPr>
                <w:sz w:val="24"/>
                <w:szCs w:val="24"/>
                <w:color w:val="auto"/>
              </w:rPr>
            </w:pPr>
          </w:p>
        </w:tc>
        <w:tc>
          <w:tcPr>
            <w:tcW w:w="7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r>
              <w:rPr>
                <w:rFonts w:ascii="Times New Roman" w:cs="Times New Roman" w:eastAsia="Times New Roman" w:hAnsi="Times New Roman"/>
                <w:sz w:val="21"/>
                <w:szCs w:val="21"/>
                <w:color w:val="auto"/>
                <w:vertAlign w:val="superscript"/>
              </w:rPr>
              <w:t>(*)</w:t>
            </w: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389,307</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anti-dilutive shares excluded from diluted net income per common share primarily relate to out-of-the-money stock options.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ORGANIZATIONAL RESTRUCTURING</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fiscal 2025, the Company initiated an organizational restructuring of its offices-based workforce to right-size its cost structure and improve future profitability. In connection with this restructuring, the Company recorded charges of $9.8 million in Selling, general, and administrative expenses in fiscal 2025, primarily related to severance and other termination benefits.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April 4, 2026 and January 3, 2026, the Company had an accrual of $1.5 million and $8.8 million, respectively, related to these actions recorded in Other current liabilities on the condensed consolidated balance sheets. The Company expects to pay substantially all of the remaining severance and other termination benefits during the second quarter of fiscal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reports segment information based upon a “management approach.” The management approach refers to the internal reporting that is used by management for making operating decisions and assessing the performance of the Company’s reportable segments.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U.S. Retail, U.S. Wholesale, and International. The U.S. Retail segment consists of revenue primarily from sales of products in the United States through our retail stores, eCommerce websites, and mobile app. Similarly, the U.S. Wholesale segment consists of revenue primarily from sales in the United States of products to our wholesale partners. The International segment consists of revenue primarily from sales of products outside</w:t>
      </w:r>
    </w:p>
    <w:p>
      <w:pPr>
        <w:sectPr>
          <w:pgSz w:w="11900" w:h="16838" w:orient="portrait"/>
          <w:cols w:equalWidth="0" w:num="1">
            <w:col w:w="11220"/>
          </w:cols>
          <w:pgMar w:left="320" w:top="360" w:right="35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United States, largely through our retail stores and eCommerce websites in Canada and Mexico, and sales to our international wholesale customers and licensees. The Company sells similar products in each of its three segments.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 The Company does not evaluate performance or allocate resources based on segment asset data, and therefore total segment assets are not presented.</w:t>
      </w:r>
    </w:p>
    <w:p>
      <w:pPr>
        <w:spacing w:after="0" w:line="16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costs, including incentive compensation for certain employees, and various other general corporate costs that are not specifically allocable to segments, are included in unallocated corporate expenses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certain segment information for our reportable segments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Fiscal quarter ended April 4, 2026</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2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681,113</w:t>
            </w:r>
          </w:p>
        </w:tc>
        <w:tc>
          <w:tcPr>
            <w:tcW w:w="0" w:type="dxa"/>
            <w:vAlign w:val="bottom"/>
          </w:tcPr>
          <w:p>
            <w:pPr>
              <w:spacing w:after="0"/>
              <w:rPr>
                <w:sz w:val="1"/>
                <w:szCs w:val="1"/>
                <w:color w:val="auto"/>
              </w:rPr>
            </w:pPr>
          </w:p>
        </w:tc>
      </w:tr>
      <w:tr>
        <w:trPr>
          <w:trHeight w:val="208"/>
        </w:trPr>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387,240</w:t>
            </w: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08"/>
        </w:trPr>
        <w:tc>
          <w:tcPr>
            <w:tcW w:w="39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Distribution expenses</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40,894</w:t>
            </w:r>
          </w:p>
        </w:tc>
        <w:tc>
          <w:tcPr>
            <w:tcW w:w="0" w:type="dxa"/>
            <w:vAlign w:val="bottom"/>
          </w:tcPr>
          <w:p>
            <w:pPr>
              <w:spacing w:after="0"/>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46,288</w:t>
            </w:r>
          </w:p>
        </w:tc>
        <w:tc>
          <w:tcPr>
            <w:tcW w:w="0" w:type="dxa"/>
            <w:vAlign w:val="bottom"/>
          </w:tcPr>
          <w:p>
            <w:pPr>
              <w:spacing w:after="0"/>
              <w:rPr>
                <w:sz w:val="1"/>
                <w:szCs w:val="1"/>
                <w:color w:val="auto"/>
              </w:rPr>
            </w:pPr>
          </w:p>
        </w:tc>
      </w:tr>
      <w:tr>
        <w:trPr>
          <w:trHeight w:val="209"/>
        </w:trPr>
        <w:tc>
          <w:tcPr>
            <w:tcW w:w="3920" w:type="dxa"/>
            <w:vAlign w:val="bottom"/>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36,784</w:t>
            </w:r>
          </w:p>
        </w:tc>
        <w:tc>
          <w:tcPr>
            <w:tcW w:w="80" w:type="dxa"/>
            <w:vAlign w:val="bottom"/>
          </w:tcPr>
          <w:p>
            <w:pPr>
              <w:spacing w:after="0"/>
              <w:rPr>
                <w:sz w:val="21"/>
                <w:szCs w:val="21"/>
                <w:color w:val="auto"/>
              </w:rPr>
            </w:pPr>
          </w:p>
        </w:tc>
        <w:tc>
          <w:tcPr>
            <w:tcW w:w="3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115570</wp:posOffset>
            </wp:positionV>
            <wp:extent cx="464629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46295" cy="34290"/>
                    </a:xfrm>
                    <a:prstGeom prst="rect">
                      <a:avLst/>
                    </a:prstGeom>
                    <a:noFill/>
                  </pic:spPr>
                </pic:pic>
              </a:graphicData>
            </a:graphic>
          </wp:anchor>
        </w:drawing>
      </w:r>
    </w:p>
    <w:p>
      <w:pPr>
        <w:spacing w:after="0" w:line="34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expenses include the costs of operating our retail stores and eCommerce channels, as well as wholesale sales management costs.</w:t>
      </w:r>
    </w:p>
    <w:p>
      <w:pPr>
        <w:spacing w:after="0" w:line="68" w:lineRule="exact"/>
        <w:rPr>
          <w:rFonts w:ascii="Times New Roman" w:cs="Times New Roman" w:eastAsia="Times New Roman" w:hAnsi="Times New Roman"/>
          <w:sz w:val="14"/>
          <w:szCs w:val="14"/>
          <w:color w:val="auto"/>
        </w:rPr>
      </w:pPr>
    </w:p>
    <w:p>
      <w:pPr>
        <w:ind w:left="340" w:right="60" w:hanging="332"/>
        <w:spacing w:after="0" w:line="291"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expenses include payments to third-party shippers and handling costs to process product through our distribution facilities, including eCommerce fulfillment costs, and delivery to our wholesale customers and to our retail stores.</w:t>
      </w:r>
    </w:p>
    <w:p>
      <w:pPr>
        <w:spacing w:after="0" w:line="1"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Fiscal quarter ended March 29, 2025</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3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629,827</w:t>
            </w:r>
          </w:p>
        </w:tc>
      </w:tr>
      <w:tr>
        <w:trPr>
          <w:trHeight w:val="209"/>
        </w:trPr>
        <w:tc>
          <w:tcPr>
            <w:tcW w:w="3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338,737</w:t>
            </w:r>
          </w:p>
        </w:tc>
      </w:tr>
      <w:tr>
        <w:trPr>
          <w:trHeight w:val="208"/>
        </w:trPr>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148,165</w:t>
            </w:r>
          </w:p>
        </w:tc>
      </w:tr>
      <w:tr>
        <w:trPr>
          <w:trHeight w:val="208"/>
        </w:trPr>
        <w:tc>
          <w:tcPr>
            <w:tcW w:w="3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40,593</w:t>
            </w:r>
          </w:p>
        </w:tc>
      </w:tr>
      <w:tr>
        <w:trPr>
          <w:trHeight w:val="209"/>
        </w:trPr>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44,930</w:t>
            </w:r>
          </w:p>
        </w:tc>
      </w:tr>
      <w:tr>
        <w:trPr>
          <w:trHeight w:val="209"/>
        </w:trPr>
        <w:tc>
          <w:tcPr>
            <w:tcW w:w="38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44"/>
        </w:trPr>
        <w:tc>
          <w:tcPr>
            <w:tcW w:w="3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55,309</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57,402</w:t>
            </w:r>
          </w:p>
        </w:tc>
      </w:tr>
      <w:tr>
        <w:trPr>
          <w:trHeight w:val="181"/>
        </w:trPr>
        <w:tc>
          <w:tcPr>
            <w:tcW w:w="3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1"/>
        </w:trPr>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reportable segment operating income to Income before income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0" w:type="dxa"/>
            <w:vAlign w:val="bottom"/>
          </w:tcPr>
          <w:p>
            <w:pPr>
              <w:spacing w:after="0"/>
              <w:rPr>
                <w:sz w:val="1"/>
                <w:szCs w:val="1"/>
                <w:color w:val="auto"/>
              </w:rPr>
            </w:pPr>
          </w:p>
        </w:tc>
      </w:tr>
      <w:tr>
        <w:trPr>
          <w:trHeight w:val="208"/>
        </w:trPr>
        <w:tc>
          <w:tcPr>
            <w:tcW w:w="7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208"/>
        </w:trPr>
        <w:tc>
          <w:tcPr>
            <w:tcW w:w="75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57,402</w:t>
            </w:r>
          </w:p>
        </w:tc>
        <w:tc>
          <w:tcPr>
            <w:tcW w:w="0" w:type="dxa"/>
            <w:vAlign w:val="bottom"/>
          </w:tcPr>
          <w:p>
            <w:pPr>
              <w:spacing w:after="0"/>
              <w:rPr>
                <w:sz w:val="1"/>
                <w:szCs w:val="1"/>
                <w:color w:val="auto"/>
              </w:rPr>
            </w:pPr>
          </w:p>
        </w:tc>
      </w:tr>
      <w:tr>
        <w:trPr>
          <w:trHeight w:val="208"/>
        </w:trPr>
        <w:tc>
          <w:tcPr>
            <w:tcW w:w="7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Items not included in segment operating income:</w:t>
            </w: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21"/>
                <w:szCs w:val="21"/>
                <w:color w:val="auto"/>
                <w:vertAlign w:val="superscript"/>
              </w:rPr>
              <w:t>(1)</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(22,012)</w:t>
            </w:r>
          </w:p>
        </w:tc>
        <w:tc>
          <w:tcPr>
            <w:tcW w:w="0" w:type="dxa"/>
            <w:vAlign w:val="bottom"/>
          </w:tcPr>
          <w:p>
            <w:pPr>
              <w:spacing w:after="0"/>
              <w:rPr>
                <w:sz w:val="1"/>
                <w:szCs w:val="1"/>
                <w:color w:val="auto"/>
              </w:rPr>
            </w:pPr>
          </w:p>
        </w:tc>
      </w:tr>
      <w:tr>
        <w:trPr>
          <w:trHeight w:val="208"/>
        </w:trPr>
        <w:tc>
          <w:tcPr>
            <w:tcW w:w="75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(2)</w:t>
            </w:r>
          </w:p>
        </w:tc>
        <w:tc>
          <w:tcPr>
            <w:tcW w:w="4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0" w:type="dxa"/>
            <w:vAlign w:val="bottom"/>
          </w:tcPr>
          <w:p>
            <w:pPr>
              <w:spacing w:after="0"/>
              <w:rPr>
                <w:sz w:val="1"/>
                <w:szCs w:val="1"/>
                <w:color w:val="auto"/>
              </w:rPr>
            </w:pPr>
          </w:p>
        </w:tc>
      </w:tr>
      <w:tr>
        <w:trPr>
          <w:trHeight w:val="208"/>
        </w:trPr>
        <w:tc>
          <w:tcPr>
            <w:tcW w:w="75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(3)</w:t>
            </w:r>
          </w:p>
        </w:tc>
        <w:tc>
          <w:tcPr>
            <w:tcW w:w="4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08"/>
        </w:trPr>
        <w:tc>
          <w:tcPr>
            <w:tcW w:w="7560" w:type="dxa"/>
            <w:vAlign w:val="bottom"/>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26,102</w:t>
            </w:r>
          </w:p>
        </w:tc>
        <w:tc>
          <w:tcPr>
            <w:tcW w:w="0" w:type="dxa"/>
            <w:vAlign w:val="bottom"/>
          </w:tcPr>
          <w:p>
            <w:pPr>
              <w:spacing w:after="0"/>
              <w:rPr>
                <w:sz w:val="1"/>
                <w:szCs w:val="1"/>
                <w:color w:val="auto"/>
              </w:rPr>
            </w:pPr>
          </w:p>
        </w:tc>
      </w:tr>
      <w:tr>
        <w:trPr>
          <w:trHeight w:val="208"/>
        </w:trPr>
        <w:tc>
          <w:tcPr>
            <w:tcW w:w="7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0" w:type="dxa"/>
            <w:vAlign w:val="bottom"/>
          </w:tcPr>
          <w:p>
            <w:pPr>
              <w:spacing w:after="0"/>
              <w:rPr>
                <w:sz w:val="1"/>
                <w:szCs w:val="1"/>
                <w:color w:val="auto"/>
              </w:rPr>
            </w:pPr>
          </w:p>
        </w:tc>
      </w:tr>
      <w:tr>
        <w:trPr>
          <w:trHeight w:val="208"/>
        </w:trPr>
        <w:tc>
          <w:tcPr>
            <w:tcW w:w="7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0" w:type="dxa"/>
            <w:vAlign w:val="bottom"/>
          </w:tcPr>
          <w:p>
            <w:pPr>
              <w:spacing w:after="0"/>
              <w:rPr>
                <w:sz w:val="1"/>
                <w:szCs w:val="1"/>
                <w:color w:val="auto"/>
              </w:rPr>
            </w:pPr>
          </w:p>
        </w:tc>
      </w:tr>
      <w:tr>
        <w:trPr>
          <w:trHeight w:val="208"/>
        </w:trPr>
        <w:tc>
          <w:tcPr>
            <w:tcW w:w="7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net</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8"/>
        </w:trPr>
        <w:tc>
          <w:tcPr>
            <w:tcW w:w="75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19,856</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114935</wp:posOffset>
            </wp:positionV>
            <wp:extent cx="233997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9975" cy="34290"/>
                    </a:xfrm>
                    <a:prstGeom prst="rect">
                      <a:avLst/>
                    </a:prstGeom>
                    <a:noFill/>
                  </pic:spPr>
                </pic:pic>
              </a:graphicData>
            </a:graphic>
          </wp:anchor>
        </w:drawing>
      </w:r>
    </w:p>
    <w:p>
      <w:pPr>
        <w:spacing w:after="0" w:line="328" w:lineRule="exact"/>
        <w:rPr>
          <w:sz w:val="20"/>
          <w:szCs w:val="20"/>
          <w:color w:val="auto"/>
        </w:rPr>
      </w:pPr>
    </w:p>
    <w:p>
      <w:pPr>
        <w:ind w:left="340" w:right="160" w:hanging="332"/>
        <w:spacing w:after="0" w:line="28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reportable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5" w:lineRule="exact"/>
        <w:rPr>
          <w:rFonts w:ascii="Times New Roman" w:cs="Times New Roman" w:eastAsia="Times New Roman" w:hAnsi="Times New Roman"/>
          <w:sz w:val="14"/>
          <w:szCs w:val="14"/>
          <w:color w:val="auto"/>
        </w:rPr>
      </w:pPr>
    </w:p>
    <w:p>
      <w:pPr>
        <w:ind w:left="340" w:right="440" w:hanging="332"/>
        <w:spacing w:after="0" w:line="29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the Company’s former CEO, including accelerated vesting of outstanding time-based restricted stock awards pursuant to a retirement agreement approved by the Board, executive recruiting costs, and other related costs.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Data by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additional information for our reportable segments for the periods presented: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r>
      <w:tr>
        <w:trPr>
          <w:trHeight w:val="209"/>
        </w:trPr>
        <w:tc>
          <w:tcPr>
            <w:tcW w:w="7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7"/>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29, 2025</w:t>
            </w:r>
          </w:p>
        </w:tc>
      </w:tr>
      <w:tr>
        <w:trPr>
          <w:trHeight w:val="208"/>
        </w:trPr>
        <w:tc>
          <w:tcPr>
            <w:tcW w:w="7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Wholesale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r>
      <w:tr>
        <w:trPr>
          <w:trHeight w:val="208"/>
        </w:trPr>
        <w:tc>
          <w:tcPr>
            <w:tcW w:w="7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Retail</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9"/>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09"/>
        </w:trPr>
        <w:tc>
          <w:tcPr>
            <w:tcW w:w="7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08"/>
        </w:trPr>
        <w:tc>
          <w:tcPr>
            <w:tcW w:w="7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44"/>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w:t>
            </w:r>
          </w:p>
        </w:tc>
      </w:tr>
      <w:tr>
        <w:trPr>
          <w:trHeight w:val="207"/>
        </w:trPr>
        <w:tc>
          <w:tcPr>
            <w:tcW w:w="7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asset-based revolving credit facility, senior notes, and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1, 2026, subsequent to April 4, 2026, the Company announced that the Board approved the appointment of Sharon Price John as Chief Executive Officer &amp; President of the Company and a member of the Board effective June 15, 2026. In connection with the appointment of Ms. John, Douglas C. Palladini has departed the Company as Chief Executive Officer &amp; President and resigned as a member of the Board effective April 28, 2026. Effective April 28, 2026, Richard F. Westenberger, the Company’s Chief Financial Officer &amp; Chief Operating Officer, was appointed as Interim Chief Executive Officer &amp; President. Mr. Westenberger will maintain his existing responsibilities in addition to serving as Interim Chief Executive Officer &amp; President until Ms. John’s start date.</w:t>
      </w:r>
    </w:p>
    <w:p>
      <w:pPr>
        <w:spacing w:after="0" w:line="1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Ms. John’s appointment, the Company entered into an employment agreement with Ms. John, including certain cash and equity-based compensation arrangements. No amounts related to these events have been recognized in the condensed consolidated financial statements as of and for the fiscal quarter ended April 4, 2026. Additional information regarding these management changes and related arrangements is included in the Company’s Current Report on Form 8-K filed with the SEC on May 1, 2026.</w:t>
      </w:r>
    </w:p>
    <w:p>
      <w:pPr>
        <w:sectPr>
          <w:pgSz w:w="11900" w:h="16842" w:orient="portrait"/>
          <w:cols w:equalWidth="0" w:num="1">
            <w:col w:w="11240"/>
          </w:cols>
          <w:pgMar w:left="320" w:top="360" w:right="3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23" w:name="page24"/>
    <w:bookmarkEnd w:id="23"/>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those disclosed in Part II, Item 1A. “Risk Factors” of the Company’s Quarterly Report on Form 10-Q for the fiscal quarter ended April 4, 2026 and Part I, Item 1A. “Risk Factors” of the Company’s Annual Report on Form 10-K for the fiscal year ended January 3, 2026,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the roll-back of incremental tariffs imposed under the International Emergency Economic Powers Act (the “incremental tariffs”) and any additional actions taken in response to their roll-back, including tariffs imposed pursuant to Section 122 of the Trade Act of 1974 (the “122 tariffs”); our ability to recover refunds of incremental tariff amounts or other tariff amounts paid;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are North America’s largest and most-enduring apparel company exclusively for babies and young children. Our core brands are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B’gosh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iconic and among the sector’s most trusted names. Our exclusive</w:t>
      </w:r>
      <w:r>
        <w:rPr>
          <w:rFonts w:ascii="Times New Roman" w:cs="Times New Roman" w:eastAsia="Times New Roman" w:hAnsi="Times New Roman"/>
          <w:sz w:val="18"/>
          <w:szCs w:val="18"/>
          <w:i w:val="1"/>
          <w:iCs w:val="1"/>
          <w:color w:val="auto"/>
        </w:rPr>
        <w:t xml:space="preserve"> Carter’s </w:t>
      </w:r>
      <w:r>
        <w:rPr>
          <w:rFonts w:ascii="Times New Roman" w:cs="Times New Roman" w:eastAsia="Times New Roman" w:hAnsi="Times New Roman"/>
          <w:sz w:val="18"/>
          <w:szCs w:val="18"/>
          <w:color w:val="auto"/>
        </w:rPr>
        <w:t>brands, which consist of</w:t>
      </w:r>
      <w:r>
        <w:rPr>
          <w:rFonts w:ascii="Times New Roman" w:cs="Times New Roman" w:eastAsia="Times New Roman" w:hAnsi="Times New Roman"/>
          <w:sz w:val="18"/>
          <w:szCs w:val="18"/>
          <w:i w:val="1"/>
          <w:iCs w:val="1"/>
          <w:color w:val="auto"/>
        </w:rPr>
        <w:t xml:space="preserve"> Child of Mine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Just 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are developed for Walmart, Target, and Amazon. Our emerging brands include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crafted with organic fabrics and sustainable materials, </w:t>
      </w:r>
      <w:r>
        <w:rPr>
          <w:rFonts w:ascii="Times New Roman" w:cs="Times New Roman" w:eastAsia="Times New Roman" w:hAnsi="Times New Roman"/>
          <w:sz w:val="18"/>
          <w:szCs w:val="18"/>
          <w:i w:val="1"/>
          <w:iCs w:val="1"/>
          <w:color w:val="auto"/>
        </w:rPr>
        <w:t>Otter Avenue</w:t>
      </w:r>
      <w:r>
        <w:rPr>
          <w:rFonts w:ascii="Times New Roman" w:cs="Times New Roman" w:eastAsia="Times New Roman" w:hAnsi="Times New Roman"/>
          <w:sz w:val="18"/>
          <w:szCs w:val="18"/>
          <w:color w:val="auto"/>
        </w:rPr>
        <w:t xml:space="preserve">, a toddler-focused apparel brand,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baby essentials from tubs to toys.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4" w:name="page25"/>
    <w:bookmarkEnd w:id="24"/>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6249035" cy="1122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903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31"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18"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3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Launched in 2025, </w:t>
      </w:r>
      <w:r>
        <w:rPr>
          <w:rFonts w:ascii="Times New Roman" w:cs="Times New Roman" w:eastAsia="Times New Roman" w:hAnsi="Times New Roman"/>
          <w:sz w:val="18"/>
          <w:szCs w:val="18"/>
          <w:i w:val="1"/>
          <w:iCs w:val="1"/>
          <w:color w:val="auto"/>
        </w:rPr>
        <w:t>Otter Avenue</w:t>
      </w:r>
      <w:r>
        <w:rPr>
          <w:rFonts w:ascii="Times New Roman" w:cs="Times New Roman" w:eastAsia="Times New Roman" w:hAnsi="Times New Roman"/>
          <w:sz w:val="18"/>
          <w:szCs w:val="18"/>
          <w:color w:val="auto"/>
        </w:rPr>
        <w:t xml:space="preserve"> is a toddler brand that focuses on functionality designed to encourage independence, while combining fun, sophistication, and fashion-forward styles. This brand includes a curated assortment of toddler apparel and accessories.</w:t>
      </w:r>
    </w:p>
    <w:p>
      <w:pPr>
        <w:spacing w:after="0" w:line="13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Our multichannel, global business model, which includes retail stores, eCommerce, mobile app, and wholesale distribution channels, as well as omni-channel capabilities in the United States and Canada, enables us to reach a broad range of consumers around the world.</w:t>
      </w:r>
    </w:p>
    <w:p>
      <w:pPr>
        <w:spacing w:after="0" w:line="13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April 4, 2026, our channels included 1,062 company-operated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2025 fiscal year ended January 3,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 week fiscal calendar. Fiscal 2026 will end on January 2, 2027 and includes 52 weeks. Fiscal 2025 ended on January 3, 2026 and included 53 weeks. The fiscal quarters ended April 4, 2026 and March 29, 2025 each included 13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three operating and reportable segments: U.S. Retail, U.S. Wholesale, and International. Our U.S. Retail segment consists of revenue primarily from sales of products in the United States through our retail stores, eCommerce websites, and mobile app.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00" w:lineRule="exact"/>
        <w:rPr>
          <w:sz w:val="20"/>
          <w:szCs w:val="20"/>
          <w:color w:val="auto"/>
        </w:rPr>
      </w:pPr>
    </w:p>
    <w:p>
      <w:pPr>
        <w:spacing w:after="0" w:line="3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operating model improvement costs, restructuring costs, leadership transition costs, and impairment charges related to goodwill and indefinite-lived intangible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Gross profit represents consolidated net sales less cost of goods sold. Gross margin is calculated as gross profit divided by consolidated net sales. Cost of goods sold includes the cost of products, as well as changes in inventory reserves and expenses related to the merchandising, design, and procurement of product, including inbound freight costs, purchasing and receiving costs, and inspection costs. Costs of goods sold also includes the costs of shipping eCommerce orders directly to end consumers. For omni-channel transactions, Costs of goods sold includes the costs of shipping product to end consumers or to retail stores. Our gross profit and gross margin may not be comparable to other entities that define their metrics differently.</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Retail store occupancy costs, distribution expenses, and generally all other expenses other than interest and income taxes are included in Selling, general, and administrative (“SG&amp;A”) expenses. Distribution expenses included in SG&amp;A primarily consist of payments to third-party shippers and handling costs to process product through the Company’s distribution facilities, including eCommerce fulfillment costs, and delivery of product to wholesale customers and to our retail stores.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 Metrics</w:t>
      </w:r>
    </w:p>
    <w:p>
      <w:pPr>
        <w:spacing w:after="0" w:line="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 In fiscal years that include a 53rd week, we adjust the prior year comparable period to include a 53rd week so comparable sales reflect an equivalent number of weeks in each period.</w:t>
      </w:r>
    </w:p>
    <w:p>
      <w:pPr>
        <w:spacing w:after="0" w:line="1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Transition</w:t>
      </w:r>
    </w:p>
    <w:p>
      <w:pPr>
        <w:spacing w:after="0" w:line="1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On May 1, 2026, subsequent to April 4, 2026, the Company announced that the Board of Directors (the “Board”) approved the appointment of Sharon Price John as Chief Executive Officer &amp; President of the Company and a member of the Board effective June 15, 2026. In connection with the appointment of Ms. John, Douglas C. Palladini has departed the Company as Chief Executive Officer &amp; President and resigned as a member of the Board effective April 28, 2026. Effective April 28, 2026, Richard F. Westenberger, the Company’s Chief Financial Officer &amp; Chief Operating Officer, was appointed as Interim Chief Executive Officer &amp; President. Mr. Westenberger will maintain his existing responsibilities in addition to serving as interim Chief Executive Officer</w:t>
      </w:r>
    </w:p>
    <w:p>
      <w:pPr>
        <w:spacing w:after="0" w:line="3" w:lineRule="exact"/>
        <w:rPr>
          <w:sz w:val="20"/>
          <w:szCs w:val="20"/>
          <w:color w:val="auto"/>
        </w:rPr>
      </w:pPr>
    </w:p>
    <w:p>
      <w:pPr>
        <w:ind w:right="860" w:firstLine="8"/>
        <w:spacing w:after="0" w:line="260"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until Ms. John’s start date. Additional information regarding these management changes and related arrangements is included in the Company’s Current Report on Form 8-K filed with the SEC on May 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Policy</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the U.S. Supreme Court ruled that tariffs imposed under the International Emergency Economic Powers Act (“IEEPA”) were unlawful. Subsequent to April 4, 2026, following the April 20, 2026 launch of U.S. Customs and Border Protection’s Consolidated Administration and Processing of Entries (“CAPE”) process, the Company submitted claims seeking approximately $130 million of refunds of previously paid IEEPA tariffs through the CAPE system.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elected to apply a gain contingency model in accordance with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to account for potential recoveries of previously paid IEEPA tariffs. Under this model, a gain contingency is not recognized in the financial statements until the gain is realized or realizable. Any recovery, when recognized, would be reflected as a reduction of inventory to the extent the related goods remain on hand, or as a reduction of Cost of goods sold for amounts related to goods already sold.</w:t>
      </w:r>
    </w:p>
    <w:p>
      <w:pPr>
        <w:spacing w:after="0" w:line="1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April 4, 2026, the Company had not received any refund payments, and uncertainty remained regarding the timing, amount, and ultimate receipt of any refunds. Accordingly, no gain has been recognized in the condensed consolidated financial statements for the fiscal quarter ended April 4,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2026 Financial Highlights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comparisons are to the first quarter of fiscal 2025:</w:t>
      </w:r>
    </w:p>
    <w:p>
      <w:pPr>
        <w:spacing w:after="0" w:line="10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increased $51.3 million, or 8.1%, to $681.1 million.</w:t>
      </w:r>
    </w:p>
    <w:p>
      <w:pPr>
        <w:spacing w:after="0" w:line="63"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sales increased $37.8 million driven by higher unit volume and average unit retail (“AUR”) in both retail stores and eCommerce channels. Comparable net sales, including retail stores and eCommerce, increased 10.5% for the period, reflecting a fourth consecutive quarter of positive comparable net sales growth.</w:t>
      </w:r>
    </w:p>
    <w:p>
      <w:pPr>
        <w:spacing w:after="0" w:line="11"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Wholesale sales increased $1.3 million, driven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primarily offset by lower demand from department stores.</w:t>
      </w:r>
    </w:p>
    <w:p>
      <w:pPr>
        <w:spacing w:after="0" w:line="38"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increased $12.2 million, driven by growth in Mexico and Canada, as well as favorable changes in foreign currency exchange rates used for translation.</w:t>
      </w:r>
    </w:p>
    <w:p>
      <w:pPr>
        <w:spacing w:after="0" w:line="26"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increased $2.8 million, or 1.0%, to $293.9 million, driven by increased net sales, which were primarily offset by increased product costs. Consolidated gross margin decreased 310 bps to 43.1%, primarily due to higher average unit cost (“AUC”) driven by incremental tariff-related costs, partially offset by higher AUR.</w:t>
      </w:r>
    </w:p>
    <w:p>
      <w:pPr>
        <w:spacing w:after="0" w:line="5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SG&amp;A expenses decreased $0.3 million, or 0.1%, to $270.0 million. SG&amp;A as a percentage of consolidated net sales (“SG&amp;A rate”) decreased 330 bps to 39.6%, driven by fixed cost leverage on higher net sales and costs related to leadership transition and operating model improvements in the first quarter of fiscal 2025 that did not reoccur in the first quarter of fiscal 2026.</w:t>
      </w:r>
    </w:p>
    <w:p>
      <w:pPr>
        <w:spacing w:after="0" w:line="54"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increased $2.3 million, or 9.0%, to $28.4 million and adjusted operating income, a non-GAAP financial measure, decreased $6.9 million, or 19.6%, to $28.4 million. Operating margin increased 10 bps to 4.2%, primarily due to the factors discussed in detail below.</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decreased $1.2 million, or 7.7%, to $14.3 million driven by the factors we discuss in detail below, including an increase in interest expense of $3.9 million.</w:t>
      </w:r>
    </w:p>
    <w:p>
      <w:pPr>
        <w:spacing w:after="0" w:line="4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common share decreased $0.04, or 9.3%, to $0.39, and adjusted diluted net income per common share decreased $0.27, or 40.9%, to $0.39.</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fiscal 2026, we opened 3 stores and closed 9 stores in the United States.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$9.2 million to our shareholders in cash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ENDED APRIL 4, 2026 COMPARED TO FIRST FISCAL QUARTER ENDED MARCH 29,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30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 bps Change</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681,113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629,827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9"/>
                <w:szCs w:val="19"/>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338,737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293,873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291,090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(310) bps</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440"/>
              <w:spacing w:after="0"/>
              <w:rPr>
                <w:sz w:val="20"/>
                <w:szCs w:val="20"/>
                <w:color w:val="auto"/>
              </w:rPr>
            </w:pPr>
            <w:r>
              <w:rPr>
                <w:rFonts w:ascii="Times New Roman" w:cs="Times New Roman" w:eastAsia="Times New Roman" w:hAnsi="Times New Roman"/>
                <w:sz w:val="16"/>
                <w:szCs w:val="16"/>
                <w:i w:val="1"/>
                <w:iCs w:val="1"/>
                <w:color w:val="auto"/>
              </w:rPr>
              <w:t>Royalty income as % of consolidated net sales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 bps</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270,320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44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(330) bps</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26,102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 bps</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27.8 %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27.2 %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60 bps</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7"/>
        </w:trPr>
        <w:tc>
          <w:tcPr>
            <w:tcW w:w="40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If applicable, percentage changes that are not considered meaningful are denoted with “nm”.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net sales increased $51.3 million, or 8.1%, to $681.1 million, driven by increased net sales in each of our U.S. Retail, U.S. Wholesale, and International segments. AUR increased by a high-single digit percentage, reflecting higher pricing to mitigate incremental tariff-related costs and the favorable impact of changes in foreign currency exchange rates used for translation. Unit volume increased by a low-single digit percentage driven by growth across our U.S. Retail and International segments, partially offset by unit volume decline in U.S. Wholesale. Changes in foreign currency exchange rates used for translation had a favorable effect on our consolidated net sales of $5.6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Consolidated gross profit increased $2.8 million, or 1.0%, to $293.9 million and consolidated gross margin decreased 310 bps to 43.1%. The increase in consolidated gross profit was driven by higher net sales and favorable channel mix. The decrease in consolidated gross margin was driven by higher AUC, partially offset by favorable channel mix. AUC increased by a low-teens digit percentage, driven by incremental tariff-related costs and investments in product make. Incremental tariff-related costs unfavorably impacted Cost of goods sold by approximately $50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SG&amp;A expenses decreased $0.3 million, or 0.1%, to $270.0 million and SG&amp;A rate decreased 330 bps to 39.6%. This decrease in the SG&amp;A rate was driven by fixed cost leverage on higher net sales, as well as costs related to leadership transition and operating model improvements in the first quarter of fiscal 2025 that did not reoccur in the first quarter of fiscal 2026.</w:t>
      </w:r>
    </w:p>
    <w:p>
      <w:pPr>
        <w:sectPr>
          <w:pgSz w:w="11900" w:h="16838" w:orient="portrait"/>
          <w:cols w:equalWidth="0" w:num="1">
            <w:col w:w="11180"/>
          </w:cols>
          <w:pgMar w:left="320" w:top="360" w:right="39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Consolidated operating income increased $2.3 million, or 9.0%, to $28.4 million and consolidated operating margin increased 10 bps to 4.2%,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Consolidated interest expense increased $3.9 million, or 50.4%, to $11.8 million, reflecting the impact of the Company’s fourth quarter of fiscal 2025 issuance of $575.0 million principal amount of 7.375% senior notes due 2031 and redemption of $500.0 million principal amount of 5.625% senior notes due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Consolidated income tax provision decreased $0.3 million, or 5.0%, to $5.5 million, and the effective tax rate increased 60 bps to 27.8%. The increase in the effective tax rate was primarily driven by incremental tax expense related to the applicability of the global minimum tax in Hong Kong. This was partially offset by lower incremental tax expense associated with the vesting of restricted stock awards compared to the prior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 decreased $1.2 million, or 7.7%, to $14.3 million, primarily due to the factors previously discussed.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Quarter of Fiscal 2026 compared to First Quarter of Fiscal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segment and segment operating income for the first quarter of fiscal 2026 and the first quarter of fiscal 2025:</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8"/>
                <w:szCs w:val="18"/>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consolidated</w:t>
            </w:r>
          </w:p>
        </w:tc>
        <w:tc>
          <w:tcPr>
            <w:tcW w:w="120" w:type="dxa"/>
            <w:vAlign w:val="bottom"/>
          </w:tcPr>
          <w:p>
            <w:pPr>
              <w:spacing w:after="0"/>
              <w:rPr>
                <w:sz w:val="18"/>
                <w:szCs w:val="18"/>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332,248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Wholesale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97,459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Consolidated 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681,113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629,827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income (loss):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4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Retail</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291.6 %</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Wholesale</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International</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segment operating income (loss)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Items not included in segment operating</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operating margin</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operating margin</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(21,537)</w:t>
            </w:r>
          </w:p>
        </w:tc>
        <w:tc>
          <w:tcPr>
            <w:tcW w:w="120" w:type="dxa"/>
            <w:vAlign w:val="bottom"/>
          </w:tcPr>
          <w:p>
            <w:pPr>
              <w:spacing w:after="0"/>
              <w:rPr>
                <w:sz w:val="24"/>
                <w:szCs w:val="24"/>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(22,012)</w:t>
            </w:r>
          </w:p>
        </w:tc>
        <w:tc>
          <w:tcPr>
            <w:tcW w:w="100" w:type="dxa"/>
            <w:vAlign w:val="bottom"/>
          </w:tcPr>
          <w:p>
            <w:pPr>
              <w:spacing w:after="0"/>
              <w:rPr>
                <w:sz w:val="24"/>
                <w:szCs w:val="24"/>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38"/>
        </w:trPr>
        <w:tc>
          <w:tcPr>
            <w:tcW w:w="3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2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(2)</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32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(3)</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6"/>
        </w:trPr>
        <w:tc>
          <w:tcPr>
            <w:tcW w:w="3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40" w:hanging="332"/>
        <w:spacing w:after="0" w:line="28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 w:lineRule="exact"/>
        <w:rPr>
          <w:rFonts w:ascii="Times New Roman" w:cs="Times New Roman" w:eastAsia="Times New Roman" w:hAnsi="Times New Roman"/>
          <w:sz w:val="14"/>
          <w:szCs w:val="14"/>
          <w:color w:val="auto"/>
        </w:rPr>
      </w:pPr>
    </w:p>
    <w:p>
      <w:pPr>
        <w:jc w:val="both"/>
        <w:ind w:left="340" w:right="460" w:hanging="332"/>
        <w:spacing w:after="0" w:line="28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accelerated vesting of outstanding time-based restricted stock awards pursuant to a retirement agreement approved by the Board, executive recruiting costs, and other related costs. Amounts are reflected within Selling, general, and administrative expenses in our condensed consolidated statement of operations.</w:t>
      </w:r>
    </w:p>
    <w:p>
      <w:pPr>
        <w:spacing w:after="0" w:line="15" w:lineRule="exact"/>
        <w:rPr>
          <w:rFonts w:ascii="Times New Roman" w:cs="Times New Roman" w:eastAsia="Times New Roman" w:hAnsi="Times New Roman"/>
          <w:sz w:val="14"/>
          <w:szCs w:val="14"/>
          <w:color w:val="auto"/>
        </w:rPr>
      </w:pPr>
    </w:p>
    <w:p>
      <w:pPr>
        <w:ind w:left="340" w:right="320" w:hanging="332"/>
        <w:spacing w:after="0" w:line="28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 Amounts are reflected within Selling, general, and administrative expenses in our condensed consolidated statement of operations.</w:t>
      </w:r>
    </w:p>
    <w:p>
      <w:pPr>
        <w:sectPr>
          <w:pgSz w:w="11900" w:h="16838" w:orient="portrait"/>
          <w:cols w:equalWidth="0" w:num="1">
            <w:col w:w="11220"/>
          </w:cols>
          <w:pgMar w:left="320" w:top="360"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20"/>
          </w:cols>
          <w:pgMar w:left="320" w:top="360" w:right="359" w:bottom="0" w:gutter="0" w:footer="0" w:header="0"/>
          <w:type w:val="continuous"/>
        </w:sectPr>
      </w:pPr>
    </w:p>
    <w:bookmarkStart w:id="30" w:name="page31"/>
    <w:bookmarkEnd w:id="30"/>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U.S. Retail segment net sales increased $37.8 million, or 12.8%, to $332.2 million. The increase in net sales was driven by higher unit volume and higher AUR. Unit volume increased by a double-digit percentage driven by higher traffic and transactions in both stores and eCommerce. AUR increased by a low-single digit percentage, reflecting pricing actions to mitigate incremental tariff-related costs, partially offset by product mix, which reflects a higher proportion of opening price point product and clearance sales compared to the prior period. In addition, the first quarter of fiscal 2026 benefited from the timing of the Easter holiday.</w:t>
      </w:r>
    </w:p>
    <w:p>
      <w:pPr>
        <w:spacing w:after="0" w:line="1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Overall, demand trends continued to improve in the first quarter of fiscal 2026 as comparable net sales, including retail stores and eCommerce, increased 10.5% and delivered a fourth consecutive quarter of positive comparable net sales growth. As of April 4, 2026, we operated 798 retail stores in the U.S. compared to 804 as of January 3, 2026, and 802 as of March 29, 2025.</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U.S. Retail segment operating income increased $6.7 million, or 291.6%, to $9.0 million, due to an increase in gross profit of $13.9 million, partially offset by an increase in SG&amp;A expenses of $7.1 million. Segment operating margin increased 190 bps to 2.7%, primarily driven by a 460 bps decrease in SG&amp;A rate, partially offset by a 250 bps decrease in gross margin. The decrease in gross margin was driven by a high-single digit percentage increase in AUC as a result of incremental tariff-related costs, which was partially offset by increased AUR. The decrease in the SG&amp;A rate reflected fixed cost leverage on higher net sales, partially offset by inflationary pressure in store-related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9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U.S. Wholesale segment net sales increased $1.3 million, or 0.5%, to $251.4 million, driven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primarily offset by lower demand from department stores. AUR increased by a high-single digit percentage, reflecting pricing actions to mitigate incremental tariff-related costs. Unit volume decreased by a mid-single digit percentage primarily driven by lower demand from department stores.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U.S. Wholesale segment operating income decreased $18.5 million, or 33.5%, to $36.8 million, due to a decrease in gross profit of $19.8 million, partially offset by a decrease in SG&amp;A expenses of $1.7 million. Segment operating margin decreased 750 bps to 14.6%, driven by an 810 bps decrease in gross margin, partially offset by a 70 bps decrease in SG&amp;A rate. The decrease in gross margin was driven by higher AUC and customer mix, partially offset by higher AUR. AUC increased by a high-teen digit percentage as a result of incremental tariff-related costs and investments in product make. The decrease in the SG&amp;A rate was driven by lower distribution costs on lower unit volume and lower bad debt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International segment net sales increased $12.2 million, or 14.3%, to $97.5 million, driven by growth in Mexico and Canada. In Mexico, net sales growth reflected higher AUR, the contribution from new retail stores, and higher unit volume. Canadian comparable net sales, including retail store and eCommerce, increased 4.0%, driven by higher unit volume and the favorable impact of foreign currency exchange rates.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AUR increased by a high-single digit percentage, driven by pricing and the favorable impact of foreign currency exchange rates. International segment unit volume increased by a mid-single digit percentage, reflecting growth across the segment. Changes in foreign currency exchange rates used for translation had a $5.6 million favorable effect on International segment net sales.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April 4, 2026, we operated 191 and 73 retail stores in Canada and Mexico, respectively. As of January 3, 2026, we operated 192 and 72 retail stores in Canada and Mexico, respectively. As of March 29, 2025, we operated 191 and 64 retail stores in Canada and Mexico, respectively.</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International segment operating income was $4.2 million in the first quarter of fiscal 2026 compared to segment operating loss of $0.2 million in the first quarter of fiscal 2025. This change was driven by an increase in gross profit of $8.7 million, partially offset by an increase in SG&amp;A expenses of $4.1 million. Segment operating margin increased 460 bps to 4.3%, driven by a 340 bps increase in gross margin and a 150 bps decrease in the SG&amp;A rate. The increase in gross margin was driven by higher AUR and product mix, partially offset by a low-single digit percentage increase in AUC. The decrease in the SG&amp;A rate was driven by fixed cost leverage on increased net sales, partially offset by higher retail store rent and retail store employee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costs for our corporate headquarters, and other benefit and compensation programs, including performance-based compensation.</w:t>
      </w:r>
    </w:p>
    <w:p>
      <w:pPr>
        <w:spacing w:after="0" w:line="1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Unallocated corporate expenses decreased $0.5 million, or 2.2%, to $21.5 million. Unallocated corporate expenses, as a percentage of consolidated net sales, decreased 30 bps to 3.2%, driven by lower consulting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7"/>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3"/>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r>
      <w:tr>
        <w:trPr>
          <w:trHeight w:val="207"/>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Diluted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Diluted Net</w:t>
            </w:r>
          </w:p>
        </w:tc>
      </w:t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per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189"/>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w:t>
            </w:r>
          </w:p>
        </w:tc>
        <w:tc>
          <w:tcPr>
            <w:tcW w:w="10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Net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26"/>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earnings per share)</w:t>
            </w:r>
          </w:p>
        </w:tc>
        <w:tc>
          <w:tcPr>
            <w:tcW w:w="100" w:type="dxa"/>
            <w:vAlign w:val="bottom"/>
          </w:tcPr>
          <w:p>
            <w:pPr>
              <w:spacing w:after="0"/>
              <w:rPr>
                <w:sz w:val="19"/>
                <w:szCs w:val="19"/>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4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9"/>
                <w:szCs w:val="19"/>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195"/>
        </w:trPr>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0.43</w:t>
            </w:r>
          </w:p>
        </w:tc>
      </w:tr>
      <w:tr>
        <w:trPr>
          <w:trHeight w:val="209"/>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Leadership transition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30"/>
        </w:trPr>
        <w:tc>
          <w:tcPr>
            <w:tcW w:w="154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costs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model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30"/>
        </w:trPr>
        <w:tc>
          <w:tcPr>
            <w:tcW w:w="1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6"/>
                <w:szCs w:val="16"/>
                <w:color w:val="auto"/>
              </w:rPr>
              <w:t>improvement costs</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r>
      <w:tr>
        <w:trPr>
          <w:trHeight w:val="24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0.66</w:t>
            </w:r>
          </w:p>
        </w:tc>
      </w:tr>
      <w:tr>
        <w:trPr>
          <w:trHeight w:val="222"/>
        </w:trPr>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bl>
    <w:p>
      <w:pPr>
        <w:spacing w:after="0" w:line="126" w:lineRule="exact"/>
        <w:rPr>
          <w:sz w:val="20"/>
          <w:szCs w:val="20"/>
          <w:color w:val="auto"/>
        </w:rPr>
      </w:pPr>
    </w:p>
    <w:p>
      <w:pPr>
        <w:ind w:left="340" w:right="380" w:hanging="332"/>
        <w:spacing w:after="0" w:line="30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accelerated vesting of outstanding time-based restricted stock awards, executive recruiting costs, and other related costs.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asset-based revolving credit facility. We believe that our sources of liquidity are sufficient to meet our cash requirements for at least the next twelve months. However, these sources of liquidity may be affected by events described in “Forward-Looking Statements” section of this Form 10-Q, including, but not limited to, our risk factors discussed under the heading “Risk Factors” in Part II, Item 1A. of this Quarterly Report on Form 10-Q, the risk factors discussed under the heading “Risk Factors” in our most recently filed Annual Report on Form 10-K, and in other reports filed with the Securities and Exchange Commission from time to time.</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discussed under the heading “Known or Anticipated Trends” in our most recently filed Annual Report on Form 10-K, the impacts of new tariffs and other trade measures have had and may continue to have an adverse impact on our cost structure and supply chain, which may impact our working capital needs in the near term. While recent developments, including a decision by the U.S. Supreme Court that invalidated certain incremental tariffs, may affect our future exposure to these tariffs, the trade policy environment remains dynamic and the ultimate impacts are uncertain. We continue to evaluate and mitigate these impacts and may experience volatility in cash flows in the near term. However, we believe our sources of liquidity, including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available borrowing capacity under our secured asset-based revolving credit facility, will be sufficient to manage these developments.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April 4, 2026, we had $473.4 million of cash and cash equivalents held at major financial institutions, including $78.0 million held at financial institutions located outside of the United States. We do not expect any material restrictions on our ability to access or use cash held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accounts receivable at April 4, 2026 were $196.6 million compared to $203.9 million at March 29, 2025 and $178.6 million at January 3, 2026. The decrease of $7.3 million, or 3.6%, at April 4, 2026 compared to March 29, 2025 primarily reflects the timing of wholesale customer shipments. Due to the seasonal nature of our operations, the net accounts receivable balance at April 4, 2026 is not comparable to the net accounts receivable balance at January 3,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at April 4, 2026 were $465.9 million compared to $474.1 million at March 29, 2025 and $544.6 million at January 3, 2026. The decrease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$8.2 million, or 1.7%, at April 4, 2026 compared to March 29, 2025 was driven by lower days of supply, partially offset by incremental tariffs imposed on products imported into the United States.</w:t>
      </w:r>
    </w:p>
    <w:p>
      <w:pPr>
        <w:spacing w:after="0" w:line="1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at April 4, 2026 were $75.7 million compared to $50.2 million at March 29, 2025 and $60.5 million at January 3, 2026. The increase of $25.5 million, or 50.8%, at April 4, 2026 compared to March 29, 2025 was driven by the reclassification of Rabbi Trust assets from long-term to current to align with the anticipated settlement of associated deferred compensation liabilities in fiscal 2026.</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payable at April 4, 2026 were $188.7 million compared to $199.1 million at March 29, 2025 and $235.7 million at January 3, 2026. The decrease of $10.3 million, or 5.2%, at April 4, 2026 compared to March 29, 2025 was driven by the timing of payments for purchases of inventory. Due to the seasonal nature of our operations, the accounts payable balance at April 4, 2026 is not comparable to the accounts payable balance at January 3, 2026.</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current liabilities at April 4, 2026 were $111.3 million compared to $84.7 million at March 29, 2025 and $133.8 million at January 3, 2026. The increase of $26.6 million, or 31.4%, at April 4, 2026 compared to March 29, 2025 was primarily driven by the timing of interest payments on long-term debt and the reclassification of deferred compensation liabilities from long-term to current to reflect the anticipated settlement of plan participant balances.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long-term liabilities at April 4, 2026 were $16.4 million compared to $33.0 million at March 29, 2025 and $19.4 million at January 3, 2026. The decrease of $16.5 million, or 50.1%, at April 4, 2026 compared to March 29, 2025 was primarily driven by the reclassification of deferred compensation liabilities from long-term to current to reflect the anticipated settlement of plan participant balances.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10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first quarter of fiscal 2026 was $6.4 million compared to net cash used in operating activities of $48.6 million in the first quarter of fiscal 2025. Our cash flows from operating activities are driven by net income and changes in our net working capital. The increase in operating cash flow was primarily driven by higher sell through of inventory during the period, resulting in reduced days of supply, and the timing of interest payments on our senior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first quarter of fiscal 2026 was $7.0 million compared to $10.3 million in the first quarter of fiscal 2025. The decrease in net cash used in investing activities was driven by decreased capital expenditures. Capital expenditures in the first quarter of fiscal 2026 were driven by U.S. and international retail store openings and remodels and investments in our distribution facilities. We plan to invest approximately $55 million in capital expenditures in fiscal 2026, primarily for our retail store fleet, distribution facilities, and strategic information technology initiatives.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$12.2 million in the first quarter of fiscal 2026 compared to $33.6 million in the first quarter of fiscal 2025. This change in cash flow from financing activities was primarily driven by lower cash dividends distributed to shareholders during the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and retire shares in open market transactions in either of the first quarters of fiscal 2026 and fiscal 2025.</w:t>
      </w:r>
    </w:p>
    <w:p>
      <w:pPr>
        <w:spacing w:after="0" w:line="18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total remaining capacity under outstanding repurchase authorizations as of April 4, 2026, was approximately $599.0 million, based on settled repurchase transactions. The share repurchase authorizations have no expiration dates.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and considerations given to market conditions, stock price, other investment priorities, excise taxes, and other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2026, the Company’s Board declared, and the Company paid, a cash dividend per common share of $0.25. Additionally, in the first quarter of fiscal 2025, the Board declared, and the Company paid, a cash dividend per common share of $0.80. Our Board will evaluate future dividend declarations based on a number of factors, including restrictions under our secured asset-based revolving credit facility, business conditions, our financial performance, and other considerations.</w:t>
      </w:r>
    </w:p>
    <w:p>
      <w:pPr>
        <w:spacing w:after="0" w:line="5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Provisions in our secured asset-based revolving credit facility could have the effect of restricting our ability to pay cash dividends on, or make future repurchases of, our common stock, as further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w:t>
      </w:r>
      <w:r>
        <w:rPr>
          <w:rFonts w:ascii="Times New Roman" w:cs="Times New Roman" w:eastAsia="Times New Roman" w:hAnsi="Times New Roman"/>
          <w:sz w:val="18"/>
          <w:szCs w:val="18"/>
          <w:b w:val="1"/>
          <w:bCs w:val="1"/>
          <w:color w:val="auto"/>
        </w:rPr>
        <w:t>y</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April 4, 2026 and January 3, 2026, we had no outstanding borrowings under our secured asset-based revolving credit facility (“ABL facility”), exclusive of $5.5 million and $6.3 million of outstanding letters of credit, respectively. As of March 29, 2025, we had no outstanding borrowings under our secured cash-flow-based revolving credit facility, exclusive of $6.4 million of outstanding letters of credit. As of April 4, 2026, January 3, 2026, and March 29, 2025, there was approximately $605.2 million, $743.7 million, and $843.6 million available for future borrowing, respectively. Any outstanding borrowings under our ABL facility and secured cash-flow-based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17, 2025, the Company, through its wholly-owned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availability under the ABL facility was $605.2 million and $743.7 million as of April 4, 2026 and January 3, 2026, respectively.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April 4, 2026, the borrowing rate for a term Secured Overnight Financing Rate (“SOFR”) loan would have been 4.90%, which includes an excess availability-based adjustment of 1.25%.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was in compliance with its covenants and requirements under the ABL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April 4, 2026, the Company had $575.0 million principal amount of senior notes outstanding, bearing interest at a rate of 7.375% per annum, and maturing on February 15, 2031. On our condensed consolidated balance sheets, the $575.0 million of outstanding senior notes as of April 4, 2026 is reported net of $7.5 million of unamortized issuance-related debt costs.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13, 2025, TWCC issued the $575.0 million principal amount of senior notes due 2031. TWCC received net proceeds from the offering of the senior notes of approximately $567.0 million, after deducting underwriting fees and other expenses, which TWCC used to redeem the senior notes discussed below and for other general corporate purposes. Approximately $8.0 million, including both bank fees and other third-party expenses, was capitalized in connection with the issuance and is being amortized over the term of the senior notes.</w:t>
      </w:r>
    </w:p>
    <w:p>
      <w:pPr>
        <w:spacing w:after="0" w:line="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27, 2025,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2025 fiscal year ended January 3, 2026.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other indefinite-lived intangible assets,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2025, the Company performed an annual quantitative impairment test on the goodwill ascribed to each of the Company’s reporting units and on the value of its indefinite-lived intangible tradename assets as of January 3, 2026. The assumptions used in the quantitative impairment test of the goodwill of our reporting units include projected revenue growth and profitability, terminal growth rates, discount rates, market multiples, and applicable control premiums. The assumptions used in the quantitative impairment test of our indefinite-lived intangible tradename assets include projected revenue growth and profitability, terminal growth rates, discount rates, and royalty rates.</w:t>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Based upon this assessment, there were no impairments on the value of goodwill or indefinite-lived intangible tradename assets. The annual assessment indicated that the fair value of assets for the U.S. Wholesale, U.S. Retail and Other International reporting units exceeded its carrying values by at least 25%. The fair value of assets for the Canada reporting unit exceeded its carrying value by approximately 8%. The assessment indicated that the fair value of our indefinite-lived tradename assets exceeded the carrying values by at least 35%.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5" w:name="page36"/>
    <w:bookmarkEnd w:id="35"/>
    <w:p>
      <w:pPr>
        <w:ind w:left="14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RESULTS OF OPERATIONS (Continued)</w:t>
      </w:r>
    </w:p>
    <w:p>
      <w:pPr>
        <w:spacing w:after="0" w:line="2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Sensitivity tests on the Canada reporting unit showed that a 100 bps increase in the discount rate, 50 bps decrease in the long-term revenue growth rate, a 250 bps decrease in revenue growth rates, or a 50 bps decrease in operating margins would not change the conclusion and would not result in an impairment charge.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that the assumptions used in our impairment tests are reasonable and supportable as of April 4, 2026, and therefore, there were no impairment charges recorded in the first quarter of fiscal 2026. As of April 4, 2026, the carrying value of the goodwill ascribed to the Canada reporting unit was $38.0 million.</w:t>
      </w:r>
    </w:p>
    <w:p>
      <w:pPr>
        <w:spacing w:after="0" w:line="14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degree of uncertainty associated with the assumptions used in our impairment tests is elevated in the current macroeconomic environment due to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these assets mentioned above, to the goodwill ascribed to our other reporting units, or to our other indefinite-lived intangible tradename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6" w:name="page37"/>
    <w:bookmarkEnd w:id="36"/>
    <w:p>
      <w:pPr>
        <w:ind w:right="4060"/>
        <w:spacing w:after="0" w:line="362"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income (loss).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the first quarter of fiscal 2026, compared to the first quarter of fiscal 2025, had a $5.6 million favorable effect on our consolidated net sales.</w:t>
      </w:r>
    </w:p>
    <w:p>
      <w:pPr>
        <w:spacing w:after="0" w:line="1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operating results are subject to risk from interest rate fluctuations on our secured asset-based revolving credit facility, which carries variable interest rates. As of April 4, 2026, there were no variable rate borrowings outstanding under the secured asset-based revolving credit facility. As a result, the impact of a hypothetical 100 bps increase in the effective interest rate would not result in a material amount of additional interest expense over a 12-month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has evaluated the effectiveness of the design and operation of our disclosure controls and procedures (as defined under Rules 13a-15(e) and 15d-15(e) promulgated under the Securities Exchange Act of 1934, as amended (the “Exchange Act”) as of the end of the period covered by this Quarterly Report on Form 10-Q. Based upon that evaluation, our principal executive officer and principal financial officer has concluded that our disclosure controls and procedures are effective as of April 4,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April 4, 2026, that have materially affected, or which are reasonably likely to materially affect, Internal Control.</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April 4,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described in our Form 10-K for the 2025 fiscal year ended January 3, 2026.</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impacted by political and economic risks, including from the conflict between the United States, Israel, and Iran and related geopolitical instability, that we are exposed to as a result of our global operations.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frequent hostilities between Israel and Hamas, persistent conflict in the Red Sea region, terrorist attacks, and changes in diplomatic and trade relationships, any of which may have a significant adverse effect on our business, financial condition, and results of operations. Economic uncertainty in the United States and abroad has led to growing concerns about the systemic impact of rising energy costs, geopolitical issues, or the availability and cost of credit and higher interest rates, which could further lead to increased market volatility, decreased consumer confidence, and diminished growth expectations in the U.S. economy and abroad. As our customers react to global economic conditions 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in late February 2026, the United States and Israel launched coordinated military strikes against Iran, which retaliated with missile attacks across the region. Although we do not have material operations in the Middle East, the ongoing conflict and any further escalation, including additional military actions, retaliatory measures, sanctions, disruptions to trade or transportation routes, cyberattacks, or other governmental or market responses, has caused, and could continue to cause, significant disruptions of global energy supplies and increases in global energy prices, heightened inflationary pressures on our input costs and supply chain, negative effects on global supply chains, energy markets, commodity prices, currency exchange rates, financial markets and overall macroeconomic conditions, and adversely impact customer spending patterns in markets in which we operate. While we expect the impacts of conflict between the United States, Israel, and Iran to continue to have an effect on our business, financial condition, and results of operations, we are unable to predict the extent or nature of these impacts at this time.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38" w:name="page39"/>
    <w:bookmarkEnd w:id="38"/>
    <w:p>
      <w:pPr>
        <w:ind w:right="4140"/>
        <w:spacing w:after="0" w:line="36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Share Repurchases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first quarter of fiscal 2026:</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Total number of</w:t>
      </w:r>
    </w:p>
    <w:p>
      <w:pPr>
        <w:spacing w:after="0" w:line="37" w:lineRule="exact"/>
        <w:rPr>
          <w:sz w:val="20"/>
          <w:szCs w:val="20"/>
          <w:color w:val="auto"/>
        </w:rPr>
      </w:pPr>
    </w:p>
    <w:p>
      <w:pPr>
        <w:ind w:left="4800" w:right="140" w:hanging="4765"/>
        <w:spacing w:after="0" w:line="252" w:lineRule="auto"/>
        <w:tabs>
          <w:tab w:leader="none" w:pos="4780" w:val="left"/>
        </w:tabs>
        <w:rPr>
          <w:sz w:val="20"/>
          <w:szCs w:val="20"/>
          <w:color w:val="auto"/>
        </w:rPr>
      </w:pPr>
      <w:r>
        <w:rPr>
          <w:rFonts w:ascii="Times New Roman" w:cs="Times New Roman" w:eastAsia="Times New Roman" w:hAnsi="Times New Roman"/>
          <w:sz w:val="16"/>
          <w:szCs w:val="16"/>
          <w:b w:val="1"/>
          <w:bCs w:val="1"/>
          <w:color w:val="auto"/>
        </w:rPr>
        <w:t>Period</w:t>
      </w:r>
      <w:r>
        <w:rPr>
          <w:sz w:val="20"/>
          <w:szCs w:val="20"/>
          <w:color w:val="auto"/>
        </w:rPr>
        <w:tab/>
      </w:r>
      <w:r>
        <w:rPr>
          <w:rFonts w:ascii="Times New Roman" w:cs="Times New Roman" w:eastAsia="Times New Roman" w:hAnsi="Times New Roman"/>
          <w:sz w:val="15"/>
          <w:szCs w:val="15"/>
          <w:b w:val="1"/>
          <w:bCs w:val="1"/>
          <w:color w:val="auto"/>
        </w:rPr>
        <w:t>shares purchased</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189"/>
        </w:trPr>
        <w:tc>
          <w:tcPr>
            <w:tcW w:w="16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191"/>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6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0"/>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45"/>
        </w:trPr>
        <w:tc>
          <w:tcPr>
            <w:tcW w:w="16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(3)</w:t>
            </w:r>
          </w:p>
        </w:tc>
      </w:tr>
    </w:tbl>
    <w:p>
      <w:pPr>
        <w:spacing w:after="0" w:line="9" w:lineRule="exact"/>
        <w:rPr>
          <w:sz w:val="20"/>
          <w:szCs w:val="20"/>
          <w:color w:val="auto"/>
        </w:rPr>
      </w:pPr>
    </w:p>
    <w:p>
      <w:pPr>
        <w:sectPr>
          <w:pgSz w:w="11900" w:h="16838" w:orient="portrait"/>
          <w:cols w:equalWidth="0" w:num="2">
            <w:col w:w="5780" w:space="360"/>
            <w:col w:w="5100"/>
          </w:cols>
          <w:pgMar w:left="320" w:top="126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4, 2026 through January 31, 2026</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598,966,271</w:t>
            </w:r>
          </w:p>
        </w:tc>
      </w:tr>
      <w:tr>
        <w:trPr>
          <w:trHeight w:val="208"/>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62"/>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2026 through February 28, 2026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53,097</w:t>
            </w:r>
          </w:p>
        </w:tc>
        <w:tc>
          <w:tcPr>
            <w:tcW w:w="76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598,966,271</w:t>
            </w:r>
          </w:p>
        </w:tc>
      </w:tr>
      <w:tr>
        <w:trPr>
          <w:trHeight w:val="208"/>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62"/>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2026 through April 4, 2026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24,036</w:t>
            </w:r>
          </w:p>
        </w:tc>
        <w:tc>
          <w:tcPr>
            <w:tcW w:w="76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598,966,271</w:t>
            </w:r>
          </w:p>
        </w:tc>
      </w:tr>
      <w:tr>
        <w:trPr>
          <w:trHeight w:val="208"/>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62"/>
        </w:trPr>
        <w:tc>
          <w:tcPr>
            <w:tcW w:w="4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r>
      <w:tr>
        <w:trPr>
          <w:trHeight w:val="24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06"/>
        </w:trPr>
        <w:tc>
          <w:tcPr>
            <w:tcW w:w="4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53" w:lineRule="exact"/>
        <w:rPr>
          <w:sz w:val="20"/>
          <w:szCs w:val="20"/>
          <w:color w:val="auto"/>
        </w:rPr>
      </w:pPr>
    </w:p>
    <w:p>
      <w:pPr>
        <w:ind w:left="340" w:right="480" w:hanging="332"/>
        <w:spacing w:after="0" w:line="300"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shares purchased represent shares of our common stock surrendered by our employees to satisfy required tax withholding upon the vesting of restricted stock awards between January 4, 2026 and April 4, 2026.</w:t>
      </w:r>
    </w:p>
    <w:p>
      <w:pPr>
        <w:ind w:left="340" w:right="180" w:hanging="332"/>
        <w:spacing w:after="0" w:line="285"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did not repurchase shares in open market transactions during the first quarter of fiscal 2026. Refer to the open market repurchases as disclosed in Note 7,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to our accompanying unaudited condensed consolidated financial statements included in Part I. Item 1 of this Quarterly Report on Form 10-Q.</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 The share repurchase authorizations have no expiration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April 4, 2026,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340" w:type="dxa"/>
            <w:vAlign w:val="bottom"/>
          </w:tcPr>
          <w:p>
            <w:pPr>
              <w:spacing w:after="0"/>
              <w:rPr>
                <w:sz w:val="18"/>
                <w:szCs w:val="18"/>
                <w:color w:val="auto"/>
              </w:rPr>
            </w:pPr>
          </w:p>
        </w:tc>
      </w:tr>
      <w:tr>
        <w:trPr>
          <w:trHeight w:val="208"/>
        </w:trPr>
        <w:tc>
          <w:tcPr>
            <w:tcW w:w="9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4"/>
        </w:trPr>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2"/>
        </w:trPr>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1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208"/>
        </w:trPr>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83"/>
        </w:trPr>
        <w:tc>
          <w:tcPr>
            <w:tcW w:w="540" w:type="dxa"/>
            <w:vAlign w:val="bottom"/>
            <w:shd w:val="clear" w:color="auto" w:fill="CCEEFF"/>
          </w:tcPr>
          <w:p>
            <w:pPr>
              <w:jc w:val="center"/>
              <w:ind w:left="219"/>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20" w:type="dxa"/>
            <w:vAlign w:val="bottom"/>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Certificate of Incorporation of Carter’s, Inc</w:t>
              </w:r>
            </w:hyperlink>
            <w:r>
              <w:rPr>
                <w:rFonts w:ascii="Times New Roman" w:cs="Times New Roman" w:eastAsia="Times New Roman" w:hAnsi="Times New Roman"/>
                <w:sz w:val="16"/>
                <w:szCs w:val="16"/>
                <w:color w:val="000000"/>
              </w:rPr>
              <w:t>.</w:t>
            </w:r>
          </w:p>
        </w:tc>
        <w:tc>
          <w:tcPr>
            <w:tcW w:w="680" w:type="dxa"/>
            <w:vAlign w:val="bottom"/>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May 23, 2017</w:t>
            </w:r>
          </w:p>
        </w:tc>
        <w:tc>
          <w:tcPr>
            <w:tcW w:w="1340" w:type="dxa"/>
            <w:vAlign w:val="bottom"/>
            <w:shd w:val="clear" w:color="auto" w:fill="CCEEFF"/>
          </w:tcPr>
          <w:p>
            <w:pPr>
              <w:spacing w:after="0"/>
              <w:rPr>
                <w:sz w:val="15"/>
                <w:szCs w:val="15"/>
                <w:color w:val="auto"/>
              </w:rPr>
            </w:pPr>
          </w:p>
        </w:tc>
      </w:tr>
      <w:tr>
        <w:trPr>
          <w:trHeight w:val="223"/>
        </w:trPr>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880" w:type="dxa"/>
            <w:vAlign w:val="bottom"/>
            <w:tcBorders>
              <w:top w:val="single" w:sz="8" w:color="0000FF"/>
            </w:tcBorders>
            <w:shd w:val="clear" w:color="auto" w:fill="CCEEFF"/>
          </w:tcPr>
          <w:p>
            <w:pPr>
              <w:spacing w:after="0"/>
              <w:rPr>
                <w:sz w:val="19"/>
                <w:szCs w:val="19"/>
                <w:color w:val="auto"/>
              </w:rPr>
            </w:pPr>
          </w:p>
        </w:tc>
        <w:tc>
          <w:tcPr>
            <w:tcW w:w="90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r>
      <w:tr>
        <w:trPr>
          <w:trHeight w:val="189"/>
        </w:trPr>
        <w:tc>
          <w:tcPr>
            <w:tcW w:w="5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3.2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5"/>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Amended and Restated By-Laws of Carter’s, Inc.</w:t>
              </w:r>
            </w:hyperlink>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13, 2025</w:t>
            </w:r>
          </w:p>
        </w:tc>
        <w:tc>
          <w:tcPr>
            <w:tcW w:w="1340" w:type="dxa"/>
            <w:vAlign w:val="bottom"/>
          </w:tcPr>
          <w:p>
            <w:pPr>
              <w:spacing w:after="0"/>
              <w:rPr>
                <w:sz w:val="16"/>
                <w:szCs w:val="16"/>
                <w:color w:val="auto"/>
              </w:rPr>
            </w:pPr>
          </w:p>
        </w:tc>
      </w:t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rPr>
              <w:t>Form of Restricted Stock Award Agreement (Time Vesting) (2026 Grants Before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40" w:type="dxa"/>
            <w:vAlign w:val="bottom"/>
            <w:tcBorders>
              <w:top w:val="single" w:sz="8" w:color="0000FF"/>
            </w:tcBorders>
            <w:gridSpan w:val="1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2026 Amended Plan)</w:t>
            </w: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r>
      <w:tr>
        <w:trPr>
          <w:trHeight w:val="223"/>
        </w:trPr>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r>
      <w:tr>
        <w:trPr>
          <w:trHeight w:val="189"/>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Form of Restricted Stock Award Agreement (Two-Year Cliff Vesting) (2026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Grants Before 2026 Amended Plan)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rPr>
              <w:t>Form of Restricted Stock Award Agreement (Three-Year Cliff Vesting) (2026</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20" w:type="dxa"/>
            <w:vAlign w:val="bottom"/>
            <w:tcBorders>
              <w:top w:val="single" w:sz="8" w:color="0000FF"/>
            </w:tcBorders>
            <w:gridSpan w:val="11"/>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Grants Before 2026 Amended Plan)</w:t>
            </w:r>
          </w:p>
        </w:tc>
        <w:tc>
          <w:tcPr>
            <w:tcW w:w="260" w:type="dxa"/>
            <w:vAlign w:val="bottom"/>
            <w:tcBorders>
              <w:top w:val="single" w:sz="8" w:color="CCEEFF"/>
            </w:tcBorders>
            <w:gridSpan w:val="2"/>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r>
      <w:tr>
        <w:trPr>
          <w:trHeight w:val="223"/>
        </w:trPr>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r>
      <w:tr>
        <w:trPr>
          <w:trHeight w:val="189"/>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Form of Company Performance-Based Restricted Stock Agreement (2026 Grants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before 2026 Amended Plan)</w:t>
            </w:r>
          </w:p>
        </w:tc>
        <w:tc>
          <w:tcPr>
            <w:tcW w:w="2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rPr>
              <w:t>Form of rTSR Performance-Based Restricted Stock Agreement (2026 Grants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0" w:type="dxa"/>
            <w:vAlign w:val="bottom"/>
            <w:tcBorders>
              <w:top w:val="single" w:sz="8" w:color="0000FF"/>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before 2026 Amended Plan)</w:t>
            </w:r>
          </w:p>
        </w:tc>
        <w:tc>
          <w:tcPr>
            <w:tcW w:w="520" w:type="dxa"/>
            <w:vAlign w:val="bottom"/>
            <w:tcBorders>
              <w:top w:val="single" w:sz="8" w:color="CCEEFF"/>
            </w:tcBorders>
            <w:gridSpan w:val="5"/>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r>
      <w:tr>
        <w:trPr>
          <w:trHeight w:val="223"/>
        </w:trPr>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r>
      <w:tr>
        <w:trPr>
          <w:trHeight w:val="189"/>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5"/>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Offer Letter, dated April 27, 2026.</w:t>
              </w:r>
            </w:hyperlink>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8-K</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2026</w:t>
            </w:r>
          </w:p>
        </w:tc>
        <w:tc>
          <w:tcPr>
            <w:tcW w:w="1340" w:type="dxa"/>
            <w:vAlign w:val="bottom"/>
          </w:tcPr>
          <w:p>
            <w:pPr>
              <w:spacing w:after="0"/>
              <w:rPr>
                <w:sz w:val="16"/>
                <w:szCs w:val="16"/>
                <w:color w:val="auto"/>
              </w:rPr>
            </w:pPr>
          </w:p>
        </w:tc>
      </w:t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9"/>
        </w:trPr>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r>
              <w:rPr>
                <w:rFonts w:ascii="Times New Roman" w:cs="Times New Roman" w:eastAsia="Times New Roman" w:hAnsi="Times New Roman"/>
                <w:sz w:val="16"/>
                <w:szCs w:val="16"/>
                <w:color w:val="000000"/>
              </w:rPr>
              <w:t>.</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880" w:type="dxa"/>
            <w:vAlign w:val="bottom"/>
            <w:tcBorders>
              <w:top w:val="single" w:sz="8" w:color="0000FF"/>
            </w:tcBorders>
            <w:shd w:val="clear" w:color="auto" w:fill="CCEEFF"/>
          </w:tcPr>
          <w:p>
            <w:pPr>
              <w:spacing w:after="0"/>
              <w:rPr>
                <w:sz w:val="19"/>
                <w:szCs w:val="19"/>
                <w:color w:val="auto"/>
              </w:rPr>
            </w:pPr>
          </w:p>
        </w:tc>
        <w:tc>
          <w:tcPr>
            <w:tcW w:w="90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r>
      <w:tr>
        <w:trPr>
          <w:trHeight w:val="189"/>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2"/>
        </w:trPr>
        <w:tc>
          <w:tcPr>
            <w:tcW w:w="9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7"/>
                <w:szCs w:val="17"/>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 - the instant document does not appear in the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9"/>
        </w:trPr>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0"/>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2"/>
        </w:trPr>
        <w:tc>
          <w:tcPr>
            <w:tcW w:w="84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9"/>
                <w:szCs w:val="19"/>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9"/>
        </w:trPr>
        <w:tc>
          <w:tcPr>
            <w:tcW w:w="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9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9"/>
        </w:trPr>
        <w:tc>
          <w:tcPr>
            <w:tcW w:w="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20" w:type="dxa"/>
            <w:vAlign w:val="bottom"/>
          </w:tcPr>
          <w:p>
            <w:pPr>
              <w:spacing w:after="0"/>
              <w:rPr>
                <w:sz w:val="19"/>
                <w:szCs w:val="19"/>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8"/>
        </w:trPr>
        <w:tc>
          <w:tcPr>
            <w:tcW w:w="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4"/>
        </w:trPr>
        <w:tc>
          <w:tcPr>
            <w:tcW w:w="9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8"/>
        </w:trPr>
        <w:tc>
          <w:tcPr>
            <w:tcW w:w="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9"/>
                <w:szCs w:val="19"/>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9"/>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54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104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5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cover page from this Current Report on Form 10-Q formatted as Inline XBRL</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9"/>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0" w:name="page41"/>
    <w:bookmarkEnd w:id="40"/>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0" w:type="dxa"/>
        <w:tblCellMar>
          <w:top w:w="0" w:type="dxa"/>
          <w:left w:w="0" w:type="dxa"/>
          <w:bottom w:w="0" w:type="dxa"/>
          <w:right w:w="0" w:type="dxa"/>
        </w:tblCellMar>
      </w:tblP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May 6, 2026</w:t>
            </w:r>
          </w:p>
        </w:tc>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RICHARD F. WESTENBERGER</w:t>
            </w:r>
          </w:p>
        </w:tc>
      </w:tr>
      <w:tr>
        <w:trPr>
          <w:trHeight w:val="229"/>
        </w:trPr>
        <w:tc>
          <w:tcPr>
            <w:tcW w:w="2780" w:type="dxa"/>
            <w:vAlign w:val="bottom"/>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r>
      <w:tr>
        <w:trPr>
          <w:trHeight w:val="224"/>
        </w:trPr>
        <w:tc>
          <w:tcPr>
            <w:tcW w:w="27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F. Westenberger</w:t>
            </w:r>
          </w:p>
        </w:tc>
      </w:tr>
    </w:tbl>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Interim Chief Executive Officer &amp; President,</w:t>
      </w:r>
    </w:p>
    <w:p>
      <w:pPr>
        <w:spacing w:after="0" w:line="2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Chief Financial Officer &amp; Chief Operating Officer</w:t>
      </w:r>
    </w:p>
    <w:p>
      <w:pPr>
        <w:spacing w:after="0" w:line="2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(Principal Executive Officer &amp; Principal Financial &amp;</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340"/>
          </w:cols>
          <w:pgMar w:left="320" w:top="1440" w:right="1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 (Time Vesting)</w:t>
      </w:r>
    </w:p>
    <w:p>
      <w:pPr>
        <w:spacing w:after="0" w:line="156"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This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19" w:lineRule="exact"/>
        <w:rPr>
          <w:sz w:val="20"/>
          <w:szCs w:val="20"/>
          <w:color w:val="auto"/>
        </w:rPr>
      </w:pPr>
    </w:p>
    <w:p>
      <w:pPr>
        <w:ind w:left="660" w:right="560"/>
        <w:spacing w:after="0" w:line="395" w:lineRule="auto"/>
        <w:rPr>
          <w:sz w:val="20"/>
          <w:szCs w:val="20"/>
          <w:color w:val="auto"/>
        </w:rPr>
      </w:pPr>
      <w:r>
        <w:rPr>
          <w:rFonts w:ascii="Times New Roman" w:cs="Times New Roman" w:eastAsia="Times New Roman" w:hAnsi="Times New Roman"/>
          <w:sz w:val="21"/>
          <w:szCs w:val="21"/>
          <w:color w:val="auto"/>
        </w:rPr>
        <w:t>WHEREAS, the Company has adopted the Plan, pursuant to which awards of Restricted Stock may be granted; WHEREAS, the Participant has agreed to terms of employment with the Company or certain of its subsidiaries; and</w:t>
      </w:r>
    </w:p>
    <w:p>
      <w:pPr>
        <w:spacing w:after="0" w:line="2" w:lineRule="exact"/>
        <w:rPr>
          <w:sz w:val="20"/>
          <w:szCs w:val="20"/>
          <w:color w:val="auto"/>
        </w:rPr>
      </w:pPr>
    </w:p>
    <w:p>
      <w:pPr>
        <w:ind w:right="860" w:firstLine="648"/>
        <w:spacing w:after="0" w:line="258" w:lineRule="auto"/>
        <w:rPr>
          <w:sz w:val="20"/>
          <w:szCs w:val="20"/>
          <w:color w:val="auto"/>
        </w:rPr>
      </w:pPr>
      <w:r>
        <w:rPr>
          <w:rFonts w:ascii="Times New Roman" w:cs="Times New Roman" w:eastAsia="Times New Roman" w:hAnsi="Times New Roman"/>
          <w:sz w:val="22"/>
          <w:szCs w:val="22"/>
          <w:color w:val="auto"/>
        </w:rPr>
        <w:t>WHEREAS, as part of the Participant’s compensation, the Company wishes to grant the Participant the award of Restricted Stock, and Participant wishes to accept such grant through an online system, as provided for herein.</w:t>
      </w:r>
    </w:p>
    <w:p>
      <w:pPr>
        <w:spacing w:after="0" w:line="10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00" w:lineRule="exact"/>
        <w:rPr>
          <w:sz w:val="20"/>
          <w:szCs w:val="20"/>
          <w:color w:val="auto"/>
        </w:rPr>
      </w:pPr>
    </w:p>
    <w:p>
      <w:pPr>
        <w:ind w:left="660" w:right="20" w:hanging="328"/>
        <w:spacing w:after="0" w:line="237"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w:t>
      </w:r>
      <w:r>
        <w:rPr>
          <w:rFonts w:ascii="Times New Roman" w:cs="Times New Roman" w:eastAsia="Times New Roman" w:hAnsi="Times New Roman"/>
          <w:sz w:val="22"/>
          <w:szCs w:val="22"/>
          <w:color w:val="auto"/>
        </w:rPr>
        <w:t>. The Company hereby grants an Award to the Participant on the “Grant Date” shown in the “Award Details” box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“Grant Summary – Grant Detail” screen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consisting of the number of shares of Stock shown in the “Shares Granted” line of the “Award Details” box in the “Grant Summary – Grant Detail” screen (the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on the terms and conditions and subject to the restrictions described in this Agreement and in the Plan (which is incorporated herein by reference with the same effect as if set forth herein in full) in addition to such other restrictions, if any, as may be imposed by law.</w:t>
      </w:r>
    </w:p>
    <w:p>
      <w:pPr>
        <w:spacing w:after="0" w:line="107" w:lineRule="exact"/>
        <w:rPr>
          <w:rFonts w:ascii="Times New Roman" w:cs="Times New Roman" w:eastAsia="Times New Roman" w:hAnsi="Times New Roman"/>
          <w:sz w:val="22"/>
          <w:szCs w:val="22"/>
          <w:color w:val="auto"/>
        </w:rPr>
      </w:pPr>
    </w:p>
    <w:p>
      <w:pPr>
        <w:ind w:left="660" w:right="40" w:hanging="328"/>
        <w:spacing w:after="0" w:line="246"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same meaning as in the Plan. The term “vest” as used herein with respect to any Restricted Stock means the lapsing of the restrictions described herein with respect to such Restricted Stock.</w:t>
      </w:r>
    </w:p>
    <w:p>
      <w:pPr>
        <w:spacing w:after="0" w:line="113" w:lineRule="exact"/>
        <w:rPr>
          <w:rFonts w:ascii="Times New Roman" w:cs="Times New Roman" w:eastAsia="Times New Roman" w:hAnsi="Times New Roman"/>
          <w:sz w:val="22"/>
          <w:szCs w:val="22"/>
          <w:color w:val="auto"/>
        </w:rPr>
      </w:pPr>
    </w:p>
    <w:p>
      <w:pPr>
        <w:ind w:left="660" w:right="220" w:hanging="328"/>
        <w:spacing w:after="0" w:line="236"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 and, if any such attempt is made, the Restricted Stock will be forfeited by the Participant and all of the Participant’s rights to such Restricted Stock shall immediately terminate without any payment or consideration by the Company.</w:t>
      </w:r>
    </w:p>
    <w:p>
      <w:pPr>
        <w:spacing w:after="0" w:line="108" w:lineRule="exact"/>
        <w:rPr>
          <w:rFonts w:ascii="Times New Roman" w:cs="Times New Roman" w:eastAsia="Times New Roman" w:hAnsi="Times New Roman"/>
          <w:sz w:val="22"/>
          <w:szCs w:val="22"/>
          <w:color w:val="auto"/>
        </w:rPr>
      </w:pPr>
    </w:p>
    <w:p>
      <w:pPr>
        <w:ind w:left="660" w:right="420" w:hanging="328"/>
        <w:spacing w:after="0" w:line="263"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Forfeiture Risk</w:t>
      </w:r>
      <w:r>
        <w:rPr>
          <w:rFonts w:ascii="Times New Roman" w:cs="Times New Roman" w:eastAsia="Times New Roman" w:hAnsi="Times New Roman"/>
          <w:sz w:val="21"/>
          <w:szCs w:val="21"/>
          <w:color w:val="auto"/>
        </w:rPr>
        <w:t>. If the Participant’s Employment ceases for any reason, except as specifically provided in Paragraph 7</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below, any then-outstanding and unvested Restricted Stock shall be automatically and immediately forfeited. The Participant hereby (i) appoints the Company as the attorney-in-fact of the Participant to take such actions as</w:t>
      </w:r>
    </w:p>
    <w:p>
      <w:pPr>
        <w:sectPr>
          <w:pgSz w:w="11900" w:h="16838" w:orient="portrait"/>
          <w:cols w:equalWidth="0" w:num="1">
            <w:col w:w="11240"/>
          </w:cols>
          <w:pgMar w:left="320" w:top="1408" w:right="339" w:bottom="1440" w:gutter="0" w:footer="0" w:header="0"/>
        </w:sectPr>
      </w:pPr>
    </w:p>
    <w:bookmarkStart w:id="42" w:name="page43"/>
    <w:bookmarkEnd w:id="42"/>
    <w:p>
      <w:pPr>
        <w:ind w:left="328"/>
        <w:spacing w:after="0" w:line="236" w:lineRule="auto"/>
        <w:rPr>
          <w:sz w:val="20"/>
          <w:szCs w:val="20"/>
          <w:color w:val="auto"/>
        </w:rPr>
      </w:pPr>
      <w:r>
        <w:rPr>
          <w:rFonts w:ascii="Times New Roman" w:cs="Times New Roman" w:eastAsia="Times New Roman" w:hAnsi="Times New Roman"/>
          <w:sz w:val="22"/>
          <w:szCs w:val="22"/>
          <w:color w:val="auto"/>
        </w:rPr>
        <w:t>may be necessary or appropriate to effectuate a transfer of the record ownership of any such Restricted Stock that is unvested and forfeited hereunder; (ii) agrees to deliver to the 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spacing w:after="0" w:line="110" w:lineRule="exact"/>
        <w:rPr>
          <w:sz w:val="20"/>
          <w:szCs w:val="20"/>
          <w:color w:val="auto"/>
        </w:rPr>
      </w:pPr>
    </w:p>
    <w:p>
      <w:pPr>
        <w:ind w:left="328" w:right="20" w:hanging="328"/>
        <w:spacing w:after="0" w:line="246" w:lineRule="auto"/>
        <w:tabs>
          <w:tab w:leader="none" w:pos="3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 unvested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is held in book entry form, the Participant agrees that the Company may give stop transfer instructions to the depository to ensure compliance with the provisions hereof.</w:t>
      </w:r>
    </w:p>
    <w:p>
      <w:pPr>
        <w:spacing w:after="0" w:line="11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Vesting of Restricted Stock</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968" w:right="260" w:hanging="320"/>
        <w:spacing w:after="0" w:line="244" w:lineRule="auto"/>
        <w:tabs>
          <w:tab w:leader="none" w:pos="95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and subject to the Participant’s continued Employment through the applicable vesting date, the Restricted Stock acquired hereunder shall vest, in accordance with the provisions of this Agreement and applicable provisions of the Plan as follows:</w:t>
      </w:r>
    </w:p>
    <w:p>
      <w:pPr>
        <w:spacing w:after="0" w:line="119" w:lineRule="exact"/>
        <w:rPr>
          <w:rFonts w:ascii="Times New Roman" w:cs="Times New Roman" w:eastAsia="Times New Roman" w:hAnsi="Times New Roman"/>
          <w:sz w:val="22"/>
          <w:szCs w:val="22"/>
          <w:color w:val="auto"/>
        </w:rPr>
      </w:pPr>
    </w:p>
    <w:p>
      <w:pPr>
        <w:ind w:left="1628" w:hanging="446"/>
        <w:spacing w:after="0"/>
        <w:tabs>
          <w:tab w:leader="none" w:pos="162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One-fourth (1/4) of the award shall become vested on the first anniversary of the Grant Date;</w:t>
      </w:r>
    </w:p>
    <w:p>
      <w:pPr>
        <w:spacing w:after="0" w:line="152" w:lineRule="exact"/>
        <w:rPr>
          <w:rFonts w:ascii="Times New Roman" w:cs="Times New Roman" w:eastAsia="Times New Roman" w:hAnsi="Times New Roman"/>
          <w:sz w:val="22"/>
          <w:szCs w:val="22"/>
          <w:color w:val="auto"/>
        </w:rPr>
      </w:pPr>
    </w:p>
    <w:p>
      <w:pPr>
        <w:ind w:left="1628" w:hanging="506"/>
        <w:spacing w:after="0"/>
        <w:tabs>
          <w:tab w:leader="none" w:pos="162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One-fourth (1/4) of the award shall become vested on the second anniversary of the Grant Date;</w:t>
      </w:r>
    </w:p>
    <w:p>
      <w:pPr>
        <w:spacing w:after="0" w:line="152" w:lineRule="exact"/>
        <w:rPr>
          <w:rFonts w:ascii="Times New Roman" w:cs="Times New Roman" w:eastAsia="Times New Roman" w:hAnsi="Times New Roman"/>
          <w:sz w:val="22"/>
          <w:szCs w:val="22"/>
          <w:color w:val="auto"/>
        </w:rPr>
      </w:pPr>
    </w:p>
    <w:p>
      <w:pPr>
        <w:ind w:left="1628" w:hanging="566"/>
        <w:spacing w:after="0"/>
        <w:tabs>
          <w:tab w:leader="none" w:pos="162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One-fourth (1/4) of the award shall become vested on the third anniversary of the Grant Date; and</w:t>
      </w:r>
    </w:p>
    <w:p>
      <w:pPr>
        <w:spacing w:after="0" w:line="152" w:lineRule="exact"/>
        <w:rPr>
          <w:rFonts w:ascii="Times New Roman" w:cs="Times New Roman" w:eastAsia="Times New Roman" w:hAnsi="Times New Roman"/>
          <w:sz w:val="22"/>
          <w:szCs w:val="22"/>
          <w:color w:val="auto"/>
        </w:rPr>
      </w:pPr>
    </w:p>
    <w:p>
      <w:pPr>
        <w:ind w:left="1608" w:hanging="534"/>
        <w:spacing w:after="0"/>
        <w:tabs>
          <w:tab w:leader="none" w:pos="1608"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one-fourth (1/4) of the award shall become vested on the fourth anniversary of the Grant Date.</w:t>
      </w:r>
    </w:p>
    <w:p>
      <w:pPr>
        <w:spacing w:after="0" w:line="138" w:lineRule="exact"/>
        <w:rPr>
          <w:rFonts w:ascii="Times New Roman" w:cs="Times New Roman" w:eastAsia="Times New Roman" w:hAnsi="Times New Roman"/>
          <w:sz w:val="22"/>
          <w:szCs w:val="22"/>
          <w:color w:val="auto"/>
        </w:rPr>
      </w:pPr>
    </w:p>
    <w:p>
      <w:pPr>
        <w:ind w:left="968" w:right="580" w:hanging="320"/>
        <w:spacing w:after="0" w:line="258" w:lineRule="auto"/>
        <w:tabs>
          <w:tab w:leader="none" w:pos="96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Restricted Stock shall vest as to one hundred percent (100%) of the total number of Restricted Stock on the date a Covered Transaction is consummated.</w:t>
      </w:r>
    </w:p>
    <w:p>
      <w:pPr>
        <w:spacing w:after="0" w:line="104" w:lineRule="exact"/>
        <w:rPr>
          <w:rFonts w:ascii="Times New Roman" w:cs="Times New Roman" w:eastAsia="Times New Roman" w:hAnsi="Times New Roman"/>
          <w:sz w:val="22"/>
          <w:szCs w:val="22"/>
          <w:color w:val="auto"/>
        </w:rPr>
      </w:pPr>
    </w:p>
    <w:p>
      <w:pPr>
        <w:ind w:left="968" w:right="520" w:hanging="320"/>
        <w:spacing w:after="0" w:line="258" w:lineRule="auto"/>
        <w:tabs>
          <w:tab w:leader="none" w:pos="95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over which the Restricted Stock vests is referred to as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for purposes of this Agreement.</w:t>
      </w:r>
    </w:p>
    <w:p>
      <w:pPr>
        <w:spacing w:after="0" w:line="10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or Disability; Covered Transaction</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968" w:right="300" w:hanging="320"/>
        <w:spacing w:after="0" w:line="258" w:lineRule="auto"/>
        <w:tabs>
          <w:tab w:leader="none" w:pos="95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prior to the Restricted Stock vesting, one hundred percent (100%) of the Restricted Stock shall automatically vest upon Participant’s death.</w:t>
      </w:r>
    </w:p>
    <w:p>
      <w:pPr>
        <w:spacing w:after="0" w:line="104" w:lineRule="exact"/>
        <w:rPr>
          <w:rFonts w:ascii="Times New Roman" w:cs="Times New Roman" w:eastAsia="Times New Roman" w:hAnsi="Times New Roman"/>
          <w:sz w:val="22"/>
          <w:szCs w:val="22"/>
          <w:color w:val="auto"/>
        </w:rPr>
      </w:pPr>
    </w:p>
    <w:p>
      <w:pPr>
        <w:ind w:left="968" w:right="40" w:hanging="320"/>
        <w:spacing w:after="0" w:line="234" w:lineRule="auto"/>
        <w:tabs>
          <w:tab w:leader="none" w:pos="96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becomes disabled due to injury or illness and is unable to serve as an Employee for a period of time not exceeding six (6) months and returns to serve as an Employee after such disability, the Participant’s vesting schedule in the Restricted Stock will not be affected by such disability. If the Participant becomes disabled due to injury or illness and the Company, in its sole discretion, determines the Participant is unable to serve as Employee for a period of time reasonably expected to exceed six (6) months, one hundred percent (100%) of the Participant’s Restricted Stock will vest automatically upon such determination.</w:t>
      </w:r>
    </w:p>
    <w:p>
      <w:pPr>
        <w:sectPr>
          <w:pgSz w:w="11900" w:h="16838" w:orient="portrait"/>
          <w:cols w:equalWidth="0" w:num="1">
            <w:col w:w="10888"/>
          </w:cols>
          <w:pgMar w:left="652" w:top="1408" w:right="359" w:bottom="1440" w:gutter="0" w:footer="0" w:header="0"/>
        </w:sectPr>
      </w:pPr>
    </w:p>
    <w:bookmarkStart w:id="43" w:name="page44"/>
    <w:bookmarkEnd w:id="43"/>
    <w:p>
      <w:pPr>
        <w:ind w:left="968" w:hanging="320"/>
        <w:spacing w:after="0"/>
        <w:tabs>
          <w:tab w:leader="none" w:pos="968"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Transaction is consummated, the Restricted Stock shall vest as provided in Paragraph 6(b).</w:t>
      </w:r>
    </w:p>
    <w:p>
      <w:pPr>
        <w:spacing w:after="0" w:line="163" w:lineRule="exact"/>
        <w:rPr>
          <w:rFonts w:ascii="Times New Roman" w:cs="Times New Roman" w:eastAsia="Times New Roman" w:hAnsi="Times New Roman"/>
          <w:sz w:val="21"/>
          <w:szCs w:val="21"/>
          <w:color w:val="auto"/>
        </w:rPr>
      </w:pPr>
    </w:p>
    <w:p>
      <w:pPr>
        <w:ind w:left="968" w:right="400" w:hanging="320"/>
        <w:spacing w:after="0" w:line="244" w:lineRule="auto"/>
        <w:tabs>
          <w:tab w:leader="none" w:pos="96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7, any Restricted Stock that is unvested as of the date the Participant’s Employment is terminated shall be automatically forfeited on the date of such termination and all rights of the Participant to such unvested portion of the Restricted Stock shall be terminated.</w:t>
      </w:r>
    </w:p>
    <w:p>
      <w:pPr>
        <w:spacing w:after="0" w:line="115" w:lineRule="exact"/>
        <w:rPr>
          <w:rFonts w:ascii="Times New Roman" w:cs="Times New Roman" w:eastAsia="Times New Roman" w:hAnsi="Times New Roman"/>
          <w:sz w:val="22"/>
          <w:szCs w:val="22"/>
          <w:color w:val="auto"/>
        </w:rPr>
      </w:pPr>
    </w:p>
    <w:p>
      <w:pPr>
        <w:ind w:left="328" w:right="340" w:hanging="328"/>
        <w:spacing w:after="0" w:line="262"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Legend</w:t>
      </w:r>
      <w:r>
        <w:rPr>
          <w:rFonts w:ascii="Times New Roman" w:cs="Times New Roman" w:eastAsia="Times New Roman" w:hAnsi="Times New Roman"/>
          <w:sz w:val="22"/>
          <w:szCs w:val="22"/>
          <w:color w:val="auto"/>
        </w:rPr>
        <w:t>. Book entry records representing unvested Restricted Stock shall be held by the Company’s transfer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such records shall contain a legend substantially in the following form:</w:t>
      </w:r>
    </w:p>
    <w:p>
      <w:pPr>
        <w:spacing w:after="0" w:line="86" w:lineRule="exact"/>
        <w:rPr>
          <w:rFonts w:ascii="Times New Roman" w:cs="Times New Roman" w:eastAsia="Times New Roman" w:hAnsi="Times New Roman"/>
          <w:sz w:val="22"/>
          <w:szCs w:val="22"/>
          <w:color w:val="auto"/>
        </w:rPr>
      </w:pPr>
    </w:p>
    <w:p>
      <w:pPr>
        <w:ind w:left="328"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RESTRICTED STOCK AWARD AGREEMENT ENTERED INTO BETWEEN THE REGISTERED OWNER AND CARTER’S, INC. COPIES OF SUCH PLAN AND AGREEMENT ARE ON FILE IN THE OFFICES OF CARTER’S, INC.</w:t>
      </w:r>
    </w:p>
    <w:p>
      <w:pPr>
        <w:spacing w:after="0" w:line="122" w:lineRule="exact"/>
        <w:rPr>
          <w:rFonts w:ascii="Times New Roman" w:cs="Times New Roman" w:eastAsia="Times New Roman" w:hAnsi="Times New Roman"/>
          <w:sz w:val="22"/>
          <w:szCs w:val="22"/>
          <w:color w:val="auto"/>
        </w:rPr>
      </w:pPr>
    </w:p>
    <w:p>
      <w:pPr>
        <w:ind w:left="328" w:right="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22" w:lineRule="exact"/>
        <w:rPr>
          <w:rFonts w:ascii="Times New Roman" w:cs="Times New Roman" w:eastAsia="Times New Roman" w:hAnsi="Times New Roman"/>
          <w:sz w:val="22"/>
          <w:szCs w:val="22"/>
          <w:color w:val="auto"/>
        </w:rPr>
      </w:pPr>
    </w:p>
    <w:p>
      <w:pPr>
        <w:ind w:left="328" w:hanging="328"/>
        <w:spacing w:after="0" w:line="231"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Dividends Equivalents, etc</w:t>
      </w:r>
      <w:r>
        <w:rPr>
          <w:rFonts w:ascii="Times New Roman" w:cs="Times New Roman" w:eastAsia="Times New Roman" w:hAnsi="Times New Roman"/>
          <w:sz w:val="22"/>
          <w:szCs w:val="22"/>
          <w:color w:val="auto"/>
        </w:rPr>
        <w:t>. The Participant shall be entitled, as to one hundred percent (100%) of the total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shares, to (i) receive a cash payment equal to the amount of any and all dividends or other cash distributions paid with respect to those shares of Restricted Stock of which Participant is the record owner on the record date for such dividend or other distribution, and (ii) vote any shares of Stock of which Participant is the record owner on the record date for such vote;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property (other than cash) distributed with respect to any share of Restricted Stock (the “</w:t>
      </w:r>
      <w:r>
        <w:rPr>
          <w:rFonts w:ascii="Times New Roman" w:cs="Times New Roman" w:eastAsia="Times New Roman" w:hAnsi="Times New Roman"/>
          <w:sz w:val="22"/>
          <w:szCs w:val="22"/>
          <w:u w:val="single" w:color="auto"/>
          <w:color w:val="auto"/>
        </w:rPr>
        <w:t>Associated Share</w:t>
      </w:r>
      <w:r>
        <w:rPr>
          <w:rFonts w:ascii="Times New Roman" w:cs="Times New Roman" w:eastAsia="Times New Roman" w:hAnsi="Times New Roman"/>
          <w:sz w:val="22"/>
          <w:szCs w:val="22"/>
          <w:color w:val="auto"/>
        </w:rPr>
        <w:t xml:space="preserve">”) acquired hereunder,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2"/>
          <w:szCs w:val="22"/>
          <w:i w:val="1"/>
          <w:iCs w:val="1"/>
          <w:color w:val="auto"/>
        </w:rPr>
        <w:t>and further provided</w:t>
      </w:r>
      <w:r>
        <w:rPr>
          <w:rFonts w:ascii="Times New Roman" w:cs="Times New Roman" w:eastAsia="Times New Roman" w:hAnsi="Times New Roman"/>
          <w:sz w:val="22"/>
          <w:szCs w:val="22"/>
          <w:color w:val="auto"/>
        </w:rPr>
        <w:t>, that the Administrator may require that any cash distribution with respect to the Restricted Stock other than a normal cash dividend be placed in escrow or otherwise made subject to such restrictions as the Administrator deems appropriate to carry out the intent of the Plan. References in this Agreement to the Restricted Stock shall refer in the same way to any such restricted amounts.</w:t>
      </w:r>
    </w:p>
    <w:p>
      <w:pPr>
        <w:spacing w:after="0" w:line="128" w:lineRule="exact"/>
        <w:rPr>
          <w:rFonts w:ascii="Times New Roman" w:cs="Times New Roman" w:eastAsia="Times New Roman" w:hAnsi="Times New Roman"/>
          <w:sz w:val="22"/>
          <w:szCs w:val="22"/>
          <w:color w:val="auto"/>
        </w:rPr>
      </w:pPr>
    </w:p>
    <w:p>
      <w:pPr>
        <w:ind w:left="328" w:right="80" w:hanging="328"/>
        <w:spacing w:after="0" w:line="241"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Sale of Vested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understands that any sale of vested Restricted Stock by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ectPr>
          <w:pgSz w:w="11900" w:h="16838" w:orient="portrait"/>
          <w:cols w:equalWidth="0" w:num="1">
            <w:col w:w="10908"/>
          </w:cols>
          <w:pgMar w:left="652" w:top="1408" w:right="339" w:bottom="1440" w:gutter="0" w:footer="0" w:header="0"/>
        </w:sectPr>
      </w:pPr>
    </w:p>
    <w:bookmarkStart w:id="44" w:name="page45"/>
    <w:bookmarkEnd w:id="44"/>
    <w:p>
      <w:pPr>
        <w:ind w:left="328" w:hanging="328"/>
        <w:spacing w:after="0" w:line="243" w:lineRule="auto"/>
        <w:tabs>
          <w:tab w:leader="none" w:pos="3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Certain Tax Matters</w:t>
      </w:r>
      <w:r>
        <w:rPr>
          <w:rFonts w:ascii="Times New Roman" w:cs="Times New Roman" w:eastAsia="Times New Roman" w:hAnsi="Times New Roman"/>
          <w:sz w:val="21"/>
          <w:szCs w:val="21"/>
          <w:color w:val="auto"/>
        </w:rPr>
        <w:t>. The Participant expressly acknowledges that the Participant has been advised to confer promptly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Grant Date.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109" w:lineRule="exact"/>
        <w:rPr>
          <w:rFonts w:ascii="Times New Roman" w:cs="Times New Roman" w:eastAsia="Times New Roman" w:hAnsi="Times New Roman"/>
          <w:sz w:val="21"/>
          <w:szCs w:val="21"/>
          <w:color w:val="auto"/>
        </w:rPr>
      </w:pPr>
    </w:p>
    <w:p>
      <w:pPr>
        <w:ind w:left="328" w:right="120" w:hanging="328"/>
        <w:spacing w:after="0" w:line="262"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Clawback Policy, and by accepting this award, the Participant is agreeing to be bound by the Clawback Policy.</w:t>
      </w:r>
    </w:p>
    <w:p>
      <w:pPr>
        <w:spacing w:after="0" w:line="95" w:lineRule="exact"/>
        <w:rPr>
          <w:rFonts w:ascii="Times New Roman" w:cs="Times New Roman" w:eastAsia="Times New Roman" w:hAnsi="Times New Roman"/>
          <w:sz w:val="22"/>
          <w:szCs w:val="22"/>
          <w:color w:val="auto"/>
        </w:rPr>
      </w:pPr>
    </w:p>
    <w:p>
      <w:pPr>
        <w:ind w:left="328" w:right="20" w:hanging="328"/>
        <w:spacing w:after="0" w:line="238"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has read and understands the terms and provisions thereof and hereof, and accepts the Restricted Stock subject to all of the terms and conditions of the Plan and this Agreement. The Participant acknowledges that there may be adverse tax consequences upon the grant or vesting of the Restricted Stock or disposition of the underlying shares and that the Participant has been advised to consult his or her tax advisor prior to such grant, vesting, or disposition.</w:t>
      </w:r>
    </w:p>
    <w:p>
      <w:pPr>
        <w:spacing w:after="0" w:line="122" w:lineRule="exact"/>
        <w:rPr>
          <w:rFonts w:ascii="Times New Roman" w:cs="Times New Roman" w:eastAsia="Times New Roman" w:hAnsi="Times New Roman"/>
          <w:sz w:val="22"/>
          <w:szCs w:val="22"/>
          <w:color w:val="auto"/>
        </w:rPr>
      </w:pPr>
    </w:p>
    <w:p>
      <w:pPr>
        <w:jc w:val="both"/>
        <w:ind w:left="328" w:right="120" w:hanging="328"/>
        <w:spacing w:after="0" w:line="237"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21" w:lineRule="exact"/>
        <w:rPr>
          <w:rFonts w:ascii="Times New Roman" w:cs="Times New Roman" w:eastAsia="Times New Roman" w:hAnsi="Times New Roman"/>
          <w:sz w:val="22"/>
          <w:szCs w:val="22"/>
          <w:color w:val="auto"/>
        </w:rPr>
      </w:pPr>
    </w:p>
    <w:p>
      <w:pPr>
        <w:ind w:left="328" w:right="160" w:hanging="328"/>
        <w:spacing w:after="0" w:line="246"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Administrator for review. The resolution of such dispute by the Administrator shall be final and binding on the Participant and the Company.</w:t>
      </w:r>
    </w:p>
    <w:p>
      <w:pPr>
        <w:spacing w:after="0" w:line="113" w:lineRule="exact"/>
        <w:rPr>
          <w:rFonts w:ascii="Times New Roman" w:cs="Times New Roman" w:eastAsia="Times New Roman" w:hAnsi="Times New Roman"/>
          <w:sz w:val="22"/>
          <w:szCs w:val="22"/>
          <w:color w:val="auto"/>
        </w:rPr>
      </w:pPr>
    </w:p>
    <w:p>
      <w:pPr>
        <w:ind w:left="328" w:right="140" w:hanging="328"/>
        <w:spacing w:after="0" w:line="262"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Subject to Plan</w:t>
      </w:r>
      <w:r>
        <w:rPr>
          <w:rFonts w:ascii="Times New Roman" w:cs="Times New Roman" w:eastAsia="Times New Roman" w:hAnsi="Times New Roman"/>
          <w:sz w:val="22"/>
          <w:szCs w:val="22"/>
          <w:color w:val="auto"/>
        </w:rPr>
        <w:t>. This Agreement is subject to the Plan as approved by the Company’s shareholders.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the Plan as it may be amended</w:t>
      </w:r>
    </w:p>
    <w:p>
      <w:pPr>
        <w:sectPr>
          <w:pgSz w:w="11900" w:h="16838" w:orient="portrait"/>
          <w:cols w:equalWidth="0" w:num="1">
            <w:col w:w="10888"/>
          </w:cols>
          <w:pgMar w:left="652" w:top="1404" w:right="359" w:bottom="1440" w:gutter="0" w:footer="0" w:header="0"/>
        </w:sectPr>
      </w:pPr>
    </w:p>
    <w:bookmarkStart w:id="45" w:name="page46"/>
    <w:bookmarkEnd w:id="45"/>
    <w:p>
      <w:pPr>
        <w:ind w:left="660" w:right="260"/>
        <w:spacing w:after="0" w:line="244" w:lineRule="auto"/>
        <w:rPr>
          <w:sz w:val="20"/>
          <w:szCs w:val="20"/>
          <w:color w:val="auto"/>
        </w:rPr>
      </w:pPr>
      <w:r>
        <w:rPr>
          <w:rFonts w:ascii="Times New Roman" w:cs="Times New Roman" w:eastAsia="Times New Roman" w:hAnsi="Times New Roman"/>
          <w:sz w:val="22"/>
          <w:szCs w:val="22"/>
          <w:color w:val="auto"/>
        </w:rPr>
        <w:t>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15" w:lineRule="exact"/>
        <w:rPr>
          <w:sz w:val="20"/>
          <w:szCs w:val="20"/>
          <w:color w:val="auto"/>
        </w:rPr>
      </w:pPr>
    </w:p>
    <w:p>
      <w:pPr>
        <w:ind w:left="660" w:right="40" w:hanging="328"/>
        <w:spacing w:after="0" w:line="236"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pacing w:after="0" w:line="119" w:lineRule="exact"/>
        <w:rPr>
          <w:rFonts w:ascii="Times New Roman" w:cs="Times New Roman" w:eastAsia="Times New Roman" w:hAnsi="Times New Roman"/>
          <w:sz w:val="22"/>
          <w:szCs w:val="22"/>
          <w:color w:val="auto"/>
        </w:rPr>
      </w:pPr>
    </w:p>
    <w:p>
      <w:pPr>
        <w:jc w:val="both"/>
        <w:ind w:left="660" w:right="20" w:hanging="328"/>
        <w:spacing w:after="0" w:line="246"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enforceability of any other provision of the Plan or this Agreement, and each provision of the Plan and this Agreement shall be severable and enforceable to the extent permitted by law.</w:t>
      </w:r>
    </w:p>
    <w:p>
      <w:pPr>
        <w:spacing w:after="0" w:line="113" w:lineRule="exact"/>
        <w:rPr>
          <w:rFonts w:ascii="Times New Roman" w:cs="Times New Roman" w:eastAsia="Times New Roman" w:hAnsi="Times New Roman"/>
          <w:sz w:val="22"/>
          <w:szCs w:val="22"/>
          <w:color w:val="auto"/>
        </w:rPr>
      </w:pPr>
    </w:p>
    <w:p>
      <w:pPr>
        <w:ind w:left="660" w:right="20" w:hanging="328"/>
        <w:spacing w:after="0" w:line="238"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 Company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22" w:lineRule="exact"/>
        <w:rPr>
          <w:rFonts w:ascii="Times New Roman" w:cs="Times New Roman" w:eastAsia="Times New Roman" w:hAnsi="Times New Roman"/>
          <w:sz w:val="22"/>
          <w:szCs w:val="22"/>
          <w:color w:val="auto"/>
        </w:rPr>
      </w:pPr>
    </w:p>
    <w:p>
      <w:pPr>
        <w:ind w:left="660" w:right="24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18" w:lineRule="exact"/>
        <w:rPr>
          <w:rFonts w:ascii="Times New Roman" w:cs="Times New Roman" w:eastAsia="Times New Roman" w:hAnsi="Times New Roman"/>
          <w:sz w:val="22"/>
          <w:szCs w:val="22"/>
          <w:color w:val="auto"/>
        </w:rPr>
      </w:pPr>
    </w:p>
    <w:p>
      <w:pPr>
        <w:ind w:left="660" w:hanging="328"/>
        <w:spacing w:after="0" w:line="238"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2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ectPr>
          <w:pgSz w:w="11900" w:h="16838" w:orient="portrait"/>
          <w:cols w:equalWidth="0" w:num="1">
            <w:col w:w="11180"/>
          </w:cols>
          <w:pgMar w:left="320" w:top="1408" w:right="399" w:bottom="1440" w:gutter="0" w:footer="0" w:header="0"/>
        </w:sectPr>
      </w:pPr>
    </w:p>
    <w:bookmarkStart w:id="46" w:name="page47"/>
    <w:bookmarkEnd w:id="46"/>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 (Cliff Vesting)</w:t>
      </w:r>
    </w:p>
    <w:p>
      <w:pPr>
        <w:spacing w:after="0" w:line="156"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This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has adopted the Plan, pursuant to which awards of Restricted Stock may be granted;</w:t>
      </w:r>
    </w:p>
    <w:p>
      <w:pPr>
        <w:spacing w:after="0" w:line="139" w:lineRule="exact"/>
        <w:rPr>
          <w:sz w:val="20"/>
          <w:szCs w:val="20"/>
          <w:color w:val="auto"/>
        </w:rPr>
      </w:pPr>
    </w:p>
    <w:p>
      <w:pPr>
        <w:jc w:val="both"/>
        <w:ind w:right="560" w:firstLine="648"/>
        <w:spacing w:after="0" w:line="244" w:lineRule="auto"/>
        <w:rPr>
          <w:sz w:val="20"/>
          <w:szCs w:val="20"/>
          <w:color w:val="auto"/>
        </w:rPr>
      </w:pPr>
      <w:r>
        <w:rPr>
          <w:rFonts w:ascii="Times New Roman" w:cs="Times New Roman" w:eastAsia="Times New Roman" w:hAnsi="Times New Roman"/>
          <w:sz w:val="22"/>
          <w:szCs w:val="22"/>
          <w:color w:val="auto"/>
        </w:rPr>
        <w:t>WHEREAS, the Participant has agreed to terms of employment with the Company or certain of its subsidiaries; and WHEREAS, as part of the Participant’s compensation, the Company wishes to grant the Participant the award of Restricted Stock, and Participant wishes to accept such grant through an online system, as provided for herein.</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00" w:lineRule="exact"/>
        <w:rPr>
          <w:sz w:val="20"/>
          <w:szCs w:val="20"/>
          <w:color w:val="auto"/>
        </w:rPr>
      </w:pPr>
    </w:p>
    <w:p>
      <w:pPr>
        <w:ind w:left="660" w:right="20" w:hanging="328"/>
        <w:spacing w:after="0" w:line="237"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w:t>
      </w:r>
      <w:r>
        <w:rPr>
          <w:rFonts w:ascii="Times New Roman" w:cs="Times New Roman" w:eastAsia="Times New Roman" w:hAnsi="Times New Roman"/>
          <w:sz w:val="22"/>
          <w:szCs w:val="22"/>
          <w:color w:val="auto"/>
        </w:rPr>
        <w:t>. The Company hereby grants an Award to the Participant on the “Grant Date” shown in the “Award Details” box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“Grant Summary – Grant Detail” screen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consisting of the number of shares of Stock shown in the “Shares Granted” line of the “Award Details” box in the “Grant Summary – Grant Detail” screen (the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on the terms and conditions and subject to the restrictions described in this Agreement and in the Plan (which is incorporated herein by reference with the same effect as if set forth herein in full) in addition to such other restrictions, if any, as may be imposed by law.</w:t>
      </w:r>
    </w:p>
    <w:p>
      <w:pPr>
        <w:spacing w:after="0" w:line="107" w:lineRule="exact"/>
        <w:rPr>
          <w:rFonts w:ascii="Times New Roman" w:cs="Times New Roman" w:eastAsia="Times New Roman" w:hAnsi="Times New Roman"/>
          <w:sz w:val="22"/>
          <w:szCs w:val="22"/>
          <w:color w:val="auto"/>
        </w:rPr>
      </w:pPr>
    </w:p>
    <w:p>
      <w:pPr>
        <w:ind w:left="660" w:right="40" w:hanging="328"/>
        <w:spacing w:after="0" w:line="246"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same meaning as in the Plan. The term “vest” as used herein with respect to any Restricted Stock means the lapsing of the restrictions described herein with respect to such Restricted Stock.</w:t>
      </w:r>
    </w:p>
    <w:p>
      <w:pPr>
        <w:spacing w:after="0" w:line="113" w:lineRule="exact"/>
        <w:rPr>
          <w:rFonts w:ascii="Times New Roman" w:cs="Times New Roman" w:eastAsia="Times New Roman" w:hAnsi="Times New Roman"/>
          <w:sz w:val="22"/>
          <w:szCs w:val="22"/>
          <w:color w:val="auto"/>
        </w:rPr>
      </w:pPr>
    </w:p>
    <w:p>
      <w:pPr>
        <w:ind w:left="660" w:right="220" w:hanging="328"/>
        <w:spacing w:after="0" w:line="236"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 and, if any such attempt is made, the Restricted Stock will be forfeited by the Participant and all of the Participant’s rights to such Restricted Stock shall immediately terminate without any payment or consideration by the Company.</w:t>
      </w:r>
    </w:p>
    <w:p>
      <w:pPr>
        <w:spacing w:after="0" w:line="108" w:lineRule="exact"/>
        <w:rPr>
          <w:rFonts w:ascii="Times New Roman" w:cs="Times New Roman" w:eastAsia="Times New Roman" w:hAnsi="Times New Roman"/>
          <w:sz w:val="22"/>
          <w:szCs w:val="22"/>
          <w:color w:val="auto"/>
        </w:rPr>
      </w:pPr>
    </w:p>
    <w:p>
      <w:pPr>
        <w:ind w:left="660" w:right="80" w:hanging="328"/>
        <w:spacing w:after="0" w:line="238"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Forfeiture Risk</w:t>
      </w:r>
      <w:r>
        <w:rPr>
          <w:rFonts w:ascii="Times New Roman" w:cs="Times New Roman" w:eastAsia="Times New Roman" w:hAnsi="Times New Roman"/>
          <w:sz w:val="22"/>
          <w:szCs w:val="22"/>
          <w:color w:val="auto"/>
        </w:rPr>
        <w:t>. If the Participant’s Employment ceases for any reason, except as specifically provided in Paragraph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below, any then-outstanding and unvested Restricted Stock shall be automatically and immediately forfeited. The Participant hereby (i) appoints the Company as the attorney-in-fact of the Participant to take such actions as may be necessary or appropriate to effectuate a transfer of the record ownership of any such Restricted Stock that is unvested and forfeited hereunder; (ii) agrees to deliver to the</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5" w:lineRule="exact"/>
        <w:rPr>
          <w:sz w:val="20"/>
          <w:szCs w:val="20"/>
          <w:color w:val="auto"/>
        </w:rPr>
      </w:pPr>
    </w:p>
    <w:p>
      <w:pPr>
        <w:ind w:left="328" w:right="400"/>
        <w:spacing w:after="0" w:line="239" w:lineRule="auto"/>
        <w:rPr>
          <w:sz w:val="20"/>
          <w:szCs w:val="20"/>
          <w:color w:val="auto"/>
        </w:rPr>
      </w:pPr>
      <w:r>
        <w:rPr>
          <w:rFonts w:ascii="Times New Roman" w:cs="Times New Roman" w:eastAsia="Times New Roman" w:hAnsi="Times New Roman"/>
          <w:sz w:val="22"/>
          <w:szCs w:val="22"/>
          <w:color w:val="auto"/>
        </w:rPr>
        <w:t>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spacing w:after="0" w:line="122" w:lineRule="exact"/>
        <w:rPr>
          <w:sz w:val="20"/>
          <w:szCs w:val="20"/>
          <w:color w:val="auto"/>
        </w:rPr>
      </w:pPr>
    </w:p>
    <w:p>
      <w:pPr>
        <w:ind w:left="328" w:right="40" w:hanging="328"/>
        <w:spacing w:after="0"/>
        <w:tabs>
          <w:tab w:leader="none" w:pos="3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 unvested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is held in book entry form, the Participant agrees that the Company may give stop transfer instructions to the depository to ensure compliance with the provisions hereof.</w:t>
      </w:r>
    </w:p>
    <w:p>
      <w:pPr>
        <w:spacing w:after="0" w:line="11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Vesting of Restricted Stock</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968" w:hanging="320"/>
        <w:spacing w:after="0" w:line="239" w:lineRule="auto"/>
        <w:tabs>
          <w:tab w:leader="none" w:pos="95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and subject to the Participant’s continued Employment through the applicable vesting date, the Restricted Stock acquired hereunder shall vest as to one hundred percent (100%) of the total number of Restricted Stock, in accordance with the provisions of this Agreement and applicable provisions of the Plan, on the second (2</w:t>
      </w:r>
      <w:r>
        <w:rPr>
          <w:rFonts w:ascii="Times New Roman" w:cs="Times New Roman" w:eastAsia="Times New Roman" w:hAnsi="Times New Roman"/>
          <w:sz w:val="11"/>
          <w:szCs w:val="11"/>
          <w:color w:val="auto"/>
        </w:rPr>
        <w:t>nd</w:t>
      </w:r>
      <w:r>
        <w:rPr>
          <w:rFonts w:ascii="Times New Roman" w:cs="Times New Roman" w:eastAsia="Times New Roman" w:hAnsi="Times New Roman"/>
          <w:sz w:val="22"/>
          <w:szCs w:val="22"/>
          <w:color w:val="auto"/>
        </w:rPr>
        <w:t>) anniversary of the Grant Date.</w:t>
      </w:r>
    </w:p>
    <w:p>
      <w:pPr>
        <w:spacing w:after="0" w:line="126" w:lineRule="exact"/>
        <w:rPr>
          <w:rFonts w:ascii="Times New Roman" w:cs="Times New Roman" w:eastAsia="Times New Roman" w:hAnsi="Times New Roman"/>
          <w:sz w:val="22"/>
          <w:szCs w:val="22"/>
          <w:color w:val="auto"/>
        </w:rPr>
      </w:pPr>
    </w:p>
    <w:p>
      <w:pPr>
        <w:ind w:left="968" w:right="600" w:hanging="320"/>
        <w:spacing w:after="0" w:line="258" w:lineRule="auto"/>
        <w:tabs>
          <w:tab w:leader="none" w:pos="96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Restricted Stock shall vest as to one hundred percent (100%) of the total number of Restricted Stock on the date a Covered Transaction is consummated.</w:t>
      </w:r>
    </w:p>
    <w:p>
      <w:pPr>
        <w:spacing w:after="0" w:line="104" w:lineRule="exact"/>
        <w:rPr>
          <w:rFonts w:ascii="Times New Roman" w:cs="Times New Roman" w:eastAsia="Times New Roman" w:hAnsi="Times New Roman"/>
          <w:sz w:val="22"/>
          <w:szCs w:val="22"/>
          <w:color w:val="auto"/>
        </w:rPr>
      </w:pPr>
    </w:p>
    <w:p>
      <w:pPr>
        <w:ind w:left="968" w:right="540" w:hanging="320"/>
        <w:spacing w:after="0" w:line="258" w:lineRule="auto"/>
        <w:tabs>
          <w:tab w:leader="none" w:pos="95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over which the Restricted Stock vests is referred to as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for purposes of this Agreement.</w:t>
      </w:r>
    </w:p>
    <w:p>
      <w:pPr>
        <w:spacing w:after="0" w:line="10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or Disability; Covered Transaction</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968" w:right="320" w:hanging="320"/>
        <w:spacing w:after="0" w:line="258" w:lineRule="auto"/>
        <w:tabs>
          <w:tab w:leader="none" w:pos="95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prior to the Restricted Stock vesting, one hundred percent (100%) of the Restricted Stock shall automatically vest upon Participant’s death.</w:t>
      </w:r>
    </w:p>
    <w:p>
      <w:pPr>
        <w:spacing w:after="0" w:line="104" w:lineRule="exact"/>
        <w:rPr>
          <w:rFonts w:ascii="Times New Roman" w:cs="Times New Roman" w:eastAsia="Times New Roman" w:hAnsi="Times New Roman"/>
          <w:sz w:val="22"/>
          <w:szCs w:val="22"/>
          <w:color w:val="auto"/>
        </w:rPr>
      </w:pPr>
    </w:p>
    <w:p>
      <w:pPr>
        <w:ind w:left="968" w:right="60" w:hanging="320"/>
        <w:spacing w:after="0" w:line="236" w:lineRule="auto"/>
        <w:tabs>
          <w:tab w:leader="none" w:pos="96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becomes disabled due to injury or illness and is unable to serve as an Employee for a period of time not exceeding six (6) months and returns to serve as an Employee after such disability, the Participant’s vesting schedule in the Restricted Stock will not be affected by such disability. If the Participant becomes disabled due to injury or illness and the Company, in its sole discretion, determines the Participant is unable to serve as Employee for a period of time reasonably expected to exceed six (6) months, one hundred percent (100%) of the Participant’s Restricted Stock will vest automatically upon such determination.</w:t>
      </w:r>
    </w:p>
    <w:p>
      <w:pPr>
        <w:spacing w:after="0" w:line="12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Transaction is consummated, the Restricted Stock shall vest as provided in Paragraph 6(b).</w:t>
      </w:r>
    </w:p>
    <w:p>
      <w:pPr>
        <w:spacing w:after="0" w:line="163" w:lineRule="exact"/>
        <w:rPr>
          <w:rFonts w:ascii="Times New Roman" w:cs="Times New Roman" w:eastAsia="Times New Roman" w:hAnsi="Times New Roman"/>
          <w:sz w:val="21"/>
          <w:szCs w:val="21"/>
          <w:color w:val="auto"/>
        </w:rPr>
      </w:pPr>
    </w:p>
    <w:p>
      <w:pPr>
        <w:ind w:left="968" w:right="400" w:hanging="320"/>
        <w:spacing w:after="0" w:line="238" w:lineRule="auto"/>
        <w:tabs>
          <w:tab w:leader="none" w:pos="96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7, any Restricted Stock that is unvested as of the date the Participant’s Employment is terminated shall be automatically forfeited on the date of such termination and all rights of the Participant to such unvested portion of the Restricted Stock shall be terminated.</w:t>
      </w:r>
    </w:p>
    <w:p>
      <w:pPr>
        <w:spacing w:after="0" w:line="120" w:lineRule="exact"/>
        <w:rPr>
          <w:rFonts w:ascii="Times New Roman" w:cs="Times New Roman" w:eastAsia="Times New Roman" w:hAnsi="Times New Roman"/>
          <w:sz w:val="22"/>
          <w:szCs w:val="22"/>
          <w:color w:val="auto"/>
        </w:rPr>
      </w:pPr>
    </w:p>
    <w:p>
      <w:pPr>
        <w:ind w:left="328" w:right="340" w:hanging="328"/>
        <w:spacing w:after="0" w:line="262" w:lineRule="auto"/>
        <w:tabs>
          <w:tab w:leader="none" w:pos="3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Legend</w:t>
      </w:r>
      <w:r>
        <w:rPr>
          <w:rFonts w:ascii="Times New Roman" w:cs="Times New Roman" w:eastAsia="Times New Roman" w:hAnsi="Times New Roman"/>
          <w:sz w:val="22"/>
          <w:szCs w:val="22"/>
          <w:color w:val="auto"/>
        </w:rPr>
        <w:t>. Book entry records representing unvested Restricted Stock shall be held by the Company’s transfer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such records shall contain a legend substantially in the following form:</w:t>
      </w:r>
    </w:p>
    <w:p>
      <w:pPr>
        <w:sectPr>
          <w:pgSz w:w="11900" w:h="16838" w:orient="portrait"/>
          <w:cols w:equalWidth="0" w:num="1">
            <w:col w:w="10908"/>
          </w:cols>
          <w:pgMar w:left="652" w:top="1440" w:right="339" w:bottom="1440" w:gutter="0" w:footer="0" w:header="0"/>
        </w:sectPr>
      </w:pPr>
    </w:p>
    <w:bookmarkStart w:id="48" w:name="page49"/>
    <w:bookmarkEnd w:id="48"/>
    <w:p>
      <w:pPr>
        <w:spacing w:after="0" w:line="185" w:lineRule="exact"/>
        <w:rPr>
          <w:sz w:val="20"/>
          <w:szCs w:val="20"/>
          <w:color w:val="auto"/>
        </w:rPr>
      </w:pPr>
    </w:p>
    <w:p>
      <w:pPr>
        <w:ind w:left="328" w:right="120"/>
        <w:spacing w:after="0" w:line="238" w:lineRule="auto"/>
        <w:rPr>
          <w:sz w:val="20"/>
          <w:szCs w:val="20"/>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RESTRICTED STOCK AWARD AGREEMENT ENTERED INTO BETWEEN THE REGISTERED OWNER AND CARTER’S, INC. COPIES OF SUCH PLAN AND AGREEMENT ARE ON FILE IN THE OFFICES OF CARTER’S, INC.</w:t>
      </w:r>
    </w:p>
    <w:p>
      <w:pPr>
        <w:spacing w:after="0" w:line="123" w:lineRule="exact"/>
        <w:rPr>
          <w:sz w:val="20"/>
          <w:szCs w:val="20"/>
          <w:color w:val="auto"/>
        </w:rPr>
      </w:pPr>
    </w:p>
    <w:p>
      <w:pPr>
        <w:ind w:left="328" w:right="60"/>
        <w:spacing w:after="0" w:line="236" w:lineRule="auto"/>
        <w:rPr>
          <w:sz w:val="20"/>
          <w:szCs w:val="20"/>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21" w:lineRule="exact"/>
        <w:rPr>
          <w:sz w:val="20"/>
          <w:szCs w:val="20"/>
          <w:color w:val="auto"/>
        </w:rPr>
      </w:pPr>
    </w:p>
    <w:p>
      <w:pPr>
        <w:ind w:left="328" w:hanging="328"/>
        <w:spacing w:after="0" w:line="232" w:lineRule="auto"/>
        <w:tabs>
          <w:tab w:leader="none" w:pos="3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Dividends Equivalents, etc</w:t>
      </w:r>
      <w:r>
        <w:rPr>
          <w:rFonts w:ascii="Times New Roman" w:cs="Times New Roman" w:eastAsia="Times New Roman" w:hAnsi="Times New Roman"/>
          <w:sz w:val="22"/>
          <w:szCs w:val="22"/>
          <w:color w:val="auto"/>
        </w:rPr>
        <w:t>. The Participant shall be entitled, as to one hundred percent (100%) of the total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shares, to (i) receive a cash payment equal to the amount of any and all dividends or other cash distributions paid with respect to those shares of Restricted Stock of which Participant is the record owner on the record date for such dividend or other distribution, and (ii) vote any shares of Stock of which Participant is the record owner on the record date for such vote;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property (other than cash) distributed with respect to any share of Restricted Stock(the “</w:t>
      </w:r>
      <w:r>
        <w:rPr>
          <w:rFonts w:ascii="Times New Roman" w:cs="Times New Roman" w:eastAsia="Times New Roman" w:hAnsi="Times New Roman"/>
          <w:sz w:val="22"/>
          <w:szCs w:val="22"/>
          <w:u w:val="single" w:color="auto"/>
          <w:color w:val="auto"/>
        </w:rPr>
        <w:t>Associated Share</w:t>
      </w:r>
      <w:r>
        <w:rPr>
          <w:rFonts w:ascii="Times New Roman" w:cs="Times New Roman" w:eastAsia="Times New Roman" w:hAnsi="Times New Roman"/>
          <w:sz w:val="22"/>
          <w:szCs w:val="22"/>
          <w:color w:val="auto"/>
        </w:rPr>
        <w:t xml:space="preserve">”) acquired hereunder,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2"/>
          <w:szCs w:val="22"/>
          <w:i w:val="1"/>
          <w:iCs w:val="1"/>
          <w:color w:val="auto"/>
        </w:rPr>
        <w:t>and further provided</w:t>
      </w:r>
      <w:r>
        <w:rPr>
          <w:rFonts w:ascii="Times New Roman" w:cs="Times New Roman" w:eastAsia="Times New Roman" w:hAnsi="Times New Roman"/>
          <w:sz w:val="22"/>
          <w:szCs w:val="22"/>
          <w:color w:val="auto"/>
        </w:rPr>
        <w:t>, that the Administrator may require that any cash distribution with respect to the Restricted Stock other than a normal cash dividend be placed in escrow or otherwise made subject to such restrictions as the Administrator deems appropriate to carry out the intent of the Plan. References in this Agreement to the Restricted Stock shall refer in the same way to any such restricted amounts.</w:t>
      </w:r>
    </w:p>
    <w:p>
      <w:pPr>
        <w:spacing w:after="0" w:line="128" w:lineRule="exact"/>
        <w:rPr>
          <w:rFonts w:ascii="Times New Roman" w:cs="Times New Roman" w:eastAsia="Times New Roman" w:hAnsi="Times New Roman"/>
          <w:sz w:val="22"/>
          <w:szCs w:val="22"/>
          <w:color w:val="auto"/>
        </w:rPr>
      </w:pPr>
    </w:p>
    <w:p>
      <w:pPr>
        <w:ind w:left="328" w:right="80" w:hanging="328"/>
        <w:spacing w:after="0" w:line="241" w:lineRule="auto"/>
        <w:tabs>
          <w:tab w:leader="none" w:pos="3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Sale of Vested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understands that any sale of vested Restricted Stock by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17" w:lineRule="exact"/>
        <w:rPr>
          <w:rFonts w:ascii="Times New Roman" w:cs="Times New Roman" w:eastAsia="Times New Roman" w:hAnsi="Times New Roman"/>
          <w:sz w:val="22"/>
          <w:szCs w:val="22"/>
          <w:color w:val="auto"/>
        </w:rPr>
      </w:pPr>
    </w:p>
    <w:p>
      <w:pPr>
        <w:ind w:left="328" w:right="40" w:hanging="328"/>
        <w:spacing w:after="0" w:line="245" w:lineRule="auto"/>
        <w:tabs>
          <w:tab w:leader="none" w:pos="3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Certain Tax Matters</w:t>
      </w:r>
      <w:r>
        <w:rPr>
          <w:rFonts w:ascii="Times New Roman" w:cs="Times New Roman" w:eastAsia="Times New Roman" w:hAnsi="Times New Roman"/>
          <w:sz w:val="21"/>
          <w:szCs w:val="21"/>
          <w:color w:val="auto"/>
        </w:rPr>
        <w:t>. The Participant expressly acknowledges that the Participant has been advised to confer promptly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Grant Date.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w:t>
      </w:r>
    </w:p>
    <w:p>
      <w:pPr>
        <w:sectPr>
          <w:pgSz w:w="11900" w:h="16838" w:orient="portrait"/>
          <w:cols w:equalWidth="0" w:num="1">
            <w:col w:w="10908"/>
          </w:cols>
          <w:pgMar w:left="652" w:top="1440" w:right="339" w:bottom="1440" w:gutter="0" w:footer="0" w:header="0"/>
        </w:sectPr>
      </w:pPr>
    </w:p>
    <w:bookmarkStart w:id="49" w:name="page50"/>
    <w:bookmarkEnd w:id="49"/>
    <w:p>
      <w:pPr>
        <w:spacing w:after="0" w:line="185" w:lineRule="exact"/>
        <w:rPr>
          <w:sz w:val="20"/>
          <w:szCs w:val="20"/>
          <w:color w:val="auto"/>
        </w:rPr>
      </w:pPr>
    </w:p>
    <w:p>
      <w:pPr>
        <w:ind w:left="328"/>
        <w:spacing w:after="0" w:line="233" w:lineRule="auto"/>
        <w:rPr>
          <w:sz w:val="20"/>
          <w:szCs w:val="20"/>
          <w:color w:val="auto"/>
        </w:rPr>
      </w:pPr>
      <w:r>
        <w:rPr>
          <w:rFonts w:ascii="Times New Roman" w:cs="Times New Roman" w:eastAsia="Times New Roman" w:hAnsi="Times New Roman"/>
          <w:sz w:val="22"/>
          <w:szCs w:val="22"/>
          <w:color w:val="auto"/>
        </w:rPr>
        <w:t>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121" w:lineRule="exact"/>
        <w:rPr>
          <w:sz w:val="20"/>
          <w:szCs w:val="20"/>
          <w:color w:val="auto"/>
        </w:rPr>
      </w:pPr>
    </w:p>
    <w:p>
      <w:pPr>
        <w:ind w:left="328" w:right="120" w:hanging="328"/>
        <w:spacing w:after="0" w:line="262" w:lineRule="auto"/>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Clawback Policy, and by accepting this award, the Participant is agreeing to be bound by the Clawback Policy.</w:t>
      </w:r>
    </w:p>
    <w:p>
      <w:pPr>
        <w:spacing w:after="0" w:line="95" w:lineRule="exact"/>
        <w:rPr>
          <w:rFonts w:ascii="Times New Roman" w:cs="Times New Roman" w:eastAsia="Times New Roman" w:hAnsi="Times New Roman"/>
          <w:sz w:val="22"/>
          <w:szCs w:val="22"/>
          <w:color w:val="auto"/>
        </w:rPr>
      </w:pPr>
    </w:p>
    <w:p>
      <w:pPr>
        <w:ind w:left="328" w:right="20" w:hanging="328"/>
        <w:spacing w:after="0" w:line="238" w:lineRule="auto"/>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has read and understands the terms and provisions thereof and hereof, and accepts the Restricted Stock subject to all of the terms and conditions of the Plan and this Agreement. The Participant acknowledges that there may be adverse tax consequences upon the grant or vesting of the Restricted Stock or disposition of the underlying shares and that the Participant has been advised to consult his or her tax advisor prior to such grant, vesting, or disposition.</w:t>
      </w:r>
    </w:p>
    <w:p>
      <w:pPr>
        <w:spacing w:after="0" w:line="122" w:lineRule="exact"/>
        <w:rPr>
          <w:rFonts w:ascii="Times New Roman" w:cs="Times New Roman" w:eastAsia="Times New Roman" w:hAnsi="Times New Roman"/>
          <w:sz w:val="22"/>
          <w:szCs w:val="22"/>
          <w:color w:val="auto"/>
        </w:rPr>
      </w:pPr>
    </w:p>
    <w:p>
      <w:pPr>
        <w:jc w:val="both"/>
        <w:ind w:left="328" w:right="120" w:hanging="328"/>
        <w:spacing w:after="0" w:line="237" w:lineRule="auto"/>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21" w:lineRule="exact"/>
        <w:rPr>
          <w:rFonts w:ascii="Times New Roman" w:cs="Times New Roman" w:eastAsia="Times New Roman" w:hAnsi="Times New Roman"/>
          <w:sz w:val="22"/>
          <w:szCs w:val="22"/>
          <w:color w:val="auto"/>
        </w:rPr>
      </w:pPr>
    </w:p>
    <w:p>
      <w:pPr>
        <w:ind w:left="328" w:right="160" w:hanging="328"/>
        <w:spacing w:after="0" w:line="246" w:lineRule="auto"/>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Administrator for review. The resolution of such dispute by the Administrator shall be final and binding on the Participant and the Company.</w:t>
      </w:r>
    </w:p>
    <w:p>
      <w:pPr>
        <w:spacing w:after="0" w:line="113" w:lineRule="exact"/>
        <w:rPr>
          <w:rFonts w:ascii="Times New Roman" w:cs="Times New Roman" w:eastAsia="Times New Roman" w:hAnsi="Times New Roman"/>
          <w:sz w:val="22"/>
          <w:szCs w:val="22"/>
          <w:color w:val="auto"/>
        </w:rPr>
      </w:pPr>
    </w:p>
    <w:p>
      <w:pPr>
        <w:jc w:val="both"/>
        <w:ind w:left="328" w:right="120" w:hanging="328"/>
        <w:spacing w:after="0" w:line="241" w:lineRule="auto"/>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Subject to Plan</w:t>
      </w:r>
      <w:r>
        <w:rPr>
          <w:rFonts w:ascii="Times New Roman" w:cs="Times New Roman" w:eastAsia="Times New Roman" w:hAnsi="Times New Roman"/>
          <w:sz w:val="22"/>
          <w:szCs w:val="22"/>
          <w:color w:val="auto"/>
        </w:rPr>
        <w:t>. This Agreement is subject to the Plan as approved by the Company’s shareholders.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04" w:lineRule="exact"/>
        <w:rPr>
          <w:rFonts w:ascii="Times New Roman" w:cs="Times New Roman" w:eastAsia="Times New Roman" w:hAnsi="Times New Roman"/>
          <w:sz w:val="22"/>
          <w:szCs w:val="22"/>
          <w:color w:val="auto"/>
        </w:rPr>
      </w:pPr>
    </w:p>
    <w:p>
      <w:pPr>
        <w:ind w:left="328" w:right="80" w:hanging="328"/>
        <w:spacing w:after="0" w:line="238" w:lineRule="auto"/>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ectPr>
          <w:pgSz w:w="11900" w:h="16838" w:orient="portrait"/>
          <w:cols w:equalWidth="0" w:num="1">
            <w:col w:w="10888"/>
          </w:cols>
          <w:pgMar w:left="652" w:top="1440" w:right="359" w:bottom="1440" w:gutter="0" w:footer="0" w:header="0"/>
        </w:sectPr>
      </w:pPr>
    </w:p>
    <w:bookmarkStart w:id="50" w:name="page51"/>
    <w:bookmarkEnd w:id="50"/>
    <w:p>
      <w:pPr>
        <w:spacing w:after="0" w:line="181" w:lineRule="exact"/>
        <w:rPr>
          <w:sz w:val="20"/>
          <w:szCs w:val="20"/>
          <w:color w:val="auto"/>
        </w:rPr>
      </w:pPr>
    </w:p>
    <w:p>
      <w:pPr>
        <w:jc w:val="both"/>
        <w:ind w:left="660" w:right="20" w:hanging="328"/>
        <w:spacing w:after="0" w:line="246"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enforceability of any other provision of the Plan or this Agreement, and each provision of the Plan and this Agreement shall be severable and enforceable to the extent permitted by law.</w:t>
      </w:r>
    </w:p>
    <w:p>
      <w:pPr>
        <w:spacing w:after="0" w:line="113"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 Company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19" w:lineRule="exact"/>
        <w:rPr>
          <w:rFonts w:ascii="Times New Roman" w:cs="Times New Roman" w:eastAsia="Times New Roman" w:hAnsi="Times New Roman"/>
          <w:sz w:val="22"/>
          <w:szCs w:val="22"/>
          <w:color w:val="auto"/>
        </w:rPr>
      </w:pPr>
    </w:p>
    <w:p>
      <w:pPr>
        <w:ind w:left="660" w:right="240" w:hanging="328"/>
        <w:spacing w:after="0" w:line="246"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13" w:lineRule="exact"/>
        <w:rPr>
          <w:rFonts w:ascii="Times New Roman" w:cs="Times New Roman" w:eastAsia="Times New Roman" w:hAnsi="Times New Roman"/>
          <w:sz w:val="22"/>
          <w:szCs w:val="22"/>
          <w:color w:val="auto"/>
        </w:rPr>
      </w:pPr>
    </w:p>
    <w:p>
      <w:pPr>
        <w:ind w:left="660" w:hanging="328"/>
        <w:spacing w:after="0" w:line="238"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27"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ectPr>
          <w:pgSz w:w="11900" w:h="16838" w:orient="portrait"/>
          <w:cols w:equalWidth="0" w:num="1">
            <w:col w:w="11180"/>
          </w:cols>
          <w:pgMar w:left="320" w:top="1440" w:right="3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 (Cliff Vesting)</w:t>
      </w:r>
    </w:p>
    <w:p>
      <w:pPr>
        <w:spacing w:after="0" w:line="156"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This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has adopted the Plan, pursuant to which awards of Restricted Stock may be granted;</w:t>
      </w:r>
    </w:p>
    <w:p>
      <w:pPr>
        <w:spacing w:after="0" w:line="139" w:lineRule="exact"/>
        <w:rPr>
          <w:sz w:val="20"/>
          <w:szCs w:val="20"/>
          <w:color w:val="auto"/>
        </w:rPr>
      </w:pPr>
    </w:p>
    <w:p>
      <w:pPr>
        <w:jc w:val="both"/>
        <w:ind w:right="560" w:firstLine="648"/>
        <w:spacing w:after="0" w:line="244" w:lineRule="auto"/>
        <w:rPr>
          <w:sz w:val="20"/>
          <w:szCs w:val="20"/>
          <w:color w:val="auto"/>
        </w:rPr>
      </w:pPr>
      <w:r>
        <w:rPr>
          <w:rFonts w:ascii="Times New Roman" w:cs="Times New Roman" w:eastAsia="Times New Roman" w:hAnsi="Times New Roman"/>
          <w:sz w:val="22"/>
          <w:szCs w:val="22"/>
          <w:color w:val="auto"/>
        </w:rPr>
        <w:t>WHEREAS, the Participant has agreed to terms of employment with the Company or certain of its subsidiaries; and WHEREAS, as part of the Participant’s compensation, the Company wishes to grant the Participant the award of Restricted Stock, and Participant wishes to accept such grant through an online system, as provided for herein.</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00" w:lineRule="exact"/>
        <w:rPr>
          <w:sz w:val="20"/>
          <w:szCs w:val="20"/>
          <w:color w:val="auto"/>
        </w:rPr>
      </w:pPr>
    </w:p>
    <w:p>
      <w:pPr>
        <w:ind w:left="660" w:right="20" w:hanging="328"/>
        <w:spacing w:after="0" w:line="237"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w:t>
      </w:r>
      <w:r>
        <w:rPr>
          <w:rFonts w:ascii="Times New Roman" w:cs="Times New Roman" w:eastAsia="Times New Roman" w:hAnsi="Times New Roman"/>
          <w:sz w:val="22"/>
          <w:szCs w:val="22"/>
          <w:color w:val="auto"/>
        </w:rPr>
        <w:t>. The Company hereby grants an Award to the Participant on the “Grant Date” shown in the “Award Details” box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“Grant Summary – Grant Detail” screen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consisting of the number of shares of Stock shown in the “Shares Granted” line of the “Award Details” box in the “Grant Summary – Grant Detail” screen (the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on the terms and conditions and subject to the restrictions described in this Agreement and in the Plan (which is incorporated herein by reference with the same effect as if set forth herein in full) in addition to such other restrictions, if any, as may be imposed by law.</w:t>
      </w:r>
    </w:p>
    <w:p>
      <w:pPr>
        <w:spacing w:after="0" w:line="107" w:lineRule="exact"/>
        <w:rPr>
          <w:rFonts w:ascii="Times New Roman" w:cs="Times New Roman" w:eastAsia="Times New Roman" w:hAnsi="Times New Roman"/>
          <w:sz w:val="22"/>
          <w:szCs w:val="22"/>
          <w:color w:val="auto"/>
        </w:rPr>
      </w:pPr>
    </w:p>
    <w:p>
      <w:pPr>
        <w:ind w:left="660" w:right="40" w:hanging="328"/>
        <w:spacing w:after="0" w:line="246"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same meaning as in the Plan. The term “vest” as used herein with respect to any Restricted Stock means the lapsing of the restrictions described herein with respect to such Restricted Stock.</w:t>
      </w:r>
    </w:p>
    <w:p>
      <w:pPr>
        <w:spacing w:after="0" w:line="113" w:lineRule="exact"/>
        <w:rPr>
          <w:rFonts w:ascii="Times New Roman" w:cs="Times New Roman" w:eastAsia="Times New Roman" w:hAnsi="Times New Roman"/>
          <w:sz w:val="22"/>
          <w:szCs w:val="22"/>
          <w:color w:val="auto"/>
        </w:rPr>
      </w:pPr>
    </w:p>
    <w:p>
      <w:pPr>
        <w:ind w:left="660" w:right="220" w:hanging="328"/>
        <w:spacing w:after="0" w:line="236"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 and, if any such attempt is made, the Restricted Stock will be forfeited by the Participant and all of the Participant’s rights to such Restricted Stock shall immediately terminate without any payment or consideration by the Company.</w:t>
      </w:r>
    </w:p>
    <w:p>
      <w:pPr>
        <w:spacing w:after="0" w:line="108" w:lineRule="exact"/>
        <w:rPr>
          <w:rFonts w:ascii="Times New Roman" w:cs="Times New Roman" w:eastAsia="Times New Roman" w:hAnsi="Times New Roman"/>
          <w:sz w:val="22"/>
          <w:szCs w:val="22"/>
          <w:color w:val="auto"/>
        </w:rPr>
      </w:pPr>
    </w:p>
    <w:p>
      <w:pPr>
        <w:ind w:left="660" w:right="80" w:hanging="328"/>
        <w:spacing w:after="0" w:line="238"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Forfeiture Risk</w:t>
      </w:r>
      <w:r>
        <w:rPr>
          <w:rFonts w:ascii="Times New Roman" w:cs="Times New Roman" w:eastAsia="Times New Roman" w:hAnsi="Times New Roman"/>
          <w:sz w:val="22"/>
          <w:szCs w:val="22"/>
          <w:color w:val="auto"/>
        </w:rPr>
        <w:t>. If the Participant’s Employment ceases for any reason, except as specifically provided in Paragraph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below, any then-outstanding and unvested Restricted Stock shall be automatically and immediately forfeited. The Participant hereby (i) appoints the Company as the attorney-in-fact of the Participant to take such actions as may be necessary or appropriate to effectuate a transfer of the record ownership of any such Restricted Stock that is unvested and forfeited hereunder; (ii) agrees to deliver to the</w:t>
      </w:r>
    </w:p>
    <w:p>
      <w:pPr>
        <w:sectPr>
          <w:pgSz w:w="11900" w:h="16838" w:orient="portrait"/>
          <w:cols w:equalWidth="0" w:num="1">
            <w:col w:w="11240"/>
          </w:cols>
          <w:pgMar w:left="320" w:top="1408" w:right="339" w:bottom="1440" w:gutter="0" w:footer="0" w:header="0"/>
        </w:sectPr>
      </w:pPr>
    </w:p>
    <w:bookmarkStart w:id="52" w:name="page53"/>
    <w:bookmarkEnd w:id="52"/>
    <w:p>
      <w:pPr>
        <w:ind w:left="328" w:right="400"/>
        <w:spacing w:after="0" w:line="239" w:lineRule="auto"/>
        <w:rPr>
          <w:sz w:val="20"/>
          <w:szCs w:val="20"/>
          <w:color w:val="auto"/>
        </w:rPr>
      </w:pPr>
      <w:r>
        <w:rPr>
          <w:rFonts w:ascii="Times New Roman" w:cs="Times New Roman" w:eastAsia="Times New Roman" w:hAnsi="Times New Roman"/>
          <w:sz w:val="22"/>
          <w:szCs w:val="22"/>
          <w:color w:val="auto"/>
        </w:rPr>
        <w:t>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spacing w:after="0" w:line="122" w:lineRule="exact"/>
        <w:rPr>
          <w:sz w:val="20"/>
          <w:szCs w:val="20"/>
          <w:color w:val="auto"/>
        </w:rPr>
      </w:pPr>
    </w:p>
    <w:p>
      <w:pPr>
        <w:ind w:left="328" w:right="40" w:hanging="328"/>
        <w:spacing w:after="0"/>
        <w:tabs>
          <w:tab w:leader="none" w:pos="3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 unvested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is held in book entry form, the Participant agrees that the Company may give stop transfer instructions to the depository to ensure compliance with the provisions hereof.</w:t>
      </w:r>
    </w:p>
    <w:p>
      <w:pPr>
        <w:spacing w:after="0" w:line="11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Vesting of Restricted Stock</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968" w:hanging="320"/>
        <w:spacing w:after="0" w:line="239" w:lineRule="auto"/>
        <w:tabs>
          <w:tab w:leader="none" w:pos="95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and subject to the Participant’s continued Employment through the applicable vesting date, the Restricted Stock acquired hereunder shall vest as to one hundred percent (100%) of the total number of Restricted Stock, in accordance with the provisions of this Agreement and applicable provisions of the Plan, on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2"/>
          <w:szCs w:val="22"/>
          <w:color w:val="auto"/>
        </w:rPr>
        <w:t>) anniversary of the Grant Date.</w:t>
      </w:r>
    </w:p>
    <w:p>
      <w:pPr>
        <w:spacing w:after="0" w:line="126" w:lineRule="exact"/>
        <w:rPr>
          <w:rFonts w:ascii="Times New Roman" w:cs="Times New Roman" w:eastAsia="Times New Roman" w:hAnsi="Times New Roman"/>
          <w:sz w:val="22"/>
          <w:szCs w:val="22"/>
          <w:color w:val="auto"/>
        </w:rPr>
      </w:pPr>
    </w:p>
    <w:p>
      <w:pPr>
        <w:ind w:left="968" w:right="600" w:hanging="320"/>
        <w:spacing w:after="0" w:line="258" w:lineRule="auto"/>
        <w:tabs>
          <w:tab w:leader="none" w:pos="96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Restricted Stock shall vest as to one hundred percent (100%) of the total number of Restricted Stock on the date a Covered Transaction is consummated.</w:t>
      </w:r>
    </w:p>
    <w:p>
      <w:pPr>
        <w:spacing w:after="0" w:line="104" w:lineRule="exact"/>
        <w:rPr>
          <w:rFonts w:ascii="Times New Roman" w:cs="Times New Roman" w:eastAsia="Times New Roman" w:hAnsi="Times New Roman"/>
          <w:sz w:val="22"/>
          <w:szCs w:val="22"/>
          <w:color w:val="auto"/>
        </w:rPr>
      </w:pPr>
    </w:p>
    <w:p>
      <w:pPr>
        <w:ind w:left="968" w:right="540" w:hanging="320"/>
        <w:spacing w:after="0" w:line="258" w:lineRule="auto"/>
        <w:tabs>
          <w:tab w:leader="none" w:pos="95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over which the Restricted Stock vests is referred to as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for purposes of this Agreement.</w:t>
      </w:r>
    </w:p>
    <w:p>
      <w:pPr>
        <w:spacing w:after="0" w:line="10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or Disability; Covered Transaction</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968" w:right="320" w:hanging="320"/>
        <w:spacing w:after="0" w:line="258" w:lineRule="auto"/>
        <w:tabs>
          <w:tab w:leader="none" w:pos="95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prior to the Restricted Stock vesting, one hundred percent (100%) of the Restricted Stock shall automatically vest upon Participant’s death.</w:t>
      </w:r>
    </w:p>
    <w:p>
      <w:pPr>
        <w:spacing w:after="0" w:line="104" w:lineRule="exact"/>
        <w:rPr>
          <w:rFonts w:ascii="Times New Roman" w:cs="Times New Roman" w:eastAsia="Times New Roman" w:hAnsi="Times New Roman"/>
          <w:sz w:val="22"/>
          <w:szCs w:val="22"/>
          <w:color w:val="auto"/>
        </w:rPr>
      </w:pPr>
    </w:p>
    <w:p>
      <w:pPr>
        <w:ind w:left="968" w:right="60" w:hanging="320"/>
        <w:spacing w:after="0" w:line="236" w:lineRule="auto"/>
        <w:tabs>
          <w:tab w:leader="none" w:pos="96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becomes disabled due to injury or illness and is unable to serve as an Employee for a period of time not exceeding six (6) months and returns to serve as an Employee after such disability, the Participant’s vesting schedule in the Restricted Stock will not be affected by such disability. If the Participant becomes disabled due to injury or illness and the Company, in its sole discretion, determines the Participant is unable to serve as Employee for a period of time reasonably expected to exceed six (6) months, one hundred percent (100%) of the Participant’s Restricted Stock will vest automatically upon such determination.</w:t>
      </w:r>
    </w:p>
    <w:p>
      <w:pPr>
        <w:spacing w:after="0" w:line="12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Transaction is consummated, the Restricted Stock shall vest as provided in Paragraph 6(b).</w:t>
      </w:r>
    </w:p>
    <w:p>
      <w:pPr>
        <w:spacing w:after="0" w:line="163" w:lineRule="exact"/>
        <w:rPr>
          <w:rFonts w:ascii="Times New Roman" w:cs="Times New Roman" w:eastAsia="Times New Roman" w:hAnsi="Times New Roman"/>
          <w:sz w:val="21"/>
          <w:szCs w:val="21"/>
          <w:color w:val="auto"/>
        </w:rPr>
      </w:pPr>
    </w:p>
    <w:p>
      <w:pPr>
        <w:ind w:left="968" w:right="400" w:hanging="320"/>
        <w:spacing w:after="0" w:line="238" w:lineRule="auto"/>
        <w:tabs>
          <w:tab w:leader="none" w:pos="96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7, any Restricted Stock that is unvested as of the date the Participant’s Employment is terminated shall be automatically forfeited on the date of such termination and all rights of the Participant to such unvested portion of the Restricted Stock shall be terminated.</w:t>
      </w:r>
    </w:p>
    <w:p>
      <w:pPr>
        <w:spacing w:after="0" w:line="120" w:lineRule="exact"/>
        <w:rPr>
          <w:rFonts w:ascii="Times New Roman" w:cs="Times New Roman" w:eastAsia="Times New Roman" w:hAnsi="Times New Roman"/>
          <w:sz w:val="22"/>
          <w:szCs w:val="22"/>
          <w:color w:val="auto"/>
        </w:rPr>
      </w:pPr>
    </w:p>
    <w:p>
      <w:pPr>
        <w:ind w:left="328" w:right="340" w:hanging="328"/>
        <w:spacing w:after="0" w:line="262" w:lineRule="auto"/>
        <w:tabs>
          <w:tab w:leader="none" w:pos="3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Legend</w:t>
      </w:r>
      <w:r>
        <w:rPr>
          <w:rFonts w:ascii="Times New Roman" w:cs="Times New Roman" w:eastAsia="Times New Roman" w:hAnsi="Times New Roman"/>
          <w:sz w:val="22"/>
          <w:szCs w:val="22"/>
          <w:color w:val="auto"/>
        </w:rPr>
        <w:t>. Book entry records representing unvested Restricted Stock shall be held by the Company’s transfer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such records shall contain a legend substantially in the following form:</w:t>
      </w:r>
    </w:p>
    <w:p>
      <w:pPr>
        <w:sectPr>
          <w:pgSz w:w="11900" w:h="16838" w:orient="portrait"/>
          <w:cols w:equalWidth="0" w:num="1">
            <w:col w:w="10908"/>
          </w:cols>
          <w:pgMar w:left="652" w:top="1408" w:right="339" w:bottom="1440" w:gutter="0" w:footer="0" w:header="0"/>
        </w:sectPr>
      </w:pPr>
    </w:p>
    <w:bookmarkStart w:id="53" w:name="page54"/>
    <w:bookmarkEnd w:id="53"/>
    <w:p>
      <w:pPr>
        <w:ind w:left="328" w:right="120"/>
        <w:spacing w:after="0" w:line="238" w:lineRule="auto"/>
        <w:rPr>
          <w:sz w:val="20"/>
          <w:szCs w:val="20"/>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RESTRICTED STOCK AWARD AGREEMENT ENTERED INTO BETWEEN THE REGISTERED OWNER AND CARTER’S, INC. COPIES OF SUCH PLAN AND AGREEMENT ARE ON FILE IN THE OFFICES OF CARTER’S, INC.</w:t>
      </w:r>
    </w:p>
    <w:p>
      <w:pPr>
        <w:spacing w:after="0" w:line="123" w:lineRule="exact"/>
        <w:rPr>
          <w:sz w:val="20"/>
          <w:szCs w:val="20"/>
          <w:color w:val="auto"/>
        </w:rPr>
      </w:pPr>
    </w:p>
    <w:p>
      <w:pPr>
        <w:ind w:left="328" w:right="60"/>
        <w:spacing w:after="0" w:line="236" w:lineRule="auto"/>
        <w:rPr>
          <w:sz w:val="20"/>
          <w:szCs w:val="20"/>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21" w:lineRule="exact"/>
        <w:rPr>
          <w:sz w:val="20"/>
          <w:szCs w:val="20"/>
          <w:color w:val="auto"/>
        </w:rPr>
      </w:pPr>
    </w:p>
    <w:p>
      <w:pPr>
        <w:ind w:left="328" w:hanging="328"/>
        <w:spacing w:after="0" w:line="232" w:lineRule="auto"/>
        <w:tabs>
          <w:tab w:leader="none" w:pos="3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Dividends Equivalents, etc</w:t>
      </w:r>
      <w:r>
        <w:rPr>
          <w:rFonts w:ascii="Times New Roman" w:cs="Times New Roman" w:eastAsia="Times New Roman" w:hAnsi="Times New Roman"/>
          <w:sz w:val="22"/>
          <w:szCs w:val="22"/>
          <w:color w:val="auto"/>
        </w:rPr>
        <w:t>. The Participant shall be entitled, as to one hundred percent (100%) of the total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shares, to (i) receive a cash payment equal to the amount of any and all dividends or other cash distributions paid with respect to those shares of Restricted Stock of which Participant is the record owner on the record date for such dividend or other distribution, and (ii) vote any shares of Stock of which Participant is the record owner on the record date for such vote;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property (other than cash) distributed with respect to any share of Restricted Stock(the “</w:t>
      </w:r>
      <w:r>
        <w:rPr>
          <w:rFonts w:ascii="Times New Roman" w:cs="Times New Roman" w:eastAsia="Times New Roman" w:hAnsi="Times New Roman"/>
          <w:sz w:val="22"/>
          <w:szCs w:val="22"/>
          <w:u w:val="single" w:color="auto"/>
          <w:color w:val="auto"/>
        </w:rPr>
        <w:t>Associated Share</w:t>
      </w:r>
      <w:r>
        <w:rPr>
          <w:rFonts w:ascii="Times New Roman" w:cs="Times New Roman" w:eastAsia="Times New Roman" w:hAnsi="Times New Roman"/>
          <w:sz w:val="22"/>
          <w:szCs w:val="22"/>
          <w:color w:val="auto"/>
        </w:rPr>
        <w:t xml:space="preserve">”) acquired hereunder,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2"/>
          <w:szCs w:val="22"/>
          <w:i w:val="1"/>
          <w:iCs w:val="1"/>
          <w:color w:val="auto"/>
        </w:rPr>
        <w:t>and further provided</w:t>
      </w:r>
      <w:r>
        <w:rPr>
          <w:rFonts w:ascii="Times New Roman" w:cs="Times New Roman" w:eastAsia="Times New Roman" w:hAnsi="Times New Roman"/>
          <w:sz w:val="22"/>
          <w:szCs w:val="22"/>
          <w:color w:val="auto"/>
        </w:rPr>
        <w:t>, that the Administrator may require that any cash distribution with respect to the Restricted Stock other than a normal cash dividend be placed in escrow or otherwise made subject to such restrictions as the Administrator deems appropriate to carry out the intent of the Plan. References in this Agreement to the Restricted Stock shall refer in the same way to any such restricted amounts.</w:t>
      </w:r>
    </w:p>
    <w:p>
      <w:pPr>
        <w:spacing w:after="0" w:line="128" w:lineRule="exact"/>
        <w:rPr>
          <w:rFonts w:ascii="Times New Roman" w:cs="Times New Roman" w:eastAsia="Times New Roman" w:hAnsi="Times New Roman"/>
          <w:sz w:val="22"/>
          <w:szCs w:val="22"/>
          <w:color w:val="auto"/>
        </w:rPr>
      </w:pPr>
    </w:p>
    <w:p>
      <w:pPr>
        <w:ind w:left="328" w:right="80" w:hanging="328"/>
        <w:spacing w:after="0" w:line="241" w:lineRule="auto"/>
        <w:tabs>
          <w:tab w:leader="none" w:pos="3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Sale of Vested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Participant understands that any sale of vested Restricted Stock by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17" w:lineRule="exact"/>
        <w:rPr>
          <w:rFonts w:ascii="Times New Roman" w:cs="Times New Roman" w:eastAsia="Times New Roman" w:hAnsi="Times New Roman"/>
          <w:sz w:val="22"/>
          <w:szCs w:val="22"/>
          <w:color w:val="auto"/>
        </w:rPr>
      </w:pPr>
    </w:p>
    <w:p>
      <w:pPr>
        <w:ind w:left="328" w:right="40" w:hanging="328"/>
        <w:spacing w:after="0" w:line="245" w:lineRule="auto"/>
        <w:tabs>
          <w:tab w:leader="none" w:pos="3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Certain Tax Matters</w:t>
      </w:r>
      <w:r>
        <w:rPr>
          <w:rFonts w:ascii="Times New Roman" w:cs="Times New Roman" w:eastAsia="Times New Roman" w:hAnsi="Times New Roman"/>
          <w:sz w:val="21"/>
          <w:szCs w:val="21"/>
          <w:color w:val="auto"/>
        </w:rPr>
        <w:t>. The Participant expressly acknowledges that the Participant has been advised to confer promptly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Grant Date.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w:t>
      </w:r>
    </w:p>
    <w:p>
      <w:pPr>
        <w:sectPr>
          <w:pgSz w:w="11900" w:h="16838" w:orient="portrait"/>
          <w:cols w:equalWidth="0" w:num="1">
            <w:col w:w="10908"/>
          </w:cols>
          <w:pgMar w:left="652" w:top="1408" w:right="339" w:bottom="1440" w:gutter="0" w:footer="0" w:header="0"/>
        </w:sectPr>
      </w:pPr>
    </w:p>
    <w:bookmarkStart w:id="54" w:name="page55"/>
    <w:bookmarkEnd w:id="54"/>
    <w:p>
      <w:pPr>
        <w:ind w:left="328"/>
        <w:spacing w:after="0" w:line="233" w:lineRule="auto"/>
        <w:rPr>
          <w:sz w:val="20"/>
          <w:szCs w:val="20"/>
          <w:color w:val="auto"/>
        </w:rPr>
      </w:pPr>
      <w:r>
        <w:rPr>
          <w:rFonts w:ascii="Times New Roman" w:cs="Times New Roman" w:eastAsia="Times New Roman" w:hAnsi="Times New Roman"/>
          <w:sz w:val="22"/>
          <w:szCs w:val="22"/>
          <w:color w:val="auto"/>
        </w:rPr>
        <w:t>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121" w:lineRule="exact"/>
        <w:rPr>
          <w:sz w:val="20"/>
          <w:szCs w:val="20"/>
          <w:color w:val="auto"/>
        </w:rPr>
      </w:pPr>
    </w:p>
    <w:p>
      <w:pPr>
        <w:ind w:left="328" w:right="120" w:hanging="328"/>
        <w:spacing w:after="0" w:line="262" w:lineRule="auto"/>
        <w:tabs>
          <w:tab w:leader="none" w:pos="3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Clawback Policy, and by accepting this award, the Participant is agreeing to be bound by the Clawback Policy.</w:t>
      </w:r>
    </w:p>
    <w:p>
      <w:pPr>
        <w:spacing w:after="0" w:line="95" w:lineRule="exact"/>
        <w:rPr>
          <w:rFonts w:ascii="Times New Roman" w:cs="Times New Roman" w:eastAsia="Times New Roman" w:hAnsi="Times New Roman"/>
          <w:sz w:val="22"/>
          <w:szCs w:val="22"/>
          <w:color w:val="auto"/>
        </w:rPr>
      </w:pPr>
    </w:p>
    <w:p>
      <w:pPr>
        <w:ind w:left="328" w:right="20" w:hanging="328"/>
        <w:spacing w:after="0" w:line="238" w:lineRule="auto"/>
        <w:tabs>
          <w:tab w:leader="none" w:pos="3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has read and understands the terms and provisions thereof and hereof, and accepts the Restricted Stock subject to all of the terms and conditions of the Plan and this Agreement. The Participant acknowledges that there may be adverse tax consequences upon the grant or vesting of the Restricted Stock or disposition of the underlying shares and that the Participant has been advised to consult his or her tax advisor prior to such grant, vesting, or disposition.</w:t>
      </w:r>
    </w:p>
    <w:p>
      <w:pPr>
        <w:spacing w:after="0" w:line="122" w:lineRule="exact"/>
        <w:rPr>
          <w:rFonts w:ascii="Times New Roman" w:cs="Times New Roman" w:eastAsia="Times New Roman" w:hAnsi="Times New Roman"/>
          <w:sz w:val="22"/>
          <w:szCs w:val="22"/>
          <w:color w:val="auto"/>
        </w:rPr>
      </w:pPr>
    </w:p>
    <w:p>
      <w:pPr>
        <w:jc w:val="both"/>
        <w:ind w:left="328" w:right="120" w:hanging="328"/>
        <w:spacing w:after="0" w:line="237" w:lineRule="auto"/>
        <w:tabs>
          <w:tab w:leader="none" w:pos="3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21" w:lineRule="exact"/>
        <w:rPr>
          <w:rFonts w:ascii="Times New Roman" w:cs="Times New Roman" w:eastAsia="Times New Roman" w:hAnsi="Times New Roman"/>
          <w:sz w:val="22"/>
          <w:szCs w:val="22"/>
          <w:color w:val="auto"/>
        </w:rPr>
      </w:pPr>
    </w:p>
    <w:p>
      <w:pPr>
        <w:ind w:left="328" w:right="160" w:hanging="328"/>
        <w:spacing w:after="0" w:line="246" w:lineRule="auto"/>
        <w:tabs>
          <w:tab w:leader="none" w:pos="3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Administrator for review. The resolution of such dispute by the Administrator shall be final and binding on the Participant and the Company.</w:t>
      </w:r>
    </w:p>
    <w:p>
      <w:pPr>
        <w:spacing w:after="0" w:line="113" w:lineRule="exact"/>
        <w:rPr>
          <w:rFonts w:ascii="Times New Roman" w:cs="Times New Roman" w:eastAsia="Times New Roman" w:hAnsi="Times New Roman"/>
          <w:sz w:val="22"/>
          <w:szCs w:val="22"/>
          <w:color w:val="auto"/>
        </w:rPr>
      </w:pPr>
    </w:p>
    <w:p>
      <w:pPr>
        <w:jc w:val="both"/>
        <w:ind w:left="328" w:right="120" w:hanging="328"/>
        <w:spacing w:after="0" w:line="241" w:lineRule="auto"/>
        <w:tabs>
          <w:tab w:leader="none" w:pos="3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Subject to Plan</w:t>
      </w:r>
      <w:r>
        <w:rPr>
          <w:rFonts w:ascii="Times New Roman" w:cs="Times New Roman" w:eastAsia="Times New Roman" w:hAnsi="Times New Roman"/>
          <w:sz w:val="22"/>
          <w:szCs w:val="22"/>
          <w:color w:val="auto"/>
        </w:rPr>
        <w:t>. This Agreement is subject to the Plan as approved by the Company’s shareholders.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04" w:lineRule="exact"/>
        <w:rPr>
          <w:rFonts w:ascii="Times New Roman" w:cs="Times New Roman" w:eastAsia="Times New Roman" w:hAnsi="Times New Roman"/>
          <w:sz w:val="22"/>
          <w:szCs w:val="22"/>
          <w:color w:val="auto"/>
        </w:rPr>
      </w:pPr>
    </w:p>
    <w:p>
      <w:pPr>
        <w:ind w:left="328" w:right="80" w:hanging="328"/>
        <w:spacing w:after="0" w:line="238" w:lineRule="auto"/>
        <w:tabs>
          <w:tab w:leader="none" w:pos="3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ectPr>
          <w:pgSz w:w="11900" w:h="16838" w:orient="portrait"/>
          <w:cols w:equalWidth="0" w:num="1">
            <w:col w:w="10888"/>
          </w:cols>
          <w:pgMar w:left="652" w:top="1408" w:right="359" w:bottom="1440" w:gutter="0" w:footer="0" w:header="0"/>
        </w:sectPr>
      </w:pPr>
    </w:p>
    <w:bookmarkStart w:id="55" w:name="page56"/>
    <w:bookmarkEnd w:id="55"/>
    <w:p>
      <w:pPr>
        <w:jc w:val="both"/>
        <w:ind w:left="660" w:right="20" w:hanging="328"/>
        <w:spacing w:after="0" w:line="246"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enforceability of any other provision of the Plan or this Agreement, and each provision of the Plan and this Agreement shall be severable and enforceable to the extent permitted by law.</w:t>
      </w:r>
    </w:p>
    <w:p>
      <w:pPr>
        <w:spacing w:after="0" w:line="113"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 Company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19" w:lineRule="exact"/>
        <w:rPr>
          <w:rFonts w:ascii="Times New Roman" w:cs="Times New Roman" w:eastAsia="Times New Roman" w:hAnsi="Times New Roman"/>
          <w:sz w:val="22"/>
          <w:szCs w:val="22"/>
          <w:color w:val="auto"/>
        </w:rPr>
      </w:pPr>
    </w:p>
    <w:p>
      <w:pPr>
        <w:ind w:left="660" w:right="240" w:hanging="328"/>
        <w:spacing w:after="0" w:line="246"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13" w:lineRule="exact"/>
        <w:rPr>
          <w:rFonts w:ascii="Times New Roman" w:cs="Times New Roman" w:eastAsia="Times New Roman" w:hAnsi="Times New Roman"/>
          <w:sz w:val="22"/>
          <w:szCs w:val="22"/>
          <w:color w:val="auto"/>
        </w:rPr>
      </w:pPr>
    </w:p>
    <w:p>
      <w:pPr>
        <w:ind w:left="660" w:hanging="328"/>
        <w:spacing w:after="0" w:line="238"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2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w:t>
      </w:r>
    </w:p>
    <w:p>
      <w:pPr>
        <w:sectPr>
          <w:pgSz w:w="11900" w:h="16838" w:orient="portrait"/>
          <w:cols w:equalWidth="0" w:num="1">
            <w:col w:w="11180"/>
          </w:cols>
          <w:pgMar w:left="320" w:top="1404" w:right="3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Performance-Based Restricted Stock Agreement</w:t>
      </w:r>
    </w:p>
    <w:p>
      <w:pPr>
        <w:spacing w:after="0" w:line="15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Company Performance-Based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13" w:lineRule="exact"/>
        <w:rPr>
          <w:sz w:val="20"/>
          <w:szCs w:val="20"/>
          <w:color w:val="auto"/>
        </w:rPr>
      </w:pPr>
    </w:p>
    <w:p>
      <w:pPr>
        <w:ind w:left="660" w:right="560"/>
        <w:spacing w:after="0" w:line="402" w:lineRule="auto"/>
        <w:rPr>
          <w:sz w:val="20"/>
          <w:szCs w:val="20"/>
          <w:color w:val="auto"/>
        </w:rPr>
      </w:pPr>
      <w:r>
        <w:rPr>
          <w:rFonts w:ascii="Times New Roman" w:cs="Times New Roman" w:eastAsia="Times New Roman" w:hAnsi="Times New Roman"/>
          <w:sz w:val="21"/>
          <w:szCs w:val="21"/>
          <w:color w:val="auto"/>
        </w:rPr>
        <w:t>WHEREAS, the Company has adopted the Plan, pursuant to which awards of Restricted Stock may be granted; WHEREAS, the Participant has agreed to terms of employment with the Company or certain of its subsidiaries; and</w:t>
      </w:r>
    </w:p>
    <w:p>
      <w:pPr>
        <w:spacing w:after="0" w:line="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as part of the Participant’s compensation, the Company wishes to grant the Participant two separate performance-based awards of Restricted Stock, consisting of (1) a performance-based award with a performance goal tied to the performance of the Company (as set forth in this Agreement) and (2) a performance-based award with a performance goal tied to rTSR (to be set forth in a separate agreement), and Participant wishes to accept such grant through an online system, as provided for herein.</w:t>
      </w:r>
    </w:p>
    <w:p>
      <w:pPr>
        <w:spacing w:after="0" w:line="1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00" w:lineRule="exact"/>
        <w:rPr>
          <w:sz w:val="20"/>
          <w:szCs w:val="20"/>
          <w:color w:val="auto"/>
        </w:rPr>
      </w:pPr>
    </w:p>
    <w:p>
      <w:pPr>
        <w:jc w:val="both"/>
        <w:ind w:left="660" w:hanging="328"/>
        <w:spacing w:after="0" w:line="242" w:lineRule="auto"/>
        <w:tabs>
          <w:tab w:leader="none" w:pos="6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Award</w:t>
      </w:r>
      <w:r>
        <w:rPr>
          <w:rFonts w:ascii="Times New Roman" w:cs="Times New Roman" w:eastAsia="Times New Roman" w:hAnsi="Times New Roman"/>
          <w:sz w:val="21"/>
          <w:szCs w:val="21"/>
          <w:color w:val="auto"/>
        </w:rPr>
        <w:t>. The Company hereby grants an award of Restricted Stock to the Participant on the “Grant Date” shown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“Grant Summary” box in the “Online Grant Summary” screen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consisting of (a) the number of shares of Stock shown in the “Granted” line of “Grant Summary” box in the “Online Grant Summary” screen (such amount, the “</w:t>
      </w:r>
      <w:r>
        <w:rPr>
          <w:rFonts w:ascii="Times New Roman" w:cs="Times New Roman" w:eastAsia="Times New Roman" w:hAnsi="Times New Roman"/>
          <w:sz w:val="21"/>
          <w:szCs w:val="21"/>
          <w:u w:val="single" w:color="auto"/>
          <w:color w:val="auto"/>
        </w:rPr>
        <w:t>Target Amount</w:t>
      </w:r>
      <w:r>
        <w:rPr>
          <w:rFonts w:ascii="Times New Roman" w:cs="Times New Roman" w:eastAsia="Times New Roman" w:hAnsi="Times New Roman"/>
          <w:sz w:val="21"/>
          <w:szCs w:val="21"/>
          <w:color w:val="auto"/>
        </w:rPr>
        <w:t>” and such Stock, the “</w:t>
      </w:r>
      <w:r>
        <w:rPr>
          <w:rFonts w:ascii="Times New Roman" w:cs="Times New Roman" w:eastAsia="Times New Roman" w:hAnsi="Times New Roman"/>
          <w:sz w:val="21"/>
          <w:szCs w:val="21"/>
          <w:u w:val="single" w:color="auto"/>
          <w:color w:val="auto"/>
        </w:rPr>
        <w:t>Target Stock</w:t>
      </w:r>
      <w:r>
        <w:rPr>
          <w:rFonts w:ascii="Times New Roman" w:cs="Times New Roman" w:eastAsia="Times New Roman" w:hAnsi="Times New Roman"/>
          <w:sz w:val="21"/>
          <w:szCs w:val="21"/>
          <w:color w:val="auto"/>
        </w:rPr>
        <w:t>”) and (b) an additional number of shares of Stock equal to up to one hundred percent (100%) of the Target Amount (the “</w:t>
      </w:r>
      <w:r>
        <w:rPr>
          <w:rFonts w:ascii="Times New Roman" w:cs="Times New Roman" w:eastAsia="Times New Roman" w:hAnsi="Times New Roman"/>
          <w:sz w:val="21"/>
          <w:szCs w:val="21"/>
          <w:u w:val="single" w:color="auto"/>
          <w:color w:val="auto"/>
        </w:rPr>
        <w:t>Bonus Stock</w:t>
      </w:r>
      <w:r>
        <w:rPr>
          <w:rFonts w:ascii="Times New Roman" w:cs="Times New Roman" w:eastAsia="Times New Roman" w:hAnsi="Times New Roman"/>
          <w:sz w:val="21"/>
          <w:szCs w:val="21"/>
          <w:color w:val="auto"/>
        </w:rPr>
        <w:t>,” and together with the Target Stock, the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each on the terms and conditions and subject to the restrictions described in this Agreement and in the Plan (which is incorporated herein by reference with the same effect as if set forth herein in full) in addition to such other restrictions, if any, as may be imposed by law. The number of shares of Restricted Stock that the Participant actually earns for the Performance Periods (up to the maximum numbers set forth above) will be determined by the level of achievement of the Performance Goal set forth in Paragraph 6 of this Agreement. For the avoidance of doubt, (x) shares of Target Stock will be issued to the Participant, subject to the provisions of the Plan and this Agreement (including Paragraph 3 and 4 hereof as to restrictions and forfeiture risks) as well as the performance goals and vesting requirements, and (y) shares of Bonus Stock, if any, will be issued to the Participant after the Certification Date set forth in Paragraph 6.b.</w:t>
      </w:r>
    </w:p>
    <w:p>
      <w:pPr>
        <w:spacing w:after="0" w:line="128" w:lineRule="exact"/>
        <w:rPr>
          <w:rFonts w:ascii="Times New Roman" w:cs="Times New Roman" w:eastAsia="Times New Roman" w:hAnsi="Times New Roman"/>
          <w:sz w:val="21"/>
          <w:szCs w:val="21"/>
          <w:color w:val="auto"/>
        </w:rPr>
      </w:pPr>
    </w:p>
    <w:p>
      <w:pPr>
        <w:jc w:val="both"/>
        <w:ind w:left="660" w:hanging="328"/>
        <w:spacing w:after="0" w:line="246"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same meaning as in the Plan. The term “vest” as used herein with respect to any Award means the lapsing of the restrictions described herein with respect to such Award.</w:t>
      </w:r>
    </w:p>
    <w:p>
      <w:pPr>
        <w:sectPr>
          <w:pgSz w:w="11900" w:h="16838" w:orient="portrait"/>
          <w:cols w:equalWidth="0" w:num="1">
            <w:col w:w="11240"/>
          </w:cols>
          <w:pgMar w:left="320" w:top="1408" w:right="339" w:bottom="1440" w:gutter="0" w:footer="0" w:header="0"/>
        </w:sectPr>
      </w:pPr>
    </w:p>
    <w:bookmarkStart w:id="57" w:name="page58"/>
    <w:bookmarkEnd w:id="57"/>
    <w:p>
      <w:pPr>
        <w:jc w:val="both"/>
        <w:ind w:left="328" w:hanging="328"/>
        <w:spacing w:after="0" w:line="237" w:lineRule="auto"/>
        <w:tabs>
          <w:tab w:leader="none" w:pos="3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neither the Award nor the rights relating thereto, may be assigned, alienated, pledged, attached, sold or otherwise transferred or encumbered by the Participant. Any attempt to assign, alienate, pledge, attach, sell or otherwise transfer or encumber the Award or the rights relating thereto during the Restricted Period shall be wholly ineffective and, if any such attempt is made, the Award will be forfeited by the Participant and all of the Participant’s rights to such Award shall immediately terminate without any payment or consideration by the Company.</w:t>
      </w:r>
    </w:p>
    <w:p>
      <w:pPr>
        <w:spacing w:after="0" w:line="107" w:lineRule="exact"/>
        <w:rPr>
          <w:rFonts w:ascii="Times New Roman" w:cs="Times New Roman" w:eastAsia="Times New Roman" w:hAnsi="Times New Roman"/>
          <w:sz w:val="22"/>
          <w:szCs w:val="22"/>
          <w:color w:val="auto"/>
        </w:rPr>
      </w:pPr>
    </w:p>
    <w:p>
      <w:pPr>
        <w:jc w:val="both"/>
        <w:ind w:left="328" w:hanging="328"/>
        <w:spacing w:after="0" w:line="255" w:lineRule="auto"/>
        <w:tabs>
          <w:tab w:leader="none" w:pos="32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Forfeiture Risk</w:t>
      </w:r>
      <w:r>
        <w:rPr>
          <w:rFonts w:ascii="Times New Roman" w:cs="Times New Roman" w:eastAsia="Times New Roman" w:hAnsi="Times New Roman"/>
          <w:sz w:val="21"/>
          <w:szCs w:val="21"/>
          <w:color w:val="auto"/>
        </w:rPr>
        <w:t>. If the Participant’s Employment ceases for any reason, except as specifically provided in Paragraph 7</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below, any then-outstanding and unvested Award shall be automatically and immediately forfeited. The Participant hereby</w:t>
      </w:r>
    </w:p>
    <w:p>
      <w:pPr>
        <w:jc w:val="both"/>
        <w:ind w:left="328" w:hanging="4"/>
        <w:spacing w:after="0" w:line="232" w:lineRule="auto"/>
        <w:tabs>
          <w:tab w:leader="none" w:pos="58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the Company as the attorney-in-fact of the Participant to take such actions as may be necessary or appropriate to effectuate a transfer of the record ownership of any such Restricted Stock that is unvested and forfeited hereunder; (ii) agrees to deliver to the 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spacing w:after="0" w:line="124" w:lineRule="exact"/>
        <w:rPr>
          <w:rFonts w:ascii="Times New Roman" w:cs="Times New Roman" w:eastAsia="Times New Roman" w:hAnsi="Times New Roman"/>
          <w:sz w:val="22"/>
          <w:szCs w:val="22"/>
          <w:color w:val="auto"/>
        </w:rPr>
      </w:pPr>
    </w:p>
    <w:p>
      <w:pPr>
        <w:jc w:val="both"/>
        <w:ind w:left="328" w:hanging="328"/>
        <w:spacing w:after="0" w:line="236" w:lineRule="auto"/>
        <w:tabs>
          <w:tab w:leader="none" w:pos="3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 unvested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is held in book entry form, the Participant agrees that the Company may give stop transfer instructions to the depository to ensure compliance with the provisions hereof. Book entry records representing unvested Restricted Stock shall be held by the Company’s transfer agent, and any such records shall contain a legend substantially in the following form:</w:t>
      </w:r>
    </w:p>
    <w:p>
      <w:pPr>
        <w:spacing w:after="0" w:line="123" w:lineRule="exact"/>
        <w:rPr>
          <w:rFonts w:ascii="Times New Roman" w:cs="Times New Roman" w:eastAsia="Times New Roman" w:hAnsi="Times New Roman"/>
          <w:sz w:val="22"/>
          <w:szCs w:val="22"/>
          <w:color w:val="auto"/>
        </w:rPr>
      </w:pPr>
    </w:p>
    <w:p>
      <w:pPr>
        <w:jc w:val="both"/>
        <w:ind w:left="328"/>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PERFORMANCE-BASED RESTRICTED STOCK AGREEMENT ENTERED INTO BETWEEN THE REGISTERED OWNER AND CARTER’S, INC. COPIES OF SUCH PLAN AND AGREEMENT ARE ON FILE IN THE OFFICES OF CARTER’S, INC.</w:t>
      </w:r>
    </w:p>
    <w:p>
      <w:pPr>
        <w:spacing w:after="0" w:line="122" w:lineRule="exact"/>
        <w:rPr>
          <w:rFonts w:ascii="Times New Roman" w:cs="Times New Roman" w:eastAsia="Times New Roman" w:hAnsi="Times New Roman"/>
          <w:sz w:val="22"/>
          <w:szCs w:val="22"/>
          <w:color w:val="auto"/>
        </w:rPr>
      </w:pPr>
    </w:p>
    <w:p>
      <w:pPr>
        <w:jc w:val="both"/>
        <w:ind w:left="328"/>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21"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Performance Goal and Vesting of Award</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968" w:hanging="324"/>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 purposes of this Agreement, the term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Company’s 2026, 2027 and 2028 Fiscal Years. For purposes of this Agreement, the performance criteria used to establish the Performance Goal shall be the Company’s Fiscal 2026, Fiscal 2027 and Fiscal 2028 cumulative net sales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that is approved by the Company’s Board of Directors, or a committee thereof, for presentation to the financial markets, provided that (x) the financial</w:t>
      </w:r>
    </w:p>
    <w:p>
      <w:pPr>
        <w:sectPr>
          <w:pgSz w:w="11900" w:h="16838" w:orient="portrait"/>
          <w:cols w:equalWidth="0" w:num="1">
            <w:col w:w="10908"/>
          </w:cols>
          <w:pgMar w:left="652" w:top="1404" w:right="339" w:bottom="1440" w:gutter="0" w:footer="0" w:header="0"/>
        </w:sectPr>
      </w:pPr>
    </w:p>
    <w:bookmarkStart w:id="58" w:name="page59"/>
    <w:bookmarkEnd w:id="58"/>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impact of any business acquisition or divestiture the Company completed will be excluded from Net Sales until the first full Fiscal Year in the Performance Period that such impact can be included in the baseline and (y) Net Sales will be measured at constant currency using budgeted foreign exchange rates. No adjustments will be made for any other impacts (e.g., tax changes, etc.).</w:t>
      </w:r>
    </w:p>
    <w:p>
      <w:pPr>
        <w:spacing w:after="0" w:line="126" w:lineRule="exact"/>
        <w:rPr>
          <w:sz w:val="20"/>
          <w:szCs w:val="20"/>
          <w:color w:val="auto"/>
        </w:rPr>
      </w:pPr>
    </w:p>
    <w:p>
      <w:pPr>
        <w:jc w:val="both"/>
        <w:ind w:left="320" w:hanging="320"/>
        <w:spacing w:after="0" w:line="233" w:lineRule="auto"/>
        <w:tabs>
          <w:tab w:leader="none" w:pos="3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7 below, the number of shares of Target Stock and Bonus Stock underlying the Award that are eligible to vest as of the Vesting Date (as defined below) will be determined by the Administrator after the end of the Fiscal Year 2028 Performance Period (“</w:t>
      </w:r>
      <w:r>
        <w:rPr>
          <w:rFonts w:ascii="Times New Roman" w:cs="Times New Roman" w:eastAsia="Times New Roman" w:hAnsi="Times New Roman"/>
          <w:sz w:val="22"/>
          <w:szCs w:val="22"/>
          <w:u w:val="single" w:color="auto"/>
          <w:color w:val="auto"/>
        </w:rPr>
        <w:t>Performance End Date</w:t>
      </w:r>
      <w:r>
        <w:rPr>
          <w:rFonts w:ascii="Times New Roman" w:cs="Times New Roman" w:eastAsia="Times New Roman" w:hAnsi="Times New Roman"/>
          <w:sz w:val="22"/>
          <w:szCs w:val="22"/>
          <w:color w:val="auto"/>
        </w:rPr>
        <w:t>”), based on the level of achievement of the Performance Goal during all three Performance Periods and the application of the Performance Formula to such Performance Goal, in accordance with this Paragraph 6. All determinations of whether the Performance Goal have been achieved, the maximum number of shares of Target Stock and Bonus Stock underlying the Award that are eligible to vest as a result of the application of the Performance Formula to the Performance Goal, and all other matters related to this Paragraph 6 shall be made by the Administrator in its sole discretion.</w:t>
      </w:r>
    </w:p>
    <w:p>
      <w:pPr>
        <w:spacing w:after="0" w:line="125" w:lineRule="exact"/>
        <w:rPr>
          <w:rFonts w:ascii="Times New Roman" w:cs="Times New Roman" w:eastAsia="Times New Roman" w:hAnsi="Times New Roman"/>
          <w:sz w:val="22"/>
          <w:szCs w:val="22"/>
          <w:color w:val="auto"/>
        </w:rPr>
      </w:pPr>
    </w:p>
    <w:p>
      <w:pPr>
        <w:jc w:val="both"/>
        <w:ind w:left="3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completion of the Fiscal Year 2028 Performance Period, the Administrator shall review and certify in writing whether, and to what extent, the Performance Goal for the Performance Period have been achieved and, if so, calculate and certify in writing the number of shares of Target Stock and Bonus Stock that are eligible to vest, if any, based upon the application of the Performance Formula to the Performance Goal (such date of certification, the “</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and such shares of Stock, if any, the “</w:t>
      </w:r>
      <w:r>
        <w:rPr>
          <w:rFonts w:ascii="Times New Roman" w:cs="Times New Roman" w:eastAsia="Times New Roman" w:hAnsi="Times New Roman"/>
          <w:sz w:val="22"/>
          <w:szCs w:val="22"/>
          <w:u w:val="single" w:color="auto"/>
          <w:color w:val="auto"/>
        </w:rPr>
        <w:t>Earned Stock</w:t>
      </w:r>
      <w:r>
        <w:rPr>
          <w:rFonts w:ascii="Times New Roman" w:cs="Times New Roman" w:eastAsia="Times New Roman" w:hAnsi="Times New Roman"/>
          <w:sz w:val="22"/>
          <w:szCs w:val="22"/>
          <w:color w:val="auto"/>
        </w:rPr>
        <w:t>”).</w:t>
      </w:r>
    </w:p>
    <w:p>
      <w:pPr>
        <w:spacing w:after="0" w:line="124" w:lineRule="exact"/>
        <w:rPr>
          <w:rFonts w:ascii="Times New Roman" w:cs="Times New Roman" w:eastAsia="Times New Roman" w:hAnsi="Times New Roman"/>
          <w:sz w:val="22"/>
          <w:szCs w:val="22"/>
          <w:color w:val="auto"/>
        </w:rPr>
      </w:pPr>
    </w:p>
    <w:p>
      <w:pPr>
        <w:jc w:val="both"/>
        <w:ind w:left="320" w:hanging="320"/>
        <w:spacing w:after="0" w:line="239" w:lineRule="auto"/>
        <w:tabs>
          <w:tab w:leader="none" w:pos="3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noted herein, the maximum number of shares of Restricted Stock (and underlying shares of stock), if any, as certified by the Administrator in accordance with Paragraph 6.b. of this Agreement, shall vest (and the restrictions set forth in this Agreement with respect to such Restricted Stock shall be lifted) on the Certification Date or on such other date specified by the Administrator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320" w:right="940" w:hanging="320"/>
        <w:spacing w:after="0" w:line="258" w:lineRule="auto"/>
        <w:tabs>
          <w:tab w:leader="none" w:pos="3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Stock.</w:t>
      </w:r>
      <w:r>
        <w:rPr>
          <w:rFonts w:ascii="Times New Roman" w:cs="Times New Roman" w:eastAsia="Times New Roman" w:hAnsi="Times New Roman"/>
          <w:sz w:val="22"/>
          <w:szCs w:val="22"/>
          <w:color w:val="auto"/>
        </w:rPr>
        <w:t xml:space="preserve"> The number of shares of Target Stock eligible to vest, if any, shall be determined based on achievement of Net Sales as set forth in the table below.</w:t>
      </w:r>
    </w:p>
    <w:p>
      <w:pPr>
        <w:spacing w:after="0" w:line="104" w:lineRule="exact"/>
        <w:rPr>
          <w:rFonts w:ascii="Times New Roman" w:cs="Times New Roman" w:eastAsia="Times New Roman" w:hAnsi="Times New Roman"/>
          <w:sz w:val="22"/>
          <w:szCs w:val="22"/>
          <w:color w:val="auto"/>
        </w:rPr>
      </w:pPr>
    </w:p>
    <w:p>
      <w:pPr>
        <w:jc w:val="both"/>
        <w:ind w:left="980" w:hanging="332"/>
        <w:spacing w:after="0" w:line="234" w:lineRule="auto"/>
        <w:tabs>
          <w:tab w:leader="none" w:pos="97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Net Sales is below the Net Sales Threshold set forth below, then zero percent (0%) of the Target Stock will vest. If Net Sales is at or above the Net Sales Threshold set forth below, then twenty-five percent (25%) of the Target Stock will vest. If Net Sales is at or above the Net Sales Target set forth below, then one hundred percent (100%) of the Target Stock will vest. If Net Sales is greater than the Threshold Net Sales but less than the Target Net Sales, a pro-rata percentage of Target Stock relative to the applicable percentages will vest, as applicable.</w:t>
      </w:r>
    </w:p>
    <w:p>
      <w:pPr>
        <w:sectPr>
          <w:pgSz w:w="11900" w:h="16838" w:orient="portrait"/>
          <w:cols w:equalWidth="0" w:num="1">
            <w:col w:w="10260"/>
          </w:cols>
          <w:pgMar w:left="1300" w:top="1408" w:right="339" w:bottom="1440" w:gutter="0" w:footer="0" w:header="0"/>
        </w:sectPr>
      </w:pPr>
    </w:p>
    <w:bookmarkStart w:id="59" w:name="page60"/>
    <w:bookmarkEnd w:id="5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929005</wp:posOffset>
            </wp:positionV>
            <wp:extent cx="6214745" cy="12604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14745" cy="12604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Target Stock</w:t>
      </w:r>
    </w:p>
    <w:p>
      <w:pPr>
        <w:spacing w:after="0" w:line="33" w:lineRule="exact"/>
        <w:rPr>
          <w:sz w:val="20"/>
          <w:szCs w:val="20"/>
          <w:color w:val="auto"/>
        </w:rPr>
      </w:pPr>
    </w:p>
    <w:tbl>
      <w:tblPr>
        <w:tblLayout w:type="fixed"/>
        <w:tblInd w:w="400" w:type="dxa"/>
        <w:tblCellMar>
          <w:top w:w="0" w:type="dxa"/>
          <w:left w:w="0" w:type="dxa"/>
          <w:bottom w:w="0" w:type="dxa"/>
          <w:right w:w="0" w:type="dxa"/>
        </w:tblCellMar>
      </w:tblPr>
      <w:tr>
        <w:trPr>
          <w:trHeight w:val="300"/>
        </w:trPr>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Cumulative 2026-2028 Net Sales*</w:t>
            </w:r>
          </w:p>
        </w:tc>
        <w:tc>
          <w:tcPr>
            <w:tcW w:w="34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Percentage of Target Stock Earned</w:t>
            </w:r>
          </w:p>
        </w:tc>
      </w:tr>
      <w:tr>
        <w:trPr>
          <w:trHeight w:val="241"/>
        </w:trPr>
        <w:tc>
          <w:tcPr>
            <w:tcW w:w="3160" w:type="dxa"/>
            <w:vAlign w:val="bottom"/>
            <w:tcBorders>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22"/>
                <w:szCs w:val="22"/>
                <w:color w:val="auto"/>
                <w:w w:val="98"/>
              </w:rPr>
              <w:t>Net Sale Threshold (95%)</w:t>
            </w:r>
          </w:p>
        </w:tc>
        <w:tc>
          <w:tcPr>
            <w:tcW w:w="3160" w:type="dxa"/>
            <w:vAlign w:val="bottom"/>
            <w:tcBorders>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22"/>
                <w:szCs w:val="22"/>
                <w:color w:val="auto"/>
                <w:w w:val="96"/>
              </w:rPr>
              <w:t>$[ ]</w:t>
            </w:r>
          </w:p>
        </w:tc>
        <w:tc>
          <w:tcPr>
            <w:tcW w:w="3460" w:type="dxa"/>
            <w:vAlign w:val="bottom"/>
          </w:tcPr>
          <w:p>
            <w:pPr>
              <w:jc w:val="right"/>
              <w:ind w:right="1432"/>
              <w:spacing w:after="0" w:line="241" w:lineRule="exact"/>
              <w:rPr>
                <w:sz w:val="20"/>
                <w:szCs w:val="20"/>
                <w:color w:val="auto"/>
              </w:rPr>
            </w:pPr>
            <w:r>
              <w:rPr>
                <w:rFonts w:ascii="Times New Roman" w:cs="Times New Roman" w:eastAsia="Times New Roman" w:hAnsi="Times New Roman"/>
                <w:sz w:val="22"/>
                <w:szCs w:val="22"/>
                <w:color w:val="auto"/>
              </w:rPr>
              <w:t>25%</w:t>
            </w:r>
          </w:p>
        </w:tc>
      </w:tr>
      <w:tr>
        <w:trPr>
          <w:trHeight w:val="282"/>
        </w:trPr>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(but below 100</w:t>
            </w:r>
            <w:r>
              <w:rPr>
                <w:rFonts w:ascii="Times New Roman" w:cs="Times New Roman" w:eastAsia="Times New Roman" w:hAnsi="Times New Roman"/>
                <w:sz w:val="11"/>
                <w:szCs w:val="11"/>
                <w:color w:val="auto"/>
                <w:w w:val="98"/>
              </w:rPr>
              <w:t>th</w:t>
            </w:r>
            <w:r>
              <w:rPr>
                <w:rFonts w:ascii="Times New Roman" w:cs="Times New Roman" w:eastAsia="Times New Roman" w:hAnsi="Times New Roman"/>
                <w:sz w:val="22"/>
                <w:szCs w:val="22"/>
                <w:color w:val="auto"/>
                <w:w w:val="98"/>
              </w:rPr>
              <w:t xml:space="preserve"> Percentile)</w:t>
            </w:r>
          </w:p>
        </w:tc>
        <w:tc>
          <w:tcPr>
            <w:tcW w:w="3160" w:type="dxa"/>
            <w:vAlign w:val="bottom"/>
            <w:tcBorders>
              <w:right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258"/>
        </w:trPr>
        <w:tc>
          <w:tcPr>
            <w:tcW w:w="3160" w:type="dxa"/>
            <w:vAlign w:val="bottom"/>
            <w:tcBorders>
              <w:bottom w:val="single" w:sz="8" w:color="auto"/>
              <w:right w:val="single" w:sz="8" w:color="auto"/>
            </w:tcBorders>
          </w:tcPr>
          <w:p>
            <w:pPr>
              <w:spacing w:after="0"/>
              <w:rPr>
                <w:sz w:val="22"/>
                <w:szCs w:val="22"/>
                <w:color w:val="auto"/>
              </w:rPr>
            </w:pPr>
          </w:p>
        </w:tc>
        <w:tc>
          <w:tcPr>
            <w:tcW w:w="3160" w:type="dxa"/>
            <w:vAlign w:val="bottom"/>
            <w:tcBorders>
              <w:bottom w:val="single" w:sz="8" w:color="auto"/>
              <w:right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r>
      <w:tr>
        <w:trPr>
          <w:trHeight w:val="236"/>
        </w:trPr>
        <w:tc>
          <w:tcPr>
            <w:tcW w:w="31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7"/>
              </w:rPr>
              <w:t>Net Sales Target (100%)</w:t>
            </w:r>
          </w:p>
        </w:tc>
        <w:tc>
          <w:tcPr>
            <w:tcW w:w="31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6"/>
              </w:rPr>
              <w:t>$[ ]</w:t>
            </w:r>
          </w:p>
        </w:tc>
        <w:tc>
          <w:tcPr>
            <w:tcW w:w="3460" w:type="dxa"/>
            <w:vAlign w:val="bottom"/>
          </w:tcPr>
          <w:p>
            <w:pPr>
              <w:jc w:val="right"/>
              <w:ind w:right="1372"/>
              <w:spacing w:after="0" w:line="236" w:lineRule="exact"/>
              <w:rPr>
                <w:sz w:val="20"/>
                <w:szCs w:val="20"/>
                <w:color w:val="auto"/>
              </w:rPr>
            </w:pPr>
            <w:r>
              <w:rPr>
                <w:rFonts w:ascii="Times New Roman" w:cs="Times New Roman" w:eastAsia="Times New Roman" w:hAnsi="Times New Roman"/>
                <w:sz w:val="22"/>
                <w:szCs w:val="22"/>
                <w:color w:val="auto"/>
              </w:rPr>
              <w:t>100%</w:t>
            </w:r>
          </w:p>
        </w:tc>
      </w:tr>
      <w:tr>
        <w:trPr>
          <w:trHeight w:val="291"/>
        </w:trPr>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(but below 105%)</w:t>
            </w:r>
          </w:p>
        </w:tc>
        <w:tc>
          <w:tcPr>
            <w:tcW w:w="316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 millions.</w:t>
      </w:r>
    </w:p>
    <w:p>
      <w:pPr>
        <w:spacing w:after="0" w:line="152" w:lineRule="exact"/>
        <w:rPr>
          <w:sz w:val="20"/>
          <w:szCs w:val="20"/>
          <w:color w:val="auto"/>
        </w:rPr>
      </w:pPr>
    </w:p>
    <w:p>
      <w:pPr>
        <w:ind w:left="640" w:right="540" w:hanging="320"/>
        <w:spacing w:after="0" w:line="268" w:lineRule="auto"/>
        <w:tabs>
          <w:tab w:leader="none" w:pos="62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 Stock</w:t>
      </w:r>
      <w:r>
        <w:rPr>
          <w:rFonts w:ascii="Times New Roman" w:cs="Times New Roman" w:eastAsia="Times New Roman" w:hAnsi="Times New Roman"/>
          <w:sz w:val="21"/>
          <w:szCs w:val="21"/>
          <w:color w:val="auto"/>
        </w:rPr>
        <w:t>. The number of shares of Bonus Stock eligible to be issued and vest, if any, shall be determined based on achievement of the Performance Goal set forth in the table below (the “</w:t>
      </w:r>
      <w:r>
        <w:rPr>
          <w:rFonts w:ascii="Times New Roman" w:cs="Times New Roman" w:eastAsia="Times New Roman" w:hAnsi="Times New Roman"/>
          <w:sz w:val="21"/>
          <w:szCs w:val="21"/>
          <w:u w:val="single" w:color="auto"/>
          <w:color w:val="auto"/>
        </w:rPr>
        <w:t>Maximum Net Sales</w:t>
      </w:r>
      <w:r>
        <w:rPr>
          <w:rFonts w:ascii="Times New Roman" w:cs="Times New Roman" w:eastAsia="Times New Roman" w:hAnsi="Times New Roman"/>
          <w:sz w:val="21"/>
          <w:szCs w:val="21"/>
          <w:color w:val="auto"/>
        </w:rPr>
        <w:t>).</w:t>
      </w:r>
    </w:p>
    <w:p>
      <w:pPr>
        <w:spacing w:after="0" w:line="95" w:lineRule="exact"/>
        <w:rPr>
          <w:rFonts w:ascii="Times New Roman" w:cs="Times New Roman" w:eastAsia="Times New Roman" w:hAnsi="Times New Roman"/>
          <w:sz w:val="21"/>
          <w:szCs w:val="21"/>
          <w:color w:val="auto"/>
        </w:rPr>
      </w:pPr>
    </w:p>
    <w:p>
      <w:pPr>
        <w:ind w:left="960" w:hanging="316"/>
        <w:spacing w:after="0" w:line="258" w:lineRule="auto"/>
        <w:tabs>
          <w:tab w:leader="none" w:pos="95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Bonus Stock are eligible to vest based on Maximum Net Sales measured at the end of Fiscal Year 2028. Shares of Bonus Stock that do not vest on the Company’s actual performance are forfeited.</w:t>
      </w:r>
    </w:p>
    <w:p>
      <w:pPr>
        <w:spacing w:after="0" w:line="104" w:lineRule="exact"/>
        <w:rPr>
          <w:rFonts w:ascii="Times New Roman" w:cs="Times New Roman" w:eastAsia="Times New Roman" w:hAnsi="Times New Roman"/>
          <w:sz w:val="22"/>
          <w:szCs w:val="22"/>
          <w:color w:val="auto"/>
        </w:rPr>
      </w:pPr>
    </w:p>
    <w:p>
      <w:pPr>
        <w:ind w:left="960" w:hanging="316"/>
        <w:spacing w:after="0" w:line="261" w:lineRule="auto"/>
        <w:tabs>
          <w:tab w:leader="none" w:pos="959"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Net Sales is at or above such Maximum Net Sales, then one hundred percent (100%) of the Bonus Stock will vest. If Net Sales is greater than the Net Sales Target set forth in the table above but less than the Maximum Net Sales, a pro-rata percentage of Bonus Stock relative to the applicable percentage will vest,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100330</wp:posOffset>
            </wp:positionV>
            <wp:extent cx="5657850" cy="754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754380"/>
                    </a:xfrm>
                    <a:prstGeom prst="rect">
                      <a:avLst/>
                    </a:prstGeom>
                    <a:noFill/>
                  </pic:spPr>
                </pic:pic>
              </a:graphicData>
            </a:graphic>
          </wp:anchor>
        </w:drawing>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Bonus Stock</w:t>
      </w:r>
    </w:p>
    <w:p>
      <w:pPr>
        <w:spacing w:after="0" w:line="33" w:lineRule="exact"/>
        <w:rPr>
          <w:sz w:val="20"/>
          <w:szCs w:val="20"/>
          <w:color w:val="auto"/>
        </w:rPr>
      </w:pPr>
    </w:p>
    <w:tbl>
      <w:tblPr>
        <w:tblLayout w:type="fixed"/>
        <w:tblInd w:w="800" w:type="dxa"/>
        <w:tblCellMar>
          <w:top w:w="0" w:type="dxa"/>
          <w:left w:w="0" w:type="dxa"/>
          <w:bottom w:w="0" w:type="dxa"/>
          <w:right w:w="0" w:type="dxa"/>
        </w:tblCellMar>
      </w:tblPr>
      <w:tr>
        <w:trPr>
          <w:trHeight w:val="247"/>
        </w:trPr>
        <w:tc>
          <w:tcPr>
            <w:tcW w:w="2960" w:type="dxa"/>
            <w:vAlign w:val="bottom"/>
            <w:tcBorders>
              <w:top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2980" w:type="dxa"/>
            <w:vAlign w:val="bottom"/>
            <w:tcBorders>
              <w:top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7"/>
              </w:rPr>
              <w:t>Cumulative 2026-2028 Net</w:t>
            </w:r>
          </w:p>
        </w:tc>
        <w:tc>
          <w:tcPr>
            <w:tcW w:w="2960" w:type="dxa"/>
            <w:vAlign w:val="bottom"/>
            <w:tcBorders>
              <w:top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7"/>
              </w:rPr>
              <w:t>Percentage of Net Sales Target</w:t>
            </w:r>
          </w:p>
        </w:tc>
      </w:tr>
      <w:tr>
        <w:trPr>
          <w:trHeight w:val="295"/>
        </w:trPr>
        <w:tc>
          <w:tcPr>
            <w:tcW w:w="296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Sales*</w:t>
            </w: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Earned</w:t>
            </w:r>
          </w:p>
        </w:tc>
      </w:tr>
      <w:tr>
        <w:trPr>
          <w:trHeight w:val="290"/>
        </w:trPr>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 Net Sales (105%)</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$10,112</w:t>
            </w: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 millions.</w:t>
      </w:r>
    </w:p>
    <w:p>
      <w:pPr>
        <w:spacing w:after="0" w:line="139" w:lineRule="exact"/>
        <w:rPr>
          <w:sz w:val="20"/>
          <w:szCs w:val="20"/>
          <w:color w:val="auto"/>
        </w:rPr>
      </w:pPr>
    </w:p>
    <w:p>
      <w:pPr>
        <w:ind w:left="640" w:right="20" w:hanging="320"/>
        <w:spacing w:after="0" w:line="234" w:lineRule="auto"/>
        <w:tabs>
          <w:tab w:leader="none" w:pos="63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Award</w:t>
      </w:r>
      <w:r>
        <w:rPr>
          <w:rFonts w:ascii="Times New Roman" w:cs="Times New Roman" w:eastAsia="Times New Roman" w:hAnsi="Times New Roman"/>
          <w:sz w:val="22"/>
          <w:szCs w:val="22"/>
          <w:color w:val="auto"/>
        </w:rPr>
        <w:t>. The Company shall, as soon as administratively practicable after the Vesting Date (but in no event later than March 11, 2029) issue and effect delivery of the shares of Target Stock and Bonus Stock with respect to such vested portion to the Participant in accordance with Paragraph 6.c of this Agreement. No shares of the Stock will be issued to Participant pursuant to this Award unless and until all legal requirements applicable to the issuance or transfer of such Stock have been complied with to the satisfaction of the Administrator. The Participant understands that any issuance of Stock upon vesting and settlement of the Award or any portion thereof by the 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29" w:lineRule="exact"/>
        <w:rPr>
          <w:rFonts w:ascii="Times New Roman" w:cs="Times New Roman" w:eastAsia="Times New Roman" w:hAnsi="Times New Roman"/>
          <w:sz w:val="22"/>
          <w:szCs w:val="22"/>
          <w:color w:val="auto"/>
        </w:rPr>
      </w:pPr>
    </w:p>
    <w:p>
      <w:pPr>
        <w:ind w:left="640" w:hanging="320"/>
        <w:spacing w:after="0" w:line="258" w:lineRule="auto"/>
        <w:tabs>
          <w:tab w:leader="none" w:pos="6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Transactions</w:t>
      </w:r>
      <w:r>
        <w:rPr>
          <w:rFonts w:ascii="Times New Roman" w:cs="Times New Roman" w:eastAsia="Times New Roman" w:hAnsi="Times New Roman"/>
          <w:sz w:val="22"/>
          <w:szCs w:val="22"/>
          <w:color w:val="auto"/>
        </w:rPr>
        <w:t>. Notwithstanding the foregoing, (i) if a Covered Transaction occurs on or after the Grant Date and before or on the Certification</w:t>
      </w:r>
    </w:p>
    <w:p>
      <w:pPr>
        <w:sectPr>
          <w:pgSz w:w="11900" w:h="16838" w:orient="portrait"/>
          <w:cols w:equalWidth="0" w:num="1">
            <w:col w:w="10580"/>
          </w:cols>
          <w:pgMar w:left="980" w:top="1440" w:right="339" w:bottom="1440" w:gutter="0" w:footer="0" w:header="0"/>
        </w:sectPr>
      </w:pPr>
    </w:p>
    <w:bookmarkStart w:id="60" w:name="page61"/>
    <w:bookmarkEnd w:id="60"/>
    <w:p>
      <w:pPr>
        <w:ind w:left="968"/>
        <w:spacing w:after="0"/>
        <w:rPr>
          <w:sz w:val="20"/>
          <w:szCs w:val="20"/>
          <w:color w:val="auto"/>
        </w:rPr>
      </w:pPr>
      <w:r>
        <w:rPr>
          <w:rFonts w:ascii="Times New Roman" w:cs="Times New Roman" w:eastAsia="Times New Roman" w:hAnsi="Times New Roman"/>
          <w:sz w:val="21"/>
          <w:szCs w:val="21"/>
          <w:color w:val="auto"/>
        </w:rPr>
        <w:t>Date, then one hundred percent (100%) of the Target Stock shall vest on such date of the Covered Transaction and</w:t>
      </w:r>
    </w:p>
    <w:p>
      <w:pPr>
        <w:spacing w:after="0" w:line="26" w:lineRule="exact"/>
        <w:rPr>
          <w:sz w:val="20"/>
          <w:szCs w:val="20"/>
          <w:color w:val="auto"/>
        </w:rPr>
      </w:pPr>
    </w:p>
    <w:p>
      <w:pPr>
        <w:jc w:val="both"/>
        <w:ind w:left="968" w:firstLine="4"/>
        <w:spacing w:after="0" w:line="233" w:lineRule="auto"/>
        <w:tabs>
          <w:tab w:leader="none" w:pos="128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Covered Transaction occurs after the Certification Date and before or on the Vesting Date, then the Earned Stock shall vest on such date of the Covered Transaction. For the avoidance of doubt, no Bonus Stock shall vest in the event of a Covered Transaction that occurs on or after the Grant Date and before or on the Certification Date. Settlement shall be made as soon as practicable following the occurrence or consummation (as applicable) of the Covered Transaction but in no event later than the sixtieth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 following such event.</w:t>
      </w:r>
    </w:p>
    <w:p>
      <w:pPr>
        <w:spacing w:after="0" w:line="111" w:lineRule="exact"/>
        <w:rPr>
          <w:rFonts w:ascii="Times New Roman" w:cs="Times New Roman" w:eastAsia="Times New Roman" w:hAnsi="Times New Roman"/>
          <w:sz w:val="22"/>
          <w:szCs w:val="22"/>
          <w:color w:val="auto"/>
        </w:rPr>
      </w:pPr>
    </w:p>
    <w:p>
      <w:pPr>
        <w:ind w:left="968" w:right="20" w:hanging="320"/>
        <w:spacing w:after="0" w:line="258" w:lineRule="auto"/>
        <w:tabs>
          <w:tab w:leader="none" w:pos="96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period from the Grant Date until the Vesting Date is referred to as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for purposes of this Agreement.</w:t>
      </w:r>
    </w:p>
    <w:p>
      <w:pPr>
        <w:spacing w:after="0" w:line="10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Disability, or Retirement; Covered Transaction</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968" w:hanging="320"/>
        <w:spacing w:after="0" w:line="235" w:lineRule="auto"/>
        <w:tabs>
          <w:tab w:leader="none" w:pos="95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(i) the Participant dies on or after the Grant Date and before or on the Certification Date, then one hundred percent (100%) of the Target Stock shall vest automatically on the date of the Participant’s death and (ii) if the Participant dies after the Certification Date and before or on the Vesting Date, then the Earned Stock shall vest automatically upon Participant’s death, provided that such Stock would have otherwise vested in accordance with this Agreement with the passage of time and the Participant’s continued service as an Employee. For the avoidance of doubt, no Bonus Stock shall vest if the Participant dies on or after the Grant Date and before or on the Certification Date.</w:t>
      </w:r>
    </w:p>
    <w:p>
      <w:pPr>
        <w:spacing w:after="0" w:line="129" w:lineRule="exact"/>
        <w:rPr>
          <w:rFonts w:ascii="Times New Roman" w:cs="Times New Roman" w:eastAsia="Times New Roman" w:hAnsi="Times New Roman"/>
          <w:sz w:val="22"/>
          <w:szCs w:val="22"/>
          <w:color w:val="auto"/>
        </w:rPr>
      </w:pPr>
    </w:p>
    <w:p>
      <w:pPr>
        <w:jc w:val="both"/>
        <w:ind w:left="968" w:hanging="320"/>
        <w:spacing w:after="0" w:line="232" w:lineRule="auto"/>
        <w:tabs>
          <w:tab w:leader="none" w:pos="96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Participant becomes disabled due to injury or illness and is unable to serve as an Employee for a period of time not exceeding six (6) months and returns to serve as an Employee after such disability, the vesting of the Stock will not be affected by such disability. If the Participant becomes disabled due to injury or illness and the Company, in its sole discretion, determines the Participant is unable to serve as Employee for a period of time reasonably expected to exceed six (6) months (such determination date, a “</w:t>
      </w:r>
      <w:r>
        <w:rPr>
          <w:rFonts w:ascii="Times New Roman" w:cs="Times New Roman" w:eastAsia="Times New Roman" w:hAnsi="Times New Roman"/>
          <w:sz w:val="22"/>
          <w:szCs w:val="22"/>
          <w:u w:val="single" w:color="auto"/>
          <w:color w:val="auto"/>
        </w:rPr>
        <w:t>Disability Date</w:t>
      </w:r>
      <w:r>
        <w:rPr>
          <w:rFonts w:ascii="Times New Roman" w:cs="Times New Roman" w:eastAsia="Times New Roman" w:hAnsi="Times New Roman"/>
          <w:sz w:val="22"/>
          <w:szCs w:val="22"/>
          <w:color w:val="auto"/>
        </w:rPr>
        <w:t>”), then if, (i) the Disability Date is on or after the Grant Date and before or on the Certification Date, then one hundred percent (100%) of the Target Stock shall vest automatically and (ii) the Disability Date is after the Certification Date and before or on the Vesting Date, then the Earned Stock shall vest automatically, in each case on the Disability Date. For the avoidance of doubt, no Bonus Stock shall vest in the event of a Disability Date that occurs on or after the Grant Date and before or on the Certification Date.</w:t>
      </w:r>
    </w:p>
    <w:p>
      <w:pPr>
        <w:spacing w:after="0" w:line="133" w:lineRule="exact"/>
        <w:rPr>
          <w:rFonts w:ascii="Times New Roman" w:cs="Times New Roman" w:eastAsia="Times New Roman" w:hAnsi="Times New Roman"/>
          <w:sz w:val="22"/>
          <w:szCs w:val="22"/>
          <w:color w:val="auto"/>
        </w:rPr>
      </w:pPr>
    </w:p>
    <w:p>
      <w:pPr>
        <w:ind w:left="968" w:hanging="320"/>
        <w:spacing w:after="0" w:line="245" w:lineRule="auto"/>
        <w:tabs>
          <w:tab w:leader="none" w:pos="95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the Participant’s Employment terminates due to Retirement during the Restricted Period (such date, the “</w:t>
      </w: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then if:</w:t>
      </w:r>
    </w:p>
    <w:p>
      <w:pPr>
        <w:spacing w:after="0" w:line="118" w:lineRule="exact"/>
        <w:rPr>
          <w:sz w:val="20"/>
          <w:szCs w:val="20"/>
          <w:color w:val="auto"/>
        </w:rPr>
      </w:pPr>
    </w:p>
    <w:p>
      <w:pPr>
        <w:jc w:val="both"/>
        <w:ind w:left="1288" w:hanging="316"/>
        <w:spacing w:after="0" w:line="251" w:lineRule="auto"/>
        <w:tabs>
          <w:tab w:leader="none" w:pos="12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Retirement Date is on or after the Grant Date and before or on the Performance End Date, then the amount of Earned Stock that is earned, if any, shall be equal to the product of (x) the number of Earned Stock, if any, as certified by the Administrator in accordance with Paragraph 6.b. of this Agreement, multiplied by (y) the quotient of (I) the total number of calendar days between the Grant Date and the Retirement Date (inclusive), divided by (II) the total number of calendar days between the Grant Date and the</w:t>
      </w:r>
    </w:p>
    <w:p>
      <w:pPr>
        <w:sectPr>
          <w:pgSz w:w="11900" w:h="16838" w:orient="portrait"/>
          <w:cols w:equalWidth="0" w:num="1">
            <w:col w:w="10908"/>
          </w:cols>
          <w:pgMar w:left="652" w:top="1408" w:right="339" w:bottom="1440" w:gutter="0" w:footer="0" w:header="0"/>
        </w:sectPr>
      </w:pPr>
    </w:p>
    <w:bookmarkStart w:id="61" w:name="page62"/>
    <w:bookmarkEnd w:id="61"/>
    <w:p>
      <w:pPr>
        <w:ind w:left="1288"/>
        <w:spacing w:after="0"/>
        <w:rPr>
          <w:sz w:val="20"/>
          <w:szCs w:val="20"/>
          <w:color w:val="auto"/>
        </w:rPr>
      </w:pPr>
      <w:r>
        <w:rPr>
          <w:rFonts w:ascii="Times New Roman" w:cs="Times New Roman" w:eastAsia="Times New Roman" w:hAnsi="Times New Roman"/>
          <w:sz w:val="22"/>
          <w:szCs w:val="22"/>
          <w:color w:val="auto"/>
        </w:rPr>
        <w:t>Performance End Date; and any such Earned Stock shall vest on the Certification Date; and</w:t>
      </w:r>
    </w:p>
    <w:p>
      <w:pPr>
        <w:spacing w:after="0" w:line="152" w:lineRule="exact"/>
        <w:rPr>
          <w:sz w:val="20"/>
          <w:szCs w:val="20"/>
          <w:color w:val="auto"/>
        </w:rPr>
      </w:pPr>
    </w:p>
    <w:p>
      <w:pPr>
        <w:ind w:left="1288" w:right="320" w:hanging="316"/>
        <w:spacing w:after="0" w:line="258" w:lineRule="auto"/>
        <w:tabs>
          <w:tab w:leader="none" w:pos="1287"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after the Performance Date and before or on the Vesting Date, then the Earned Stock shall vest automatically on the Retirement Date.</w:t>
      </w:r>
    </w:p>
    <w:p>
      <w:pPr>
        <w:spacing w:after="0" w:line="104" w:lineRule="exact"/>
        <w:rPr>
          <w:rFonts w:ascii="Times New Roman" w:cs="Times New Roman" w:eastAsia="Times New Roman" w:hAnsi="Times New Roman"/>
          <w:sz w:val="22"/>
          <w:szCs w:val="22"/>
          <w:color w:val="auto"/>
        </w:rPr>
      </w:pPr>
    </w:p>
    <w:p>
      <w:pPr>
        <w:jc w:val="both"/>
        <w:ind w:left="1288"/>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For the purposes of this Agreement,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a termination of employment by the Participant on or after the date on which the Participant has attained age 60 and completed at least five years of service with the Company or any of its Affiliates, but only to the extent that circumstances constituting Cause do not exist.</w:t>
      </w:r>
    </w:p>
    <w:p>
      <w:pPr>
        <w:spacing w:after="0" w:line="89" w:lineRule="exact"/>
        <w:rPr>
          <w:rFonts w:ascii="Times New Roman" w:cs="Times New Roman" w:eastAsia="Times New Roman" w:hAnsi="Times New Roman"/>
          <w:sz w:val="22"/>
          <w:szCs w:val="22"/>
          <w:color w:val="auto"/>
        </w:rPr>
      </w:pPr>
    </w:p>
    <w:p>
      <w:pPr>
        <w:ind w:left="968" w:hanging="320"/>
        <w:spacing w:after="0" w:line="258" w:lineRule="auto"/>
        <w:tabs>
          <w:tab w:leader="none" w:pos="96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 In the event a Covered Transaction is consummated, the Restricted Stock shall vest as provided in Paragraph 6.g.</w:t>
      </w:r>
    </w:p>
    <w:p>
      <w:pPr>
        <w:spacing w:after="0" w:line="100" w:lineRule="exact"/>
        <w:rPr>
          <w:rFonts w:ascii="Times New Roman" w:cs="Times New Roman" w:eastAsia="Times New Roman" w:hAnsi="Times New Roman"/>
          <w:sz w:val="22"/>
          <w:szCs w:val="22"/>
          <w:color w:val="auto"/>
        </w:rPr>
      </w:pPr>
    </w:p>
    <w:p>
      <w:pPr>
        <w:jc w:val="both"/>
        <w:ind w:left="328" w:hanging="328"/>
        <w:spacing w:after="0" w:line="232" w:lineRule="auto"/>
        <w:tabs>
          <w:tab w:leader="none" w:pos="32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 Equivalents, Voting, etc</w:t>
      </w:r>
      <w:r>
        <w:rPr>
          <w:rFonts w:ascii="Times New Roman" w:cs="Times New Roman" w:eastAsia="Times New Roman" w:hAnsi="Times New Roman"/>
          <w:sz w:val="22"/>
          <w:szCs w:val="22"/>
          <w:color w:val="auto"/>
        </w:rPr>
        <w:t>. The Participant shall be entitled, as to (a) if on or after the Grant Date and before or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Certification Date, one hundred percent (100%) of the total number of shares of Target Stock and (b) if after the Certification Date and before or on the Vesting Date, any Earned Stock, in each case to (i) receive a cash payment equal to the amount of any and all cash dividends or other cash distributions paid with respect to one share of Stock times the number of shares of Target Stock or Earned Stock, as the case may be and (ii) vote any Stock of which Participant is the record owner on the record date for such vote;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property (other than cash) distributed with respect to any such share of Target Stock or Earned Stock (the “</w:t>
      </w:r>
      <w:r>
        <w:rPr>
          <w:rFonts w:ascii="Times New Roman" w:cs="Times New Roman" w:eastAsia="Times New Roman" w:hAnsi="Times New Roman"/>
          <w:sz w:val="22"/>
          <w:szCs w:val="22"/>
          <w:u w:val="single" w:color="auto"/>
          <w:color w:val="auto"/>
        </w:rPr>
        <w:t>Associated Share</w:t>
      </w:r>
      <w:r>
        <w:rPr>
          <w:rFonts w:ascii="Times New Roman" w:cs="Times New Roman" w:eastAsia="Times New Roman" w:hAnsi="Times New Roman"/>
          <w:sz w:val="22"/>
          <w:szCs w:val="22"/>
          <w:color w:val="auto"/>
        </w:rPr>
        <w:t xml:space="preserve">”),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2"/>
          <w:szCs w:val="22"/>
          <w:i w:val="1"/>
          <w:iCs w:val="1"/>
          <w:color w:val="auto"/>
        </w:rPr>
        <w:t>and provided, further</w:t>
      </w:r>
      <w:r>
        <w:rPr>
          <w:rFonts w:ascii="Times New Roman" w:cs="Times New Roman" w:eastAsia="Times New Roman" w:hAnsi="Times New Roman"/>
          <w:sz w:val="22"/>
          <w:szCs w:val="22"/>
          <w:color w:val="auto"/>
        </w:rPr>
        <w:t>, that the Administrator may require that any cash distribution with respect to the Target Stock or Earned Stock (as the case may be) other than a normal cash dividend be placed in escrow or otherwise made subject to such restrictions as the Administrator deems appropriate to carry out the intent of the Plan. References in this Agreement to the Target Stock or Earned Stock (as the case may be) shall refer in the same way to any such restricted amounts. For the avoidance of doubt, Bonus Stock is not issued and outstanding as of the Grant Date, does not have the right to vote or to receive dividends or other distributions that may be made with respect to shares of Common Stock of the Company, and may vest and be issued as and to the extent set forth in Paragraph 6.</w:t>
      </w:r>
    </w:p>
    <w:p>
      <w:pPr>
        <w:spacing w:after="0" w:line="122" w:lineRule="exact"/>
        <w:rPr>
          <w:rFonts w:ascii="Times New Roman" w:cs="Times New Roman" w:eastAsia="Times New Roman" w:hAnsi="Times New Roman"/>
          <w:sz w:val="22"/>
          <w:szCs w:val="22"/>
          <w:color w:val="auto"/>
        </w:rPr>
      </w:pPr>
    </w:p>
    <w:p>
      <w:pPr>
        <w:jc w:val="both"/>
        <w:ind w:left="328" w:hanging="328"/>
        <w:spacing w:after="0" w:line="234" w:lineRule="auto"/>
        <w:tabs>
          <w:tab w:leader="none" w:pos="32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Certain Tax Matters</w:t>
      </w:r>
      <w:r>
        <w:rPr>
          <w:rFonts w:ascii="Times New Roman" w:cs="Times New Roman" w:eastAsia="Times New Roman" w:hAnsi="Times New Roman"/>
          <w:sz w:val="22"/>
          <w:szCs w:val="22"/>
          <w:color w:val="auto"/>
        </w:rPr>
        <w:t>. The Participant expressly acknowledges that the Participant has been advised to confer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The Company has made no recommendation to the Participant with respect to the advisability of making such an election. In addition, the award or vesting of the Restricted Stock acquired</w:t>
      </w:r>
    </w:p>
    <w:p>
      <w:pPr>
        <w:sectPr>
          <w:pgSz w:w="11900" w:h="16838" w:orient="portrait"/>
          <w:cols w:equalWidth="0" w:num="1">
            <w:col w:w="10908"/>
          </w:cols>
          <w:pgMar w:left="652" w:top="1408" w:right="339" w:bottom="1440" w:gutter="0" w:footer="0" w:header="0"/>
        </w:sectPr>
      </w:pPr>
    </w:p>
    <w:bookmarkStart w:id="62" w:name="page63"/>
    <w:bookmarkEnd w:id="62"/>
    <w:p>
      <w:pPr>
        <w:jc w:val="both"/>
        <w:ind w:left="328"/>
        <w:spacing w:after="0" w:line="232" w:lineRule="auto"/>
        <w:rPr>
          <w:sz w:val="20"/>
          <w:szCs w:val="20"/>
          <w:color w:val="auto"/>
        </w:rPr>
      </w:pPr>
      <w:r>
        <w:rPr>
          <w:rFonts w:ascii="Times New Roman" w:cs="Times New Roman" w:eastAsia="Times New Roman" w:hAnsi="Times New Roman"/>
          <w:sz w:val="22"/>
          <w:szCs w:val="22"/>
          <w:color w:val="auto"/>
        </w:rPr>
        <w:t>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128" w:lineRule="exact"/>
        <w:rPr>
          <w:sz w:val="20"/>
          <w:szCs w:val="20"/>
          <w:color w:val="auto"/>
        </w:rPr>
      </w:pPr>
    </w:p>
    <w:p>
      <w:pPr>
        <w:ind w:left="328" w:right="20" w:hanging="328"/>
        <w:spacing w:after="0" w:line="262" w:lineRule="auto"/>
        <w:tabs>
          <w:tab w:leader="none" w:pos="3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Clawback Policy, and by accepting this award, the Participant is agreeing to be bound by the Clawback Policy.</w:t>
      </w:r>
    </w:p>
    <w:p>
      <w:pPr>
        <w:spacing w:after="0" w:line="95" w:lineRule="exact"/>
        <w:rPr>
          <w:rFonts w:ascii="Times New Roman" w:cs="Times New Roman" w:eastAsia="Times New Roman" w:hAnsi="Times New Roman"/>
          <w:sz w:val="22"/>
          <w:szCs w:val="22"/>
          <w:color w:val="auto"/>
        </w:rPr>
      </w:pPr>
    </w:p>
    <w:p>
      <w:pPr>
        <w:jc w:val="both"/>
        <w:ind w:left="328" w:hanging="328"/>
        <w:spacing w:after="0" w:line="236" w:lineRule="auto"/>
        <w:tabs>
          <w:tab w:leader="none" w:pos="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has read and understands the terms and provisions thereof and hereof, and accepts the Award subject to all of the terms and conditions of the Plan and this Agreement. The Participant acknowledges that there may be adverse tax consequences upon the grant or vesting of the Award or disposition of the underlying shares and that the Participant has been advised to consult his or her tax advisor prior to such grant, vesting, or disposition.</w:t>
      </w:r>
    </w:p>
    <w:p>
      <w:pPr>
        <w:spacing w:after="0" w:line="119" w:lineRule="exact"/>
        <w:rPr>
          <w:rFonts w:ascii="Times New Roman" w:cs="Times New Roman" w:eastAsia="Times New Roman" w:hAnsi="Times New Roman"/>
          <w:sz w:val="22"/>
          <w:szCs w:val="22"/>
          <w:color w:val="auto"/>
        </w:rPr>
      </w:pPr>
    </w:p>
    <w:p>
      <w:pPr>
        <w:jc w:val="both"/>
        <w:ind w:left="328" w:hanging="328"/>
        <w:spacing w:after="0" w:line="241" w:lineRule="auto"/>
        <w:tabs>
          <w:tab w:leader="none" w:pos="3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17"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Administrator for review. The resolution of such dispute by the Administrator shall be final and binding on the Participant and the Company.</w:t>
      </w:r>
    </w:p>
    <w:p>
      <w:pPr>
        <w:spacing w:after="0" w:line="113"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 Subject to Plan</w:t>
      </w:r>
      <w:r>
        <w:rPr>
          <w:rFonts w:ascii="Times New Roman" w:cs="Times New Roman" w:eastAsia="Times New Roman" w:hAnsi="Times New Roman"/>
          <w:sz w:val="22"/>
          <w:szCs w:val="22"/>
          <w:color w:val="auto"/>
        </w:rPr>
        <w:t>. This Agreement is subject to the Plan as approved by the Company’s shareholders. The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21"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may assign any of its rights under this Agreement. This Agreement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upon and inure to the benefit of the successors and assigns of the Company. Subject to the restrictions on transfer set forth herein, this Agreement will be binding upon the Participant and the Participant’s</w:t>
      </w:r>
    </w:p>
    <w:p>
      <w:pPr>
        <w:sectPr>
          <w:pgSz w:w="11900" w:h="16838" w:orient="portrait"/>
          <w:cols w:equalWidth="0" w:num="1">
            <w:col w:w="10908"/>
          </w:cols>
          <w:pgMar w:left="652" w:top="1408" w:right="339" w:bottom="1440" w:gutter="0" w:footer="0" w:header="0"/>
        </w:sectPr>
      </w:pPr>
    </w:p>
    <w:bookmarkStart w:id="63" w:name="page64"/>
    <w:bookmarkEnd w:id="63"/>
    <w:p>
      <w:pPr>
        <w:ind w:left="660" w:right="20"/>
        <w:spacing w:after="0" w:line="258" w:lineRule="auto"/>
        <w:rPr>
          <w:sz w:val="20"/>
          <w:szCs w:val="20"/>
          <w:color w:val="auto"/>
        </w:rPr>
      </w:pPr>
      <w:r>
        <w:rPr>
          <w:rFonts w:ascii="Times New Roman" w:cs="Times New Roman" w:eastAsia="Times New Roman" w:hAnsi="Times New Roman"/>
          <w:sz w:val="22"/>
          <w:szCs w:val="22"/>
          <w:color w:val="auto"/>
        </w:rPr>
        <w:t>beneficiaries, executors, administrators and the person(s) to whom the Award may be transferred by will or the laws of descent or distribution.</w:t>
      </w:r>
    </w:p>
    <w:p>
      <w:pPr>
        <w:spacing w:after="0" w:line="100" w:lineRule="exact"/>
        <w:rPr>
          <w:sz w:val="20"/>
          <w:szCs w:val="20"/>
          <w:color w:val="auto"/>
        </w:rPr>
      </w:pPr>
    </w:p>
    <w:p>
      <w:pPr>
        <w:jc w:val="both"/>
        <w:ind w:left="660" w:hanging="328"/>
        <w:spacing w:after="0" w:line="246" w:lineRule="auto"/>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enforceability of any other provision of the Plan or this Agreement, and each provision of the Plan and this Agreement shall be severable and enforceable to the extent permitted by law.</w:t>
      </w:r>
    </w:p>
    <w:p>
      <w:pPr>
        <w:spacing w:after="0" w:line="113"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 Company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in its discretion. The grant of the Award in this Agreement does not create any contractual right or other right to receive any Award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19"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13"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ectPr>
          <w:pgSz w:w="11900" w:h="16838" w:orient="portrait"/>
          <w:cols w:equalWidth="0" w:num="1">
            <w:col w:w="11240"/>
          </w:cols>
          <w:pgMar w:left="320" w:top="140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Exhibit 10.5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rTSR Performance-Based Restricted Stock Agreement</w:t>
      </w:r>
    </w:p>
    <w:p>
      <w:pPr>
        <w:spacing w:after="0" w:line="15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rTSR Performance-Based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Carter’s,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Carter’s, Inc. Amended and Restated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capitalized terms not otherwise defined herein shall have the meaning provided in the Plan.</w:t>
      </w:r>
    </w:p>
    <w:p>
      <w:pPr>
        <w:spacing w:after="0" w:line="113" w:lineRule="exact"/>
        <w:rPr>
          <w:sz w:val="20"/>
          <w:szCs w:val="20"/>
          <w:color w:val="auto"/>
        </w:rPr>
      </w:pPr>
    </w:p>
    <w:p>
      <w:pPr>
        <w:ind w:left="660" w:right="560"/>
        <w:spacing w:after="0" w:line="402" w:lineRule="auto"/>
        <w:rPr>
          <w:sz w:val="20"/>
          <w:szCs w:val="20"/>
          <w:color w:val="auto"/>
        </w:rPr>
      </w:pPr>
      <w:r>
        <w:rPr>
          <w:rFonts w:ascii="Times New Roman" w:cs="Times New Roman" w:eastAsia="Times New Roman" w:hAnsi="Times New Roman"/>
          <w:sz w:val="21"/>
          <w:szCs w:val="21"/>
          <w:color w:val="auto"/>
        </w:rPr>
        <w:t>WHEREAS, the Company has adopted the Plan, pursuant to which awards of Restricted Stock may be granted; WHEREAS, the Participant has agreed to terms of employment with the Company or certain of its subsidiaries; and</w:t>
      </w:r>
    </w:p>
    <w:p>
      <w:pPr>
        <w:spacing w:after="0" w:line="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as part of the Participant’s compensation, the Company wishes to grant the Participant two separate performance-based awards of Restricted Stock, consisting of (1) a performance-based award with performance goals tied to the performance of the Company (to be set forth in a separate agreement) and (2) a performance-based award with a performance goal tied to rTSR metrics as described herein, and Participant wishes to accept such grant through an online system, as provided for herein.</w:t>
      </w:r>
    </w:p>
    <w:p>
      <w:pPr>
        <w:spacing w:after="0" w:line="1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receipt and sufficiency of which are hereby acknowledged, the parties agree as follows:</w:t>
      </w:r>
    </w:p>
    <w:p>
      <w:pPr>
        <w:spacing w:after="0" w:line="100" w:lineRule="exact"/>
        <w:rPr>
          <w:sz w:val="20"/>
          <w:szCs w:val="20"/>
          <w:color w:val="auto"/>
        </w:rPr>
      </w:pPr>
    </w:p>
    <w:p>
      <w:pPr>
        <w:jc w:val="both"/>
        <w:ind w:left="660" w:hanging="328"/>
        <w:spacing w:after="0" w:line="242" w:lineRule="auto"/>
        <w:tabs>
          <w:tab w:leader="none" w:pos="6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Award</w:t>
      </w:r>
      <w:r>
        <w:rPr>
          <w:rFonts w:ascii="Times New Roman" w:cs="Times New Roman" w:eastAsia="Times New Roman" w:hAnsi="Times New Roman"/>
          <w:sz w:val="21"/>
          <w:szCs w:val="21"/>
          <w:color w:val="auto"/>
        </w:rPr>
        <w:t>. The Company hereby grants an award of Restricted Stock to the Participant on the “Grant Date” shown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“Grant Summary” box in the “Online Grant Summary” screen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consisting of (a) the number of shares of Stock shown in the “Granted” line of “Grant Summary” box in the “Online Grant Summary” screen (such amount, the “</w:t>
      </w:r>
      <w:r>
        <w:rPr>
          <w:rFonts w:ascii="Times New Roman" w:cs="Times New Roman" w:eastAsia="Times New Roman" w:hAnsi="Times New Roman"/>
          <w:sz w:val="21"/>
          <w:szCs w:val="21"/>
          <w:u w:val="single" w:color="auto"/>
          <w:color w:val="auto"/>
        </w:rPr>
        <w:t>Target Amount</w:t>
      </w:r>
      <w:r>
        <w:rPr>
          <w:rFonts w:ascii="Times New Roman" w:cs="Times New Roman" w:eastAsia="Times New Roman" w:hAnsi="Times New Roman"/>
          <w:sz w:val="21"/>
          <w:szCs w:val="21"/>
          <w:color w:val="auto"/>
        </w:rPr>
        <w:t>” and such Stock, the “</w:t>
      </w:r>
      <w:r>
        <w:rPr>
          <w:rFonts w:ascii="Times New Roman" w:cs="Times New Roman" w:eastAsia="Times New Roman" w:hAnsi="Times New Roman"/>
          <w:sz w:val="21"/>
          <w:szCs w:val="21"/>
          <w:u w:val="single" w:color="auto"/>
          <w:color w:val="auto"/>
        </w:rPr>
        <w:t>Target Stock</w:t>
      </w:r>
      <w:r>
        <w:rPr>
          <w:rFonts w:ascii="Times New Roman" w:cs="Times New Roman" w:eastAsia="Times New Roman" w:hAnsi="Times New Roman"/>
          <w:sz w:val="21"/>
          <w:szCs w:val="21"/>
          <w:color w:val="auto"/>
        </w:rPr>
        <w:t>”) and (b) an additional number of shares of Stock equal to up to one hundred percent (100%) of the Target Amount (the “</w:t>
      </w:r>
      <w:r>
        <w:rPr>
          <w:rFonts w:ascii="Times New Roman" w:cs="Times New Roman" w:eastAsia="Times New Roman" w:hAnsi="Times New Roman"/>
          <w:sz w:val="21"/>
          <w:szCs w:val="21"/>
          <w:u w:val="single" w:color="auto"/>
          <w:color w:val="auto"/>
        </w:rPr>
        <w:t>Bonus Stock</w:t>
      </w:r>
      <w:r>
        <w:rPr>
          <w:rFonts w:ascii="Times New Roman" w:cs="Times New Roman" w:eastAsia="Times New Roman" w:hAnsi="Times New Roman"/>
          <w:sz w:val="21"/>
          <w:szCs w:val="21"/>
          <w:color w:val="auto"/>
        </w:rPr>
        <w:t>,” and together with the Target Stock, the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each on the terms and conditions and subject to the restrictions described in this Agreement and in the Plan (which is incorporated herein by reference with the same effect as if set forth herein in full) in addition to such other restrictions, if any, as may be imposed by law. The number of shares of Restricted Stock that the Participant actually earns for the Performance Periods (up to the maximum numbers set forth above) will be determined by the level of achievement of the Performance Goal set forth in Paragraph 6 of this Agreement. For the avoidance of doubt, (x) shares of Target Stock will be issued to the Participant, subject to the provisions of the Plan and this Agreement (including Paragraph 3 and 4 hereof as to restrictions and forfeiture risks) as well as the performance goal and vesting requirements, and (y) shares of Bonus Stock, if any, will be issued to the Participant after the Certification Date set forth in Paragraph 6.c.</w:t>
      </w:r>
    </w:p>
    <w:p>
      <w:pPr>
        <w:spacing w:after="0" w:line="128" w:lineRule="exact"/>
        <w:rPr>
          <w:rFonts w:ascii="Times New Roman" w:cs="Times New Roman" w:eastAsia="Times New Roman" w:hAnsi="Times New Roman"/>
          <w:sz w:val="21"/>
          <w:szCs w:val="21"/>
          <w:color w:val="auto"/>
        </w:rPr>
      </w:pPr>
    </w:p>
    <w:p>
      <w:pPr>
        <w:jc w:val="both"/>
        <w:ind w:left="660" w:hanging="328"/>
        <w:spacing w:after="0" w:line="246" w:lineRule="auto"/>
        <w:tabs>
          <w:tab w:leader="none" w:pos="6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Meaning of Certain Terms</w:t>
      </w:r>
      <w:r>
        <w:rPr>
          <w:rFonts w:ascii="Times New Roman" w:cs="Times New Roman" w:eastAsia="Times New Roman" w:hAnsi="Times New Roman"/>
          <w:sz w:val="22"/>
          <w:szCs w:val="22"/>
          <w:color w:val="auto"/>
        </w:rPr>
        <w:t>. Except as otherwise expressly provided herein, all terms used herein and not defined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same meaning as in the Plan. The term “vest” as used herein with respect to any Award means the lapsing of the restrictions described herein with respect to such Award.</w:t>
      </w:r>
    </w:p>
    <w:p>
      <w:pPr>
        <w:sectPr>
          <w:pgSz w:w="11900" w:h="16838" w:orient="portrait"/>
          <w:cols w:equalWidth="0" w:num="1">
            <w:col w:w="11240"/>
          </w:cols>
          <w:pgMar w:left="320" w:top="1408" w:right="339" w:bottom="1440" w:gutter="0" w:footer="0" w:header="0"/>
        </w:sectPr>
      </w:pPr>
    </w:p>
    <w:bookmarkStart w:id="65" w:name="page66"/>
    <w:bookmarkEnd w:id="65"/>
    <w:p>
      <w:pPr>
        <w:jc w:val="both"/>
        <w:ind w:left="328" w:hanging="328"/>
        <w:spacing w:after="0" w:line="237" w:lineRule="auto"/>
        <w:tabs>
          <w:tab w:leader="none" w:pos="32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Restrictions</w:t>
      </w:r>
      <w:r>
        <w:rPr>
          <w:rFonts w:ascii="Times New Roman" w:cs="Times New Roman" w:eastAsia="Times New Roman" w:hAnsi="Times New Roman"/>
          <w:sz w:val="22"/>
          <w:szCs w:val="22"/>
          <w:color w:val="auto"/>
        </w:rPr>
        <w:t>. Subject to any exceptions set forth in this Agreement or the Plan, during the Restricted Period (as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neither the Award nor the rights relating thereto, may be assigned, alienated, pledged, attached, sold or otherwise transferred or encumbered by the Participant. Any attempt to assign, alienate, pledge, attach, sell or otherwise transfer or encumber the Award or the rights relating thereto during the Restricted Period shall be wholly ineffective and, if any such attempt is made, the Award will be forfeited by the Participant and all of the Participant’s rights to such Award shall immediately terminate without any payment or consideration by the Company.</w:t>
      </w:r>
    </w:p>
    <w:p>
      <w:pPr>
        <w:spacing w:after="0" w:line="107" w:lineRule="exact"/>
        <w:rPr>
          <w:rFonts w:ascii="Times New Roman" w:cs="Times New Roman" w:eastAsia="Times New Roman" w:hAnsi="Times New Roman"/>
          <w:sz w:val="22"/>
          <w:szCs w:val="22"/>
          <w:color w:val="auto"/>
        </w:rPr>
      </w:pPr>
    </w:p>
    <w:p>
      <w:pPr>
        <w:jc w:val="both"/>
        <w:ind w:left="328" w:hanging="328"/>
        <w:spacing w:after="0" w:line="255" w:lineRule="auto"/>
        <w:tabs>
          <w:tab w:leader="none" w:pos="32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Forfeiture Risk</w:t>
      </w:r>
      <w:r>
        <w:rPr>
          <w:rFonts w:ascii="Times New Roman" w:cs="Times New Roman" w:eastAsia="Times New Roman" w:hAnsi="Times New Roman"/>
          <w:sz w:val="21"/>
          <w:szCs w:val="21"/>
          <w:color w:val="auto"/>
        </w:rPr>
        <w:t>. If the Participant’s Employment ceases for any reason, except as specifically provided in Paragraph 7</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below, any then-outstanding and unvested Award shall be automatically and immediately forfeited. The Participant hereby</w:t>
      </w:r>
    </w:p>
    <w:p>
      <w:pPr>
        <w:jc w:val="both"/>
        <w:ind w:left="328" w:hanging="4"/>
        <w:spacing w:after="0" w:line="232" w:lineRule="auto"/>
        <w:tabs>
          <w:tab w:leader="none" w:pos="62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the Company as the attorney-in-fact of the Participant to take such actions as may be necessary or appropriate to effectuate a transfer of the record ownership of any such Restricted Stock that is unvested and forfeited hereunder; (b) agrees to deliver to the Company, as a precondition to the issuance of any certificate or certificates with respect to unvested Restricted Stock hereunder, one or more stock powers, endorsed in blank, with respect to such Restricted Stock; and (c) agrees to sign such other powers and take such other actions as the Company may reasonably request to accomplish the transfer or forfeiture of any unvested Restricted Stock that is forfeited hereunder.</w:t>
      </w:r>
    </w:p>
    <w:p>
      <w:pPr>
        <w:spacing w:after="0" w:line="124" w:lineRule="exact"/>
        <w:rPr>
          <w:rFonts w:ascii="Times New Roman" w:cs="Times New Roman" w:eastAsia="Times New Roman" w:hAnsi="Times New Roman"/>
          <w:sz w:val="22"/>
          <w:szCs w:val="22"/>
          <w:color w:val="auto"/>
        </w:rPr>
      </w:pPr>
    </w:p>
    <w:p>
      <w:pPr>
        <w:jc w:val="both"/>
        <w:ind w:left="328" w:hanging="328"/>
        <w:spacing w:after="0" w:line="236" w:lineRule="auto"/>
        <w:tabs>
          <w:tab w:leader="none" w:pos="32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Retention of Certificates</w:t>
      </w:r>
      <w:r>
        <w:rPr>
          <w:rFonts w:ascii="Times New Roman" w:cs="Times New Roman" w:eastAsia="Times New Roman" w:hAnsi="Times New Roman"/>
          <w:sz w:val="22"/>
          <w:szCs w:val="22"/>
          <w:color w:val="auto"/>
        </w:rPr>
        <w:t>. The Company shall hold any certificates representing unvested Restricted Stock. If unvested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is held in book entry form, the Participant agrees that the Company may give stop transfer instructions to the depository to ensure compliance with the provisions hereof. Book entry records representing unvested Restricted Stock shall be held by the Company’s transfer agent, and any such records shall contain a legend substantially in the following form:</w:t>
      </w:r>
    </w:p>
    <w:p>
      <w:pPr>
        <w:spacing w:after="0" w:line="123" w:lineRule="exact"/>
        <w:rPr>
          <w:rFonts w:ascii="Times New Roman" w:cs="Times New Roman" w:eastAsia="Times New Roman" w:hAnsi="Times New Roman"/>
          <w:sz w:val="22"/>
          <w:szCs w:val="22"/>
          <w:color w:val="auto"/>
        </w:rPr>
      </w:pPr>
    </w:p>
    <w:p>
      <w:pPr>
        <w:jc w:val="both"/>
        <w:ind w:left="328"/>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TRANSFERABILITY OF THIS CERTIFICATE AND THE SHARES OF STOCK REPRESENTED HEREBY ARE SUBJECT TO THE TERMS AND CONDITIONS (INCLUDING FORFEITURE) OF CARTER’S, INC.’S AMENDED AND RESTATED EQUITY INCENTIVE PLAN AND A PERFORMANCE-BASED RESTRICTED STOCK AGREEMENT ENTERED INTO BETWEEN THE REGISTERED OWNER AND CARTER’S, INC. COPIES OF SUCH PLAN AND AGREEMENT ARE ON FILE IN THE OFFICES OF CARTER’S, INC.</w:t>
      </w:r>
    </w:p>
    <w:p>
      <w:pPr>
        <w:spacing w:after="0" w:line="122" w:lineRule="exact"/>
        <w:rPr>
          <w:rFonts w:ascii="Times New Roman" w:cs="Times New Roman" w:eastAsia="Times New Roman" w:hAnsi="Times New Roman"/>
          <w:sz w:val="22"/>
          <w:szCs w:val="22"/>
          <w:color w:val="auto"/>
        </w:rPr>
      </w:pPr>
    </w:p>
    <w:p>
      <w:pPr>
        <w:jc w:val="both"/>
        <w:ind w:left="328"/>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vesting of any Restricted Stock, the Company shall cause shares of Stock underlying such Restricted Stock, without the aforesaid legend, to be issued and delivered to the Participant. The Company may take such steps, as it deems necessary or appropriate, to record and manifest the restrictions applicable to such Restricted Stock.</w:t>
      </w:r>
    </w:p>
    <w:p>
      <w:pPr>
        <w:spacing w:after="0" w:line="121"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Performance Goal and Vesting of Award</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968" w:hanging="32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 purposes of this Agreement, the term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Company’s 2026, 2027 and 2028 Fiscal Years (i.e., January 4, 2026 – December 30, 2028). For purposes of this Agreement, the performance criteria used to establish the Performance Goal shall be rTSR (as defined below) (the “</w:t>
      </w:r>
      <w:r>
        <w:rPr>
          <w:rFonts w:ascii="Times New Roman" w:cs="Times New Roman" w:eastAsia="Times New Roman" w:hAnsi="Times New Roman"/>
          <w:sz w:val="22"/>
          <w:szCs w:val="22"/>
          <w:u w:val="single" w:color="auto"/>
          <w:color w:val="auto"/>
        </w:rPr>
        <w:t>Performance Goal</w:t>
      </w:r>
      <w:r>
        <w:rPr>
          <w:rFonts w:ascii="Times New Roman" w:cs="Times New Roman" w:eastAsia="Times New Roman" w:hAnsi="Times New Roman"/>
          <w:sz w:val="22"/>
          <w:szCs w:val="22"/>
          <w:color w:val="auto"/>
        </w:rPr>
        <w:t>”).</w:t>
      </w:r>
    </w:p>
    <w:p>
      <w:pPr>
        <w:sectPr>
          <w:pgSz w:w="11900" w:h="16838" w:orient="portrait"/>
          <w:cols w:equalWidth="0" w:num="1">
            <w:col w:w="10908"/>
          </w:cols>
          <w:pgMar w:left="652" w:top="1404" w:right="339" w:bottom="1440" w:gutter="0" w:footer="0" w:header="0"/>
        </w:sectPr>
      </w:pPr>
    </w:p>
    <w:bookmarkStart w:id="66" w:name="page67"/>
    <w:bookmarkEnd w:id="66"/>
    <w:p>
      <w:pPr>
        <w:ind w:left="320" w:hanging="320"/>
        <w:spacing w:after="0"/>
        <w:tabs>
          <w:tab w:leader="none" w:pos="3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following terms have the following meanings:</w:t>
      </w:r>
    </w:p>
    <w:p>
      <w:pPr>
        <w:spacing w:after="0" w:line="152" w:lineRule="exact"/>
        <w:rPr>
          <w:rFonts w:ascii="Times New Roman" w:cs="Times New Roman" w:eastAsia="Times New Roman" w:hAnsi="Times New Roman"/>
          <w:sz w:val="22"/>
          <w:szCs w:val="22"/>
          <w:color w:val="auto"/>
        </w:rPr>
      </w:pPr>
    </w:p>
    <w:p>
      <w:pPr>
        <w:jc w:val="both"/>
        <w:ind w:left="980" w:hanging="446"/>
        <w:spacing w:after="0" w:line="244" w:lineRule="auto"/>
        <w:tabs>
          <w:tab w:leader="none" w:pos="9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Comparator Group</w:t>
      </w:r>
      <w:r>
        <w:rPr>
          <w:rFonts w:ascii="Times New Roman" w:cs="Times New Roman" w:eastAsia="Times New Roman" w:hAnsi="Times New Roman"/>
          <w:sz w:val="22"/>
          <w:szCs w:val="22"/>
          <w:color w:val="auto"/>
        </w:rPr>
        <w:t xml:space="preserve">” consists of the companies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are from the S&amp;P 1500 Apparel, Accessories &amp; Luxury Goods Index and the S&amp;P 1500 Apparel Retail Index, subject to the Comparator Group Modification Rules set forth in Section 8.</w:t>
      </w:r>
    </w:p>
    <w:p>
      <w:pPr>
        <w:spacing w:after="0" w:line="119" w:lineRule="exact"/>
        <w:rPr>
          <w:rFonts w:ascii="Times New Roman" w:cs="Times New Roman" w:eastAsia="Times New Roman" w:hAnsi="Times New Roman"/>
          <w:sz w:val="22"/>
          <w:szCs w:val="22"/>
          <w:color w:val="auto"/>
        </w:rPr>
      </w:pPr>
    </w:p>
    <w:p>
      <w:pPr>
        <w:ind w:left="980" w:hanging="506"/>
        <w:spacing w:after="0" w:line="258" w:lineRule="auto"/>
        <w:tabs>
          <w:tab w:leader="none" w:pos="9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rTSR</w:t>
      </w:r>
      <w:r>
        <w:rPr>
          <w:rFonts w:ascii="Times New Roman" w:cs="Times New Roman" w:eastAsia="Times New Roman" w:hAnsi="Times New Roman"/>
          <w:sz w:val="22"/>
          <w:szCs w:val="22"/>
          <w:color w:val="auto"/>
        </w:rPr>
        <w:t>” means the percentile ranking of the Company’s TSR, as measured relative to the TSR of each company in the Comparator Group for the Performance Period.</w:t>
      </w:r>
    </w:p>
    <w:p>
      <w:pPr>
        <w:spacing w:after="0" w:line="90" w:lineRule="exact"/>
        <w:rPr>
          <w:rFonts w:ascii="Times New Roman" w:cs="Times New Roman" w:eastAsia="Times New Roman" w:hAnsi="Times New Roman"/>
          <w:sz w:val="22"/>
          <w:szCs w:val="22"/>
          <w:color w:val="auto"/>
        </w:rPr>
      </w:pPr>
    </w:p>
    <w:p>
      <w:pPr>
        <w:jc w:val="both"/>
        <w:ind w:left="980" w:hanging="566"/>
        <w:spacing w:after="0" w:line="234" w:lineRule="auto"/>
        <w:tabs>
          <w:tab w:leader="none" w:pos="9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Total Shareholder Return</w:t>
      </w:r>
      <w:r>
        <w:rPr>
          <w:rFonts w:ascii="Times New Roman" w:cs="Times New Roman" w:eastAsia="Times New Roman" w:hAnsi="Times New Roman"/>
          <w:sz w:val="22"/>
          <w:szCs w:val="22"/>
          <w:color w:val="auto"/>
        </w:rPr>
        <w:t>” for the Company, and for each company in the Comparator Group, as determined by the Administrator, shall be determined by comparing the rate of growth between (i) the average stock price for the Company and each company in the Comparator Group for the twenty (20) trading days prior to the start of the Performance Period, with deemed dividends reinvested at the closing stock price of the applicable stock on the ex-dividend date, and (ii) the average stock price for the Company and each company in the Comparator Group for the final twenty (20) trading days of the Performance Period, with deemed dividends reinvested at the closing stock price of the applicable stock on the ex-dividend date. The Total Shareholder Return calculation shall be adjusted in an equitable manner for any stock splits, reverse stock splits, or other similar transactions to the extent determined in the sole discretion of the Administrator.</w:t>
      </w:r>
    </w:p>
    <w:p>
      <w:pPr>
        <w:spacing w:after="0" w:line="125" w:lineRule="exact"/>
        <w:rPr>
          <w:rFonts w:ascii="Times New Roman" w:cs="Times New Roman" w:eastAsia="Times New Roman" w:hAnsi="Times New Roman"/>
          <w:sz w:val="22"/>
          <w:szCs w:val="22"/>
          <w:color w:val="auto"/>
        </w:rPr>
      </w:pPr>
    </w:p>
    <w:p>
      <w:pPr>
        <w:jc w:val="both"/>
        <w:ind w:left="320" w:hanging="320"/>
        <w:spacing w:after="0" w:line="245" w:lineRule="auto"/>
        <w:tabs>
          <w:tab w:leader="none" w:pos="30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Paragraph 7 below, the number of shares of Target Stock and Bonus Stock underlying the Award that are eligible to vest as of the Vesting Date (as defined below) will be determined by the Administrator after the end of the Fiscal Year 2028 Performance Period (“</w:t>
      </w:r>
      <w:r>
        <w:rPr>
          <w:rFonts w:ascii="Times New Roman" w:cs="Times New Roman" w:eastAsia="Times New Roman" w:hAnsi="Times New Roman"/>
          <w:sz w:val="21"/>
          <w:szCs w:val="21"/>
          <w:u w:val="single" w:color="auto"/>
          <w:color w:val="auto"/>
        </w:rPr>
        <w:t>Performance End Date</w:t>
      </w:r>
      <w:r>
        <w:rPr>
          <w:rFonts w:ascii="Times New Roman" w:cs="Times New Roman" w:eastAsia="Times New Roman" w:hAnsi="Times New Roman"/>
          <w:sz w:val="21"/>
          <w:szCs w:val="21"/>
          <w:color w:val="auto"/>
        </w:rPr>
        <w:t>”), based on the level of achievement of the Performance Goal at the end of the Performance Period and the application of the Performance Formula to such Performance Goal, in accordance with this Paragraph 6. All determinations of whether the Performance Goal has been achieved, the maximum number of shares of Target Stock and Bonus Stock underlying the Award that are eligible to vest as a result of the application of the Performance Formula to the Performance Goal, and all other matters related to this Paragraph 6 shall be made by the Administrator in its sole discretion.</w:t>
      </w:r>
    </w:p>
    <w:p>
      <w:pPr>
        <w:spacing w:after="0" w:line="120" w:lineRule="exact"/>
        <w:rPr>
          <w:rFonts w:ascii="Times New Roman" w:cs="Times New Roman" w:eastAsia="Times New Roman" w:hAnsi="Times New Roman"/>
          <w:sz w:val="21"/>
          <w:szCs w:val="21"/>
          <w:color w:val="auto"/>
        </w:rPr>
      </w:pPr>
    </w:p>
    <w:p>
      <w:pPr>
        <w:ind w:left="320" w:right="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Promptly following completion of the Fiscal Year 2028 Performance Period, the Administrator shall review and certify in writing whether, and to what extent, the Performance Goal has been achieved and, if so, calculate and certify in writing the number of shares of Target Stock and Bonus Stock that are eligible to vest, if any, based upon the application of the Performance Formula to the Performance Goal (such date of certification, the “</w:t>
      </w: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such shares of Stock, if any, the “</w:t>
      </w:r>
      <w:r>
        <w:rPr>
          <w:rFonts w:ascii="Times New Roman" w:cs="Times New Roman" w:eastAsia="Times New Roman" w:hAnsi="Times New Roman"/>
          <w:sz w:val="22"/>
          <w:szCs w:val="22"/>
          <w:u w:val="single" w:color="auto"/>
          <w:color w:val="auto"/>
        </w:rPr>
        <w:t>Earned Stock</w:t>
      </w:r>
      <w:r>
        <w:rPr>
          <w:rFonts w:ascii="Times New Roman" w:cs="Times New Roman" w:eastAsia="Times New Roman" w:hAnsi="Times New Roman"/>
          <w:sz w:val="22"/>
          <w:szCs w:val="22"/>
          <w:color w:val="auto"/>
        </w:rPr>
        <w:t>”).</w:t>
      </w:r>
    </w:p>
    <w:p>
      <w:pPr>
        <w:spacing w:after="0" w:line="124" w:lineRule="exact"/>
        <w:rPr>
          <w:rFonts w:ascii="Times New Roman" w:cs="Times New Roman" w:eastAsia="Times New Roman" w:hAnsi="Times New Roman"/>
          <w:sz w:val="21"/>
          <w:szCs w:val="21"/>
          <w:color w:val="auto"/>
        </w:rPr>
      </w:pPr>
    </w:p>
    <w:p>
      <w:pPr>
        <w:ind w:left="320" w:right="20" w:hanging="320"/>
        <w:spacing w:after="0" w:line="258" w:lineRule="auto"/>
        <w:tabs>
          <w:tab w:leader="none" w:pos="3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noted herein, the maximum number of Restricted Stock (and underlying shares of Stock), if any, as certified by the Administrator in</w:t>
      </w:r>
    </w:p>
    <w:p>
      <w:pPr>
        <w:sectPr>
          <w:pgSz w:w="11900" w:h="16838" w:orient="portrait"/>
          <w:cols w:equalWidth="0" w:num="1">
            <w:col w:w="10260"/>
          </w:cols>
          <w:pgMar w:left="1300" w:top="1408" w:right="339" w:bottom="1440" w:gutter="0" w:footer="0" w:header="0"/>
        </w:sectPr>
      </w:pPr>
    </w:p>
    <w:bookmarkStart w:id="67" w:name="page68"/>
    <w:bookmarkEnd w:id="67"/>
    <w:p>
      <w:pPr>
        <w:jc w:val="both"/>
        <w:ind w:left="320"/>
        <w:spacing w:after="0" w:line="244" w:lineRule="auto"/>
        <w:rPr>
          <w:sz w:val="20"/>
          <w:szCs w:val="20"/>
          <w:color w:val="auto"/>
        </w:rPr>
      </w:pPr>
      <w:r>
        <w:rPr>
          <w:rFonts w:ascii="Times New Roman" w:cs="Times New Roman" w:eastAsia="Times New Roman" w:hAnsi="Times New Roman"/>
          <w:sz w:val="22"/>
          <w:szCs w:val="22"/>
          <w:color w:val="auto"/>
        </w:rPr>
        <w:t>accordance with Paragraph 6.c. of this Agreement, shall vest (and the restrictions set forth in this Agreement with respect to such Restricted Stock shall be lifted) on the Certification Date or on such other date specified by the Administrator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ind w:left="320" w:hanging="320"/>
        <w:spacing w:after="0" w:line="258" w:lineRule="auto"/>
        <w:tabs>
          <w:tab w:leader="none" w:pos="3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Stock.</w:t>
      </w:r>
      <w:r>
        <w:rPr>
          <w:rFonts w:ascii="Times New Roman" w:cs="Times New Roman" w:eastAsia="Times New Roman" w:hAnsi="Times New Roman"/>
          <w:sz w:val="22"/>
          <w:szCs w:val="22"/>
          <w:color w:val="auto"/>
        </w:rPr>
        <w:t xml:space="preserve"> The number of shares of Target Stock eligible to vest, if any, shall be determined based on achievement of rTSR (such Target Stock, the “</w:t>
      </w:r>
      <w:r>
        <w:rPr>
          <w:rFonts w:ascii="Times New Roman" w:cs="Times New Roman" w:eastAsia="Times New Roman" w:hAnsi="Times New Roman"/>
          <w:sz w:val="22"/>
          <w:szCs w:val="22"/>
          <w:u w:val="single" w:color="auto"/>
          <w:color w:val="auto"/>
        </w:rPr>
        <w:t>rTSR Target Stock</w:t>
      </w:r>
      <w:r>
        <w:rPr>
          <w:rFonts w:ascii="Times New Roman" w:cs="Times New Roman" w:eastAsia="Times New Roman" w:hAnsi="Times New Roman"/>
          <w:sz w:val="22"/>
          <w:szCs w:val="22"/>
          <w:color w:val="auto"/>
        </w:rPr>
        <w:t>”) as set forth in the table below.</w:t>
      </w:r>
    </w:p>
    <w:p>
      <w:pPr>
        <w:spacing w:after="0" w:line="104" w:lineRule="exact"/>
        <w:rPr>
          <w:rFonts w:ascii="Times New Roman" w:cs="Times New Roman" w:eastAsia="Times New Roman" w:hAnsi="Times New Roman"/>
          <w:sz w:val="22"/>
          <w:szCs w:val="22"/>
          <w:color w:val="auto"/>
        </w:rPr>
      </w:pPr>
    </w:p>
    <w:p>
      <w:pPr>
        <w:jc w:val="both"/>
        <w:ind w:left="980" w:hanging="332"/>
        <w:spacing w:after="0" w:line="238" w:lineRule="auto"/>
        <w:tabs>
          <w:tab w:leader="none" w:pos="97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rTSR Target Stock are eligible to vest based on rTSR measured at the end of Fiscal Year 2028. Shares of rTSR Target Stock that do not vest based on the Company’s actual performance are forfeited.</w:t>
      </w:r>
    </w:p>
    <w:p>
      <w:pPr>
        <w:spacing w:after="0" w:line="124" w:lineRule="exact"/>
        <w:rPr>
          <w:rFonts w:ascii="Times New Roman" w:cs="Times New Roman" w:eastAsia="Times New Roman" w:hAnsi="Times New Roman"/>
          <w:sz w:val="22"/>
          <w:szCs w:val="22"/>
          <w:color w:val="auto"/>
        </w:rPr>
      </w:pPr>
    </w:p>
    <w:p>
      <w:pPr>
        <w:jc w:val="both"/>
        <w:ind w:left="980" w:hanging="332"/>
        <w:spacing w:after="0" w:line="238" w:lineRule="auto"/>
        <w:tabs>
          <w:tab w:leader="none" w:pos="97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rTSR is below the Threshold set forth below, then zero percent (0%) of the rTSR Target Stock will vest. If rTSR is at the Threshold set forth below, then twenty-five percent (25%) of the rTSR Target Stock will vest. If rTSR is at or above the Target set forth below, then one hundred percent (100%) of the rTSR Target Stock will vest. If rTSR is between the various thresholds set forth in the table below, a pro-rata percentage of rTSR Target Stock relative to the applicable percentages will vest,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112395</wp:posOffset>
            </wp:positionV>
            <wp:extent cx="5314950" cy="960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314950" cy="960120"/>
                    </a:xfrm>
                    <a:prstGeom prst="rect">
                      <a:avLst/>
                    </a:prstGeom>
                    <a:noFill/>
                  </pic:spPr>
                </pic:pic>
              </a:graphicData>
            </a:graphic>
          </wp:anchor>
        </w:drawing>
      </w:r>
    </w:p>
    <w:p>
      <w:pPr>
        <w:spacing w:after="0" w:line="16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rTSR Target Stock</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2800" w:type="dxa"/>
            <w:vAlign w:val="bottom"/>
            <w:tcBorders>
              <w:top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2780" w:type="dxa"/>
            <w:vAlign w:val="bottom"/>
            <w:tcBorders>
              <w:top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7"/>
              </w:rPr>
              <w:t>Actual rTSR</w:t>
            </w:r>
          </w:p>
        </w:tc>
        <w:tc>
          <w:tcPr>
            <w:tcW w:w="2800" w:type="dxa"/>
            <w:vAlign w:val="bottom"/>
            <w:tcBorders>
              <w:top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6"/>
              </w:rPr>
              <w:t>Percentage of rTSR Target</w:t>
            </w:r>
          </w:p>
        </w:tc>
      </w:tr>
      <w:tr>
        <w:trPr>
          <w:trHeight w:val="286"/>
        </w:trPr>
        <w:tc>
          <w:tcPr>
            <w:tcW w:w="280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Earned</w:t>
            </w:r>
          </w:p>
        </w:tc>
      </w:tr>
      <w:tr>
        <w:trPr>
          <w:trHeight w:val="28"/>
        </w:trPr>
        <w:tc>
          <w:tcPr>
            <w:tcW w:w="280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84"/>
        </w:trPr>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80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25%</w:t>
            </w:r>
          </w:p>
        </w:tc>
      </w:tr>
      <w:tr>
        <w:trPr>
          <w:trHeight w:val="290"/>
        </w:trPr>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Target</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280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320" w:hanging="320"/>
        <w:spacing w:after="0" w:line="244" w:lineRule="auto"/>
        <w:tabs>
          <w:tab w:leader="none" w:pos="31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Stock</w:t>
      </w:r>
      <w:r>
        <w:rPr>
          <w:rFonts w:ascii="Times New Roman" w:cs="Times New Roman" w:eastAsia="Times New Roman" w:hAnsi="Times New Roman"/>
          <w:sz w:val="22"/>
          <w:szCs w:val="22"/>
          <w:color w:val="auto"/>
        </w:rPr>
        <w:t>. The number of shares of Bonus Stock eligible to be issued and vest, if any, shall be determined based on achievement of the Performance Goals set forth in the table below (such Bonus Stock, the “</w:t>
      </w:r>
      <w:r>
        <w:rPr>
          <w:rFonts w:ascii="Times New Roman" w:cs="Times New Roman" w:eastAsia="Times New Roman" w:hAnsi="Times New Roman"/>
          <w:sz w:val="22"/>
          <w:szCs w:val="22"/>
          <w:u w:val="single" w:color="auto"/>
          <w:color w:val="auto"/>
        </w:rPr>
        <w:t>rTSR 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119" w:lineRule="exact"/>
        <w:rPr>
          <w:rFonts w:ascii="Times New Roman" w:cs="Times New Roman" w:eastAsia="Times New Roman" w:hAnsi="Times New Roman"/>
          <w:sz w:val="22"/>
          <w:szCs w:val="22"/>
          <w:color w:val="auto"/>
        </w:rPr>
      </w:pPr>
    </w:p>
    <w:p>
      <w:pPr>
        <w:jc w:val="both"/>
        <w:ind w:left="980" w:hanging="446"/>
        <w:spacing w:after="0" w:line="244" w:lineRule="auto"/>
        <w:tabs>
          <w:tab w:leader="none" w:pos="9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rTSR Bonus Stock are eligible to be issued and vest based on rTSR measured at the end of Fiscal Year 2028. Shares of rTSR Bonus Stock that do not vest based on the Company’s actual performance are forfeited.</w:t>
      </w:r>
    </w:p>
    <w:p>
      <w:pPr>
        <w:spacing w:after="0" w:line="119" w:lineRule="exact"/>
        <w:rPr>
          <w:rFonts w:ascii="Times New Roman" w:cs="Times New Roman" w:eastAsia="Times New Roman" w:hAnsi="Times New Roman"/>
          <w:sz w:val="22"/>
          <w:szCs w:val="22"/>
          <w:color w:val="auto"/>
        </w:rPr>
      </w:pPr>
    </w:p>
    <w:p>
      <w:pPr>
        <w:jc w:val="both"/>
        <w:ind w:left="980" w:hanging="506"/>
        <w:spacing w:after="0" w:line="255" w:lineRule="auto"/>
        <w:tabs>
          <w:tab w:leader="none" w:pos="98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rTSR is at or below the Bonus Stock Threshold set forth below, then zero percent (0%) of the rTSR Bonus Stock will vest. If rTSR is at or above the Bonus Stock Maximum set forth below, then one hundred percent (100%) of the rTSR Bonus Stock will vest. If rTSR is between the various thresholds set forth in the table below, a pro-rata percentage of rTSR Bonus Stock relative to the applicable percentages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102870</wp:posOffset>
            </wp:positionV>
            <wp:extent cx="5314950" cy="565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314950" cy="565785"/>
                    </a:xfrm>
                    <a:prstGeom prst="rect">
                      <a:avLst/>
                    </a:prstGeom>
                    <a:noFill/>
                  </pic:spPr>
                </pic:pic>
              </a:graphicData>
            </a:graphic>
          </wp:anchor>
        </w:drawing>
      </w:r>
    </w:p>
    <w:p>
      <w:pPr>
        <w:spacing w:after="0" w:line="15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rTSR Bonus Stock</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2800" w:type="dxa"/>
            <w:vAlign w:val="bottom"/>
            <w:tcBorders>
              <w:top w:val="single" w:sz="8" w:color="auto"/>
              <w:right w:val="single" w:sz="8" w:color="auto"/>
            </w:tcBorders>
          </w:tcPr>
          <w:p>
            <w:pPr>
              <w:ind w:left="520"/>
              <w:spacing w:after="0" w:line="247" w:lineRule="exact"/>
              <w:rPr>
                <w:sz w:val="20"/>
                <w:szCs w:val="20"/>
                <w:color w:val="auto"/>
              </w:rPr>
            </w:pPr>
            <w:r>
              <w:rPr>
                <w:rFonts w:ascii="Times New Roman" w:cs="Times New Roman" w:eastAsia="Times New Roman" w:hAnsi="Times New Roman"/>
                <w:sz w:val="22"/>
                <w:szCs w:val="22"/>
                <w:b w:val="1"/>
                <w:bCs w:val="1"/>
                <w:color w:val="auto"/>
              </w:rPr>
              <w:t>Performance Level</w:t>
            </w:r>
          </w:p>
        </w:tc>
        <w:tc>
          <w:tcPr>
            <w:tcW w:w="2780" w:type="dxa"/>
            <w:vAlign w:val="bottom"/>
            <w:tcBorders>
              <w:top w:val="single" w:sz="8" w:color="auto"/>
              <w:right w:val="single" w:sz="8" w:color="auto"/>
            </w:tcBorders>
          </w:tcPr>
          <w:p>
            <w:pPr>
              <w:ind w:left="800"/>
              <w:spacing w:after="0" w:line="247" w:lineRule="exact"/>
              <w:rPr>
                <w:sz w:val="20"/>
                <w:szCs w:val="20"/>
                <w:color w:val="auto"/>
              </w:rPr>
            </w:pPr>
            <w:r>
              <w:rPr>
                <w:rFonts w:ascii="Times New Roman" w:cs="Times New Roman" w:eastAsia="Times New Roman" w:hAnsi="Times New Roman"/>
                <w:sz w:val="22"/>
                <w:szCs w:val="22"/>
                <w:b w:val="1"/>
                <w:bCs w:val="1"/>
                <w:color w:val="auto"/>
              </w:rPr>
              <w:t>Actual rTSR</w:t>
            </w:r>
          </w:p>
        </w:tc>
        <w:tc>
          <w:tcPr>
            <w:tcW w:w="2800" w:type="dxa"/>
            <w:vAlign w:val="bottom"/>
            <w:tcBorders>
              <w:top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Percentage of rTSR Bonus</w:t>
            </w:r>
          </w:p>
        </w:tc>
      </w:tr>
      <w:tr>
        <w:trPr>
          <w:trHeight w:val="286"/>
        </w:trPr>
        <w:tc>
          <w:tcPr>
            <w:tcW w:w="280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Earned</w:t>
            </w:r>
          </w:p>
        </w:tc>
      </w:tr>
      <w:tr>
        <w:trPr>
          <w:trHeight w:val="29"/>
        </w:trPr>
        <w:tc>
          <w:tcPr>
            <w:tcW w:w="280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bl>
    <w:p>
      <w:pPr>
        <w:sectPr>
          <w:pgSz w:w="11900" w:h="16838" w:orient="portrait"/>
          <w:cols w:equalWidth="0" w:num="1">
            <w:col w:w="10260"/>
          </w:cols>
          <w:pgMar w:left="1300" w:top="1408" w:right="339" w:bottom="1440" w:gutter="0" w:footer="0" w:header="0"/>
        </w:sectPr>
      </w:pPr>
    </w:p>
    <w:bookmarkStart w:id="68" w:name="page69"/>
    <w:bookmarkEnd w:id="68"/>
    <w:p>
      <w:pPr>
        <w:spacing w:after="0" w:line="3" w:lineRule="exact"/>
        <w:rPr>
          <w:sz w:val="20"/>
          <w:szCs w:val="20"/>
          <w:color w:val="auto"/>
        </w:rPr>
      </w:pPr>
    </w:p>
    <w:tbl>
      <w:tblPr>
        <w:tblLayout w:type="fixed"/>
        <w:tblInd w:w="978" w:type="dxa"/>
        <w:tblCellMar>
          <w:top w:w="0" w:type="dxa"/>
          <w:left w:w="0" w:type="dxa"/>
          <w:bottom w:w="0" w:type="dxa"/>
          <w:right w:w="0" w:type="dxa"/>
        </w:tblCellMar>
      </w:tblPr>
      <w:tr>
        <w:trPr>
          <w:trHeight w:val="304"/>
        </w:trPr>
        <w:tc>
          <w:tcPr>
            <w:tcW w:w="2800" w:type="dxa"/>
            <w:vAlign w:val="bottom"/>
            <w:tcBorders>
              <w:top w:val="single" w:sz="8" w:color="auto"/>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Bonus Stock Threshold</w:t>
            </w:r>
          </w:p>
        </w:tc>
        <w:tc>
          <w:tcPr>
            <w:tcW w:w="2780" w:type="dxa"/>
            <w:vAlign w:val="bottom"/>
            <w:tcBorders>
              <w:top w:val="single" w:sz="8" w:color="auto"/>
              <w:bottom w:val="single" w:sz="8" w:color="auto"/>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 ]</w:t>
            </w:r>
          </w:p>
        </w:tc>
        <w:tc>
          <w:tcPr>
            <w:tcW w:w="2800" w:type="dxa"/>
            <w:vAlign w:val="bottom"/>
            <w:tcBorders>
              <w:top w:val="single" w:sz="8" w:color="auto"/>
              <w:bottom w:val="single" w:sz="8" w:color="auto"/>
              <w:right w:val="single" w:sz="8" w:color="auto"/>
            </w:tcBorders>
          </w:tcPr>
          <w:p>
            <w:pPr>
              <w:jc w:val="right"/>
              <w:ind w:right="1152"/>
              <w:spacing w:after="0"/>
              <w:rPr>
                <w:sz w:val="20"/>
                <w:szCs w:val="20"/>
                <w:color w:val="auto"/>
              </w:rPr>
            </w:pPr>
            <w:r>
              <w:rPr>
                <w:rFonts w:ascii="Times New Roman" w:cs="Times New Roman" w:eastAsia="Times New Roman" w:hAnsi="Times New Roman"/>
                <w:sz w:val="22"/>
                <w:szCs w:val="22"/>
                <w:color w:val="auto"/>
              </w:rPr>
              <w:t>0%</w:t>
            </w:r>
          </w:p>
        </w:tc>
      </w:tr>
      <w:tr>
        <w:trPr>
          <w:trHeight w:val="291"/>
        </w:trPr>
        <w:tc>
          <w:tcPr>
            <w:tcW w:w="280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Bonus Stock Maximum</w:t>
            </w:r>
          </w:p>
        </w:tc>
        <w:tc>
          <w:tcPr>
            <w:tcW w:w="2780" w:type="dxa"/>
            <w:vAlign w:val="bottom"/>
            <w:tcBorders>
              <w:bottom w:val="single" w:sz="8" w:color="auto"/>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 ]</w:t>
            </w:r>
          </w:p>
        </w:tc>
        <w:tc>
          <w:tcPr>
            <w:tcW w:w="2800" w:type="dxa"/>
            <w:vAlign w:val="bottom"/>
            <w:tcBorders>
              <w:bottom w:val="single" w:sz="8" w:color="auto"/>
              <w:right w:val="single" w:sz="8" w:color="auto"/>
            </w:tcBorders>
          </w:tcPr>
          <w:p>
            <w:pPr>
              <w:jc w:val="right"/>
              <w:ind w:right="1052"/>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29" w:lineRule="exact"/>
        <w:rPr>
          <w:sz w:val="20"/>
          <w:szCs w:val="20"/>
          <w:color w:val="auto"/>
        </w:rPr>
      </w:pPr>
    </w:p>
    <w:p>
      <w:pPr>
        <w:jc w:val="both"/>
        <w:ind w:left="968" w:hanging="320"/>
        <w:spacing w:after="0" w:line="232" w:lineRule="auto"/>
        <w:tabs>
          <w:tab w:leader="none" w:pos="96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Award</w:t>
      </w:r>
      <w:r>
        <w:rPr>
          <w:rFonts w:ascii="Times New Roman" w:cs="Times New Roman" w:eastAsia="Times New Roman" w:hAnsi="Times New Roman"/>
          <w:sz w:val="22"/>
          <w:szCs w:val="22"/>
          <w:color w:val="auto"/>
        </w:rPr>
        <w:t>. The Company shall, as soon as administratively practicable after the Vesting Date of any portion of the Target Stock and Bonus Stock (but in no event later than March 11, 2029) issue and effect delivery of the shares of Bonus Stock with respect to such vested portion to the Participant in accordance with Paragraph 6.d of this Agreement. No shares of such Stock will be issued to Participant pursuant to this Award unless and until all legal requirements applicable to the issuance or transfer of such Stock have been complied with to the satisfaction of the Administrator. The Participant understands that any issuance of Stock upon vesting and settlement of the Award or any portion thereof by the 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spacing w:after="0" w:line="133" w:lineRule="exact"/>
        <w:rPr>
          <w:rFonts w:ascii="Times New Roman" w:cs="Times New Roman" w:eastAsia="Times New Roman" w:hAnsi="Times New Roman"/>
          <w:sz w:val="22"/>
          <w:szCs w:val="22"/>
          <w:color w:val="auto"/>
        </w:rPr>
      </w:pPr>
    </w:p>
    <w:p>
      <w:pPr>
        <w:jc w:val="both"/>
        <w:ind w:left="968" w:hanging="320"/>
        <w:spacing w:after="0" w:line="233" w:lineRule="auto"/>
        <w:tabs>
          <w:tab w:leader="none" w:pos="96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Transactions</w:t>
      </w:r>
      <w:r>
        <w:rPr>
          <w:rFonts w:ascii="Times New Roman" w:cs="Times New Roman" w:eastAsia="Times New Roman" w:hAnsi="Times New Roman"/>
          <w:sz w:val="22"/>
          <w:szCs w:val="22"/>
          <w:color w:val="auto"/>
        </w:rPr>
        <w:t>. Notwithstanding the foregoing, (i) if a Covered Transaction occurs on or after the Grant Date and before or on the Certification Date, then one hundred percent (100%) of the Target Stock shall vest on such date of the Covered Transaction and (ii) if a Covered Transaction occurs after the Certification Date and before or on the Vesting Date, then the Earned Stock shall vest on such date of the Covered Transaction. For the avoidance of doubt, no Bonus Stock shall vest in the event of a Covered Transaction that occurs on or after the Grant Date and before or on the Certification Date. Settlement shall be made as soon as practicable following the occurrence or consummation (as applicable) of the Covered Transaction but in no event later than the 60th day following such event.</w:t>
      </w:r>
    </w:p>
    <w:p>
      <w:pPr>
        <w:spacing w:after="0" w:line="127" w:lineRule="exact"/>
        <w:rPr>
          <w:rFonts w:ascii="Times New Roman" w:cs="Times New Roman" w:eastAsia="Times New Roman" w:hAnsi="Times New Roman"/>
          <w:sz w:val="22"/>
          <w:szCs w:val="22"/>
          <w:color w:val="auto"/>
        </w:rPr>
      </w:pPr>
    </w:p>
    <w:p>
      <w:pPr>
        <w:ind w:left="968" w:hanging="320"/>
        <w:spacing w:after="0" w:line="258" w:lineRule="auto"/>
        <w:tabs>
          <w:tab w:leader="none" w:pos="9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period from the Grant Date until the Vesting Date is referred to as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for purposes of this Agreement.</w:t>
      </w:r>
    </w:p>
    <w:p>
      <w:pPr>
        <w:spacing w:after="0" w:line="10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Death, Disability, or Retirement; Covered Transaction</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968" w:hanging="320"/>
        <w:spacing w:after="0" w:line="234" w:lineRule="auto"/>
        <w:tabs>
          <w:tab w:leader="none" w:pos="95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(i) the Participant dies on or after the Grant Date and before or on the Certification Date, then one hundred percent (100%) of the Target Stock shall vest automatically on the date of the Participant’s death and (ii) if the Participant dies after the Certification Date and before or on the Vesting Date, then the Earned Stock shall vest automatically upon Participant’s death, provided that such Stock would have otherwise vested in accordance with this Agreement with the passage of time and the Participant’s continued service as an Employee. For the avoidance of doubt, no Bonus Stock shall vest if the Participant dies on or after the Grant Date and before or on the Certification Date.</w:t>
      </w:r>
    </w:p>
    <w:p>
      <w:pPr>
        <w:spacing w:after="0" w:line="122" w:lineRule="exact"/>
        <w:rPr>
          <w:rFonts w:ascii="Times New Roman" w:cs="Times New Roman" w:eastAsia="Times New Roman" w:hAnsi="Times New Roman"/>
          <w:sz w:val="22"/>
          <w:szCs w:val="22"/>
          <w:color w:val="auto"/>
        </w:rPr>
      </w:pPr>
    </w:p>
    <w:p>
      <w:pPr>
        <w:jc w:val="both"/>
        <w:ind w:left="968" w:hanging="320"/>
        <w:spacing w:after="0" w:line="239" w:lineRule="auto"/>
        <w:tabs>
          <w:tab w:leader="none" w:pos="96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Participant becomes disabled due to injury or illness and is unable to serve as an Employee for a period of time not exceeding six (6) months and returns to serve as an Employee after such disability, the vesting of the Stock will not be affected by such disability. If the Participant becomes disabled due to injury or illness and the Company, in its sole discretion, determines the</w:t>
      </w:r>
    </w:p>
    <w:p>
      <w:pPr>
        <w:sectPr>
          <w:pgSz w:w="11900" w:h="16838" w:orient="portrait"/>
          <w:cols w:equalWidth="0" w:num="1">
            <w:col w:w="10908"/>
          </w:cols>
          <w:pgMar w:left="652" w:top="1440" w:right="339" w:bottom="1440" w:gutter="0" w:footer="0" w:header="0"/>
        </w:sectPr>
      </w:pPr>
    </w:p>
    <w:bookmarkStart w:id="69" w:name="page70"/>
    <w:bookmarkEnd w:id="69"/>
    <w:p>
      <w:pPr>
        <w:jc w:val="both"/>
        <w:ind w:left="968"/>
        <w:spacing w:after="0" w:line="249" w:lineRule="auto"/>
        <w:rPr>
          <w:sz w:val="20"/>
          <w:szCs w:val="20"/>
          <w:color w:val="auto"/>
        </w:rPr>
      </w:pPr>
      <w:r>
        <w:rPr>
          <w:rFonts w:ascii="Times New Roman" w:cs="Times New Roman" w:eastAsia="Times New Roman" w:hAnsi="Times New Roman"/>
          <w:sz w:val="21"/>
          <w:szCs w:val="21"/>
          <w:color w:val="auto"/>
        </w:rPr>
        <w:t>Participant is unable to serve as Employee for a period of time reasonably expected to exceed six (6) months (such determination date, a “</w:t>
      </w:r>
      <w:r>
        <w:rPr>
          <w:rFonts w:ascii="Times New Roman" w:cs="Times New Roman" w:eastAsia="Times New Roman" w:hAnsi="Times New Roman"/>
          <w:sz w:val="21"/>
          <w:szCs w:val="21"/>
          <w:u w:val="single" w:color="auto"/>
          <w:color w:val="auto"/>
        </w:rPr>
        <w:t>Disability Date</w:t>
      </w:r>
      <w:r>
        <w:rPr>
          <w:rFonts w:ascii="Times New Roman" w:cs="Times New Roman" w:eastAsia="Times New Roman" w:hAnsi="Times New Roman"/>
          <w:sz w:val="21"/>
          <w:szCs w:val="21"/>
          <w:color w:val="auto"/>
        </w:rPr>
        <w:t>”), then if, (i) the Disability Date is on or after the Grant Date and before or on the Certification Date, then one hundred percent (100%) of the Target Stock shall vest automatically and (ii) the Disability Date is after the Certification Date and before or on the Vesting Date, then the Earned Stock shall vest automatically, in each case on the Disability Date. For the avoidance of doubt, no Bonus Stock shall vest in the event of a Disability Date that occurs on or after the Grant Date and before or on the Certification Date.</w:t>
      </w:r>
    </w:p>
    <w:p>
      <w:pPr>
        <w:spacing w:after="0" w:line="103" w:lineRule="exact"/>
        <w:rPr>
          <w:sz w:val="20"/>
          <w:szCs w:val="20"/>
          <w:color w:val="auto"/>
        </w:rPr>
      </w:pPr>
    </w:p>
    <w:p>
      <w:pPr>
        <w:ind w:left="968" w:hanging="320"/>
        <w:spacing w:after="0" w:line="258" w:lineRule="auto"/>
        <w:tabs>
          <w:tab w:leader="none" w:pos="95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the Participant’s Employment terminates due to Retirement during the Restricted Period (such date, the “</w:t>
      </w: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then if:</w:t>
      </w:r>
    </w:p>
    <w:p>
      <w:pPr>
        <w:spacing w:after="0" w:line="104" w:lineRule="exact"/>
        <w:rPr>
          <w:rFonts w:ascii="Times New Roman" w:cs="Times New Roman" w:eastAsia="Times New Roman" w:hAnsi="Times New Roman"/>
          <w:sz w:val="22"/>
          <w:szCs w:val="22"/>
          <w:color w:val="auto"/>
        </w:rPr>
      </w:pPr>
    </w:p>
    <w:p>
      <w:pPr>
        <w:jc w:val="both"/>
        <w:ind w:left="1628" w:hanging="446"/>
        <w:spacing w:after="0" w:line="236" w:lineRule="auto"/>
        <w:tabs>
          <w:tab w:leader="none" w:pos="16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on or after the Grant Date and before or on the Performance End Date, then the amount of Earned Stock that is earned, if any, shall be equal to the product of (x) the number of Earned Stock, if any, as certified by the Administrator in accordance with Paragraph 6.c. of this Agreement, multiplied by (y) the quotient of (I) the total number of calendar days between the Grant Date and the Retirement Date (inclusive), divided by (II) the total number of calendar days between the Grant Date and the Performance End Date; and any such Earned Stock shall vest on the Certification Date; and</w:t>
      </w:r>
    </w:p>
    <w:p>
      <w:pPr>
        <w:spacing w:after="0" w:line="127" w:lineRule="exact"/>
        <w:rPr>
          <w:rFonts w:ascii="Times New Roman" w:cs="Times New Roman" w:eastAsia="Times New Roman" w:hAnsi="Times New Roman"/>
          <w:sz w:val="22"/>
          <w:szCs w:val="22"/>
          <w:color w:val="auto"/>
        </w:rPr>
      </w:pPr>
    </w:p>
    <w:p>
      <w:pPr>
        <w:ind w:left="1628" w:hanging="506"/>
        <w:spacing w:after="0" w:line="258" w:lineRule="auto"/>
        <w:tabs>
          <w:tab w:leader="none" w:pos="16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Date is after the Performance Date and before or on the Vesting Date, then the Earned Stock shall vest automatically on the Retirement Date.</w:t>
      </w:r>
    </w:p>
    <w:p>
      <w:pPr>
        <w:spacing w:after="0" w:line="104" w:lineRule="exact"/>
        <w:rPr>
          <w:sz w:val="20"/>
          <w:szCs w:val="20"/>
          <w:color w:val="auto"/>
        </w:rPr>
      </w:pPr>
    </w:p>
    <w:p>
      <w:pPr>
        <w:jc w:val="both"/>
        <w:ind w:left="968"/>
        <w:spacing w:after="0" w:line="238" w:lineRule="auto"/>
        <w:rPr>
          <w:sz w:val="20"/>
          <w:szCs w:val="20"/>
          <w:color w:val="auto"/>
        </w:rPr>
      </w:pPr>
      <w:r>
        <w:rPr>
          <w:rFonts w:ascii="Times New Roman" w:cs="Times New Roman" w:eastAsia="Times New Roman" w:hAnsi="Times New Roman"/>
          <w:sz w:val="22"/>
          <w:szCs w:val="22"/>
          <w:color w:val="auto"/>
        </w:rPr>
        <w:t>For the purposes of this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termination of employment by the Participant on or after the date on which the Participant has attained age 60 and completed at least five years of service with the Company or any of its Affiliates, but only to the extent that circumstances constituting Cause do not exist.</w:t>
      </w:r>
    </w:p>
    <w:p>
      <w:pPr>
        <w:spacing w:after="0" w:line="125" w:lineRule="exact"/>
        <w:rPr>
          <w:sz w:val="20"/>
          <w:szCs w:val="20"/>
          <w:color w:val="auto"/>
        </w:rPr>
      </w:pPr>
    </w:p>
    <w:p>
      <w:pPr>
        <w:ind w:left="968" w:hanging="320"/>
        <w:spacing w:after="0" w:line="258" w:lineRule="auto"/>
        <w:tabs>
          <w:tab w:leader="none" w:pos="95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 In the event a Covered Transaction is consummated, the Restricted Stock shall vest as provided in Paragraph 6.h.</w:t>
      </w:r>
    </w:p>
    <w:p>
      <w:pPr>
        <w:spacing w:after="0" w:line="100"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Comparator Group Modification Rules</w:t>
      </w:r>
      <w:r>
        <w:rPr>
          <w:rFonts w:ascii="Times New Roman" w:cs="Times New Roman" w:eastAsia="Times New Roman" w:hAnsi="Times New Roman"/>
          <w:sz w:val="22"/>
          <w:szCs w:val="22"/>
          <w:color w:val="auto"/>
        </w:rPr>
        <w:t>. During the Performance Period, the corporate structure of a company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Comparator Group may fundamentally change. The following provisions describe these scenarios and their impact on the Comparator Group during the Performance Period, as determined by the Administrator:</w:t>
      </w:r>
    </w:p>
    <w:p>
      <w:pPr>
        <w:spacing w:after="0" w:line="117" w:lineRule="exact"/>
        <w:rPr>
          <w:rFonts w:ascii="Times New Roman" w:cs="Times New Roman" w:eastAsia="Times New Roman" w:hAnsi="Times New Roman"/>
          <w:sz w:val="22"/>
          <w:szCs w:val="22"/>
          <w:color w:val="auto"/>
        </w:rPr>
      </w:pPr>
    </w:p>
    <w:p>
      <w:pPr>
        <w:jc w:val="both"/>
        <w:ind w:left="968" w:hanging="320"/>
        <w:spacing w:after="0" w:line="248" w:lineRule="auto"/>
        <w:tabs>
          <w:tab w:leader="none" w:pos="95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bankruptcy, liquidation or delisting of a Comparator Group company at any time during the Performance Period, such company shall remain a Comparator Group company and be assigned a TSR of negative one hundred percent (-100%). “</w:t>
      </w:r>
      <w:r>
        <w:rPr>
          <w:rFonts w:ascii="Times New Roman" w:cs="Times New Roman" w:eastAsia="Times New Roman" w:hAnsi="Times New Roman"/>
          <w:sz w:val="21"/>
          <w:szCs w:val="21"/>
          <w:u w:val="single" w:color="auto"/>
          <w:color w:val="auto"/>
        </w:rPr>
        <w:t>Delisting</w:t>
      </w:r>
      <w:r>
        <w:rPr>
          <w:rFonts w:ascii="Times New Roman" w:cs="Times New Roman" w:eastAsia="Times New Roman" w:hAnsi="Times New Roman"/>
          <w:sz w:val="21"/>
          <w:szCs w:val="21"/>
          <w:color w:val="auto"/>
        </w:rPr>
        <w:t>” means that a company ceases to be publicly traded on a national securities exchange as a result of any involuntary failure to meet the listing requirements of such national securities exchange, but shall not include delisting as a result of any voluntary going private or similar transaction.</w:t>
      </w:r>
    </w:p>
    <w:p>
      <w:pPr>
        <w:sectPr>
          <w:pgSz w:w="11900" w:h="16838" w:orient="portrait"/>
          <w:cols w:equalWidth="0" w:num="1">
            <w:col w:w="10908"/>
          </w:cols>
          <w:pgMar w:left="652" w:top="1408" w:right="339" w:bottom="1440" w:gutter="0" w:footer="0" w:header="0"/>
        </w:sectPr>
      </w:pPr>
    </w:p>
    <w:bookmarkStart w:id="70" w:name="page71"/>
    <w:bookmarkEnd w:id="70"/>
    <w:p>
      <w:pPr>
        <w:ind w:left="968" w:hanging="320"/>
        <w:spacing w:after="0" w:line="258" w:lineRule="auto"/>
        <w:tabs>
          <w:tab w:leader="none" w:pos="96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company is added to the S&amp;P 1500 Apparel, Accessories &amp; Luxury Goods Index or the S&amp;P 1500 Apparel Retail Index, such company will not join the Comparator Group.</w:t>
      </w:r>
    </w:p>
    <w:p>
      <w:pPr>
        <w:spacing w:after="0" w:line="104" w:lineRule="exact"/>
        <w:rPr>
          <w:rFonts w:ascii="Times New Roman" w:cs="Times New Roman" w:eastAsia="Times New Roman" w:hAnsi="Times New Roman"/>
          <w:sz w:val="22"/>
          <w:szCs w:val="22"/>
          <w:color w:val="auto"/>
        </w:rPr>
      </w:pPr>
    </w:p>
    <w:p>
      <w:pPr>
        <w:ind w:left="968" w:right="120" w:hanging="320"/>
        <w:spacing w:after="0" w:line="258" w:lineRule="auto"/>
        <w:tabs>
          <w:tab w:leader="none" w:pos="9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two Comparator Group companies merge and become one company, the newly-formed company will remain in the Comparator Group.</w:t>
      </w:r>
    </w:p>
    <w:p>
      <w:pPr>
        <w:spacing w:after="0" w:line="104" w:lineRule="exact"/>
        <w:rPr>
          <w:rFonts w:ascii="Times New Roman" w:cs="Times New Roman" w:eastAsia="Times New Roman" w:hAnsi="Times New Roman"/>
          <w:sz w:val="22"/>
          <w:szCs w:val="22"/>
          <w:color w:val="auto"/>
        </w:rPr>
      </w:pPr>
    </w:p>
    <w:p>
      <w:pPr>
        <w:jc w:val="both"/>
        <w:ind w:left="968" w:hanging="320"/>
        <w:spacing w:after="0" w:line="236" w:lineRule="auto"/>
        <w:tabs>
          <w:tab w:leader="none" w:pos="96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Comparator Group company merges with a company not in the Comparator Group, then (x) the surviving company that was originally in the Comparator Group will remain in the Comparator Group and (y) if the surviving company was not originally in the Comparator Group, the surviving company will be removed from the Comparator Group.</w:t>
      </w:r>
    </w:p>
    <w:p>
      <w:pPr>
        <w:spacing w:after="0" w:line="125" w:lineRule="exact"/>
        <w:rPr>
          <w:rFonts w:ascii="Times New Roman" w:cs="Times New Roman" w:eastAsia="Times New Roman" w:hAnsi="Times New Roman"/>
          <w:sz w:val="22"/>
          <w:szCs w:val="22"/>
          <w:color w:val="auto"/>
        </w:rPr>
      </w:pPr>
    </w:p>
    <w:p>
      <w:pPr>
        <w:jc w:val="both"/>
        <w:ind w:left="968" w:hanging="320"/>
        <w:spacing w:after="0" w:line="239" w:lineRule="auto"/>
        <w:tabs>
          <w:tab w:leader="none" w:pos="9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Comparator Group company spins off another company, the newly-formed company will not be included in the Comparator Group. The original Comparator Group company will remain in the Comparator Group and the dividend of the stock in the spun-off company will be reflected in the calculation of TSR for the Comparator Group company as set forth in Section 6(b)(iii).</w:t>
      </w:r>
    </w:p>
    <w:p>
      <w:pPr>
        <w:spacing w:after="0" w:line="126" w:lineRule="exact"/>
        <w:rPr>
          <w:rFonts w:ascii="Times New Roman" w:cs="Times New Roman" w:eastAsia="Times New Roman" w:hAnsi="Times New Roman"/>
          <w:sz w:val="22"/>
          <w:szCs w:val="22"/>
          <w:color w:val="auto"/>
        </w:rPr>
      </w:pPr>
    </w:p>
    <w:p>
      <w:pPr>
        <w:ind w:left="968" w:hanging="320"/>
        <w:spacing w:after="0" w:line="258" w:lineRule="auto"/>
        <w:tabs>
          <w:tab w:leader="none" w:pos="95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Comparator Group company becomes a private company, the company will be removed from the Comparator Group.</w:t>
      </w:r>
    </w:p>
    <w:p>
      <w:pPr>
        <w:spacing w:after="0" w:line="104" w:lineRule="exact"/>
        <w:rPr>
          <w:rFonts w:ascii="Times New Roman" w:cs="Times New Roman" w:eastAsia="Times New Roman" w:hAnsi="Times New Roman"/>
          <w:sz w:val="22"/>
          <w:szCs w:val="22"/>
          <w:color w:val="auto"/>
        </w:rPr>
      </w:pPr>
    </w:p>
    <w:p>
      <w:pPr>
        <w:jc w:val="both"/>
        <w:ind w:left="968" w:hanging="320"/>
        <w:spacing w:after="0" w:line="244" w:lineRule="auto"/>
        <w:tabs>
          <w:tab w:leader="none" w:pos="96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scenarios will be reviewed by the Administrator on a case-by-case basis to determine, in the sole discretion of the Administrator, the status of the Comparator Group company as it relates to the Performance Period. Any such determination shall be final and binding on all parties.</w:t>
      </w:r>
    </w:p>
    <w:p>
      <w:pPr>
        <w:spacing w:after="0" w:line="101" w:lineRule="exact"/>
        <w:rPr>
          <w:rFonts w:ascii="Times New Roman" w:cs="Times New Roman" w:eastAsia="Times New Roman" w:hAnsi="Times New Roman"/>
          <w:sz w:val="22"/>
          <w:szCs w:val="22"/>
          <w:color w:val="auto"/>
        </w:rPr>
      </w:pPr>
    </w:p>
    <w:p>
      <w:pPr>
        <w:jc w:val="both"/>
        <w:ind w:left="328" w:hanging="328"/>
        <w:spacing w:after="0" w:line="243" w:lineRule="auto"/>
        <w:tabs>
          <w:tab w:leader="none" w:pos="32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Dividend Equivalents, Voting, etc</w:t>
      </w:r>
      <w:r>
        <w:rPr>
          <w:rFonts w:ascii="Times New Roman" w:cs="Times New Roman" w:eastAsia="Times New Roman" w:hAnsi="Times New Roman"/>
          <w:sz w:val="21"/>
          <w:szCs w:val="21"/>
          <w:color w:val="auto"/>
        </w:rPr>
        <w:t>. The Participant shall be entitled, as to (a) if on or after the Grant Date and before or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Certification Date, one hundred percent (100%) of the total number of shares of Target Stock and (b) if after the Certification Date and before or on the Vesting Date, any Earned Stock, in each case to (i) receive a cash payment equal to the amount of any and all cash dividends or other cash distributions paid with respect to one share of Stock times the number of shares of Target Stock or Earned Stock, as the case may be and (ii) vote any Stock of which Participant is the record owner on the record date for such vote;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property (other than cash) distributed with respect to any such share of Target Stock or Earned Stock (the “</w:t>
      </w:r>
      <w:r>
        <w:rPr>
          <w:rFonts w:ascii="Times New Roman" w:cs="Times New Roman" w:eastAsia="Times New Roman" w:hAnsi="Times New Roman"/>
          <w:sz w:val="21"/>
          <w:szCs w:val="21"/>
          <w:u w:val="single" w:color="auto"/>
          <w:color w:val="auto"/>
        </w:rPr>
        <w:t>Associated Share</w:t>
      </w:r>
      <w:r>
        <w:rPr>
          <w:rFonts w:ascii="Times New Roman" w:cs="Times New Roman" w:eastAsia="Times New Roman" w:hAnsi="Times New Roman"/>
          <w:sz w:val="21"/>
          <w:szCs w:val="21"/>
          <w:color w:val="auto"/>
        </w:rPr>
        <w:t xml:space="preserve">”),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 w:cs="Times New Roman" w:eastAsia="Times New Roman" w:hAnsi="Times New Roman"/>
          <w:sz w:val="21"/>
          <w:szCs w:val="21"/>
          <w:i w:val="1"/>
          <w:iCs w:val="1"/>
          <w:color w:val="auto"/>
        </w:rPr>
        <w:t>and provided, further</w:t>
      </w:r>
      <w:r>
        <w:rPr>
          <w:rFonts w:ascii="Times New Roman" w:cs="Times New Roman" w:eastAsia="Times New Roman" w:hAnsi="Times New Roman"/>
          <w:sz w:val="21"/>
          <w:szCs w:val="21"/>
          <w:color w:val="auto"/>
        </w:rPr>
        <w:t>, that the Administrator may require that any cash distribution with respect to the Target Stock or Earned Stock (as the case may be) other than a normal cash dividend be placed in escrow or otherwise made subject to such restrictions as the Administrator deems appropriate to carry out the intent of the Plan. References in this Agreement to the Target Stock or Earned Stock (as the case may be) shall refer in the same way to any such restricted amounts. For the avoidance of doubt, Bonus Stock is not issued and outstanding as of the Grant Date, does not have the right to vote or to receive dividends or other distributions that may be made with respect to shares</w:t>
      </w:r>
    </w:p>
    <w:p>
      <w:pPr>
        <w:sectPr>
          <w:pgSz w:w="11900" w:h="16838" w:orient="portrait"/>
          <w:cols w:equalWidth="0" w:num="1">
            <w:col w:w="10908"/>
          </w:cols>
          <w:pgMar w:left="652" w:top="1408" w:right="339" w:bottom="1440" w:gutter="0" w:footer="0" w:header="0"/>
        </w:sectPr>
      </w:pPr>
    </w:p>
    <w:bookmarkStart w:id="71" w:name="page72"/>
    <w:bookmarkEnd w:id="71"/>
    <w:p>
      <w:pPr>
        <w:ind w:left="328"/>
        <w:spacing w:after="0"/>
        <w:rPr>
          <w:sz w:val="20"/>
          <w:szCs w:val="20"/>
          <w:color w:val="auto"/>
        </w:rPr>
      </w:pPr>
      <w:r>
        <w:rPr>
          <w:rFonts w:ascii="Times New Roman" w:cs="Times New Roman" w:eastAsia="Times New Roman" w:hAnsi="Times New Roman"/>
          <w:sz w:val="22"/>
          <w:szCs w:val="22"/>
          <w:color w:val="auto"/>
        </w:rPr>
        <w:t>of Common Stock of the Company, and may vest and be issued as and to the extent set forth in Paragraph 6.</w:t>
      </w:r>
    </w:p>
    <w:p>
      <w:pPr>
        <w:spacing w:after="0" w:line="148" w:lineRule="exact"/>
        <w:rPr>
          <w:sz w:val="20"/>
          <w:szCs w:val="20"/>
          <w:color w:val="auto"/>
        </w:rPr>
      </w:pPr>
    </w:p>
    <w:p>
      <w:pPr>
        <w:jc w:val="both"/>
        <w:ind w:left="328" w:hanging="328"/>
        <w:spacing w:after="0" w:line="242" w:lineRule="auto"/>
        <w:tabs>
          <w:tab w:leader="none" w:pos="32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Certain Tax Matters</w:t>
      </w:r>
      <w:r>
        <w:rPr>
          <w:rFonts w:ascii="Times New Roman" w:cs="Times New Roman" w:eastAsia="Times New Roman" w:hAnsi="Times New Roman"/>
          <w:sz w:val="21"/>
          <w:szCs w:val="21"/>
          <w:color w:val="auto"/>
        </w:rPr>
        <w:t>. The Participant expressly acknowledges that the Participant has been advised to confer promptly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spacing w:after="0" w:line="126" w:lineRule="exact"/>
        <w:rPr>
          <w:rFonts w:ascii="Times New Roman" w:cs="Times New Roman" w:eastAsia="Times New Roman" w:hAnsi="Times New Roman"/>
          <w:sz w:val="21"/>
          <w:szCs w:val="21"/>
          <w:color w:val="auto"/>
        </w:rPr>
      </w:pPr>
    </w:p>
    <w:p>
      <w:pPr>
        <w:ind w:left="328" w:hanging="328"/>
        <w:spacing w:after="0" w:line="262" w:lineRule="auto"/>
        <w:tabs>
          <w:tab w:leader="none" w:pos="3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Clawback</w:t>
      </w:r>
      <w:r>
        <w:rPr>
          <w:rFonts w:ascii="Times New Roman" w:cs="Times New Roman" w:eastAsia="Times New Roman" w:hAnsi="Times New Roman"/>
          <w:sz w:val="22"/>
          <w:szCs w:val="22"/>
          <w:color w:val="auto"/>
        </w:rPr>
        <w:t>. The Participant acknowledges and agrees that the Restricted Stock is subject to Section 10 of the Plan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Clawback Policy, and by accepting this award, the Participant is agreeing to be bound by the Clawback Policy.</w:t>
      </w:r>
    </w:p>
    <w:p>
      <w:pPr>
        <w:spacing w:after="0" w:line="95" w:lineRule="exact"/>
        <w:rPr>
          <w:rFonts w:ascii="Times New Roman" w:cs="Times New Roman" w:eastAsia="Times New Roman" w:hAnsi="Times New Roman"/>
          <w:sz w:val="22"/>
          <w:szCs w:val="22"/>
          <w:color w:val="auto"/>
        </w:rPr>
      </w:pPr>
    </w:p>
    <w:p>
      <w:pPr>
        <w:jc w:val="both"/>
        <w:ind w:left="328" w:hanging="328"/>
        <w:spacing w:after="0" w:line="238"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Document</w:t>
      </w:r>
      <w:r>
        <w:rPr>
          <w:rFonts w:ascii="Times New Roman" w:cs="Times New Roman" w:eastAsia="Times New Roman" w:hAnsi="Times New Roman"/>
          <w:sz w:val="22"/>
          <w:szCs w:val="22"/>
          <w:color w:val="auto"/>
        </w:rPr>
        <w:t>. By signing below, the Participant acknowledges receipt of a copy of the Plan and this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has read and understands the terms and provisions thereof and hereof, and accepts the Award subject to all of the terms and conditions of the Plan and this Agreement. The Participant acknowledges that there may be adverse tax consequences upon the grant or vesting of the Award or disposition of the underlying shares and that the Participant has been advised to consult his or her tax advisor prior to such grant, vesting, or disposition.</w:t>
      </w:r>
    </w:p>
    <w:p>
      <w:pPr>
        <w:spacing w:after="0" w:line="122"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and all claims or disputes arising out of or based upon this Agreement or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21"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Administrator for review. The resolution of such dispute by the Administrator shall be final and binding on the Participant and the Company.</w:t>
      </w:r>
    </w:p>
    <w:p>
      <w:pPr>
        <w:sectPr>
          <w:pgSz w:w="11900" w:h="16838" w:orient="portrait"/>
          <w:cols w:equalWidth="0" w:num="1">
            <w:col w:w="10908"/>
          </w:cols>
          <w:pgMar w:left="652" w:top="1408" w:right="339" w:bottom="1440" w:gutter="0" w:footer="0" w:header="0"/>
        </w:sectPr>
      </w:pPr>
    </w:p>
    <w:bookmarkStart w:id="72" w:name="page73"/>
    <w:bookmarkEnd w:id="72"/>
    <w:p>
      <w:pPr>
        <w:jc w:val="both"/>
        <w:ind w:left="660" w:hanging="328"/>
        <w:spacing w:after="0" w:line="241"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 Subject to Plan</w:t>
      </w:r>
      <w:r>
        <w:rPr>
          <w:rFonts w:ascii="Times New Roman" w:cs="Times New Roman" w:eastAsia="Times New Roman" w:hAnsi="Times New Roman"/>
          <w:sz w:val="22"/>
          <w:szCs w:val="22"/>
          <w:color w:val="auto"/>
        </w:rPr>
        <w:t>. This Agreement is subject to the Plan as approved by the Company’s shareholders. The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17"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Successors and Assigns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may assign any of its rights under this Agreement. This Agreement will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Award may be transferred by will or the laws of descent or distribution.</w:t>
      </w:r>
    </w:p>
    <w:p>
      <w:pPr>
        <w:spacing w:after="0" w:line="110" w:lineRule="exact"/>
        <w:rPr>
          <w:rFonts w:ascii="Times New Roman" w:cs="Times New Roman" w:eastAsia="Times New Roman" w:hAnsi="Times New Roman"/>
          <w:sz w:val="21"/>
          <w:szCs w:val="21"/>
          <w:color w:val="auto"/>
        </w:rPr>
      </w:pPr>
    </w:p>
    <w:p>
      <w:pPr>
        <w:jc w:val="both"/>
        <w:ind w:left="660" w:hanging="328"/>
        <w:spacing w:after="0" w:line="246"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enforceability of any other provision of the Plan or this Agreement, and each provision of the Plan and this Agreement shall be severable and enforceable to the extent permitted by law.</w:t>
      </w:r>
    </w:p>
    <w:p>
      <w:pPr>
        <w:spacing w:after="0" w:line="113"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 Company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in its discretion. The grant of the Award in this Agreement does not create any contractual right or other right to receive any Award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22" w:lineRule="exact"/>
        <w:rPr>
          <w:rFonts w:ascii="Times New Roman" w:cs="Times New Roman" w:eastAsia="Times New Roman" w:hAnsi="Times New Roman"/>
          <w:sz w:val="22"/>
          <w:szCs w:val="22"/>
          <w:color w:val="auto"/>
        </w:rPr>
      </w:pPr>
    </w:p>
    <w:p>
      <w:pPr>
        <w:jc w:val="both"/>
        <w:ind w:left="660" w:hanging="328"/>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prospectively or retroactively; provided, that, no such amendment shall adversely affect the Participant’s material rights under this Agreement without the Participant’s consent.</w:t>
      </w:r>
    </w:p>
    <w:p>
      <w:pPr>
        <w:spacing w:after="0" w:line="118"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to this Agreement have duly authorized this Agreement to be effective as of the date first written above.</w:t>
      </w:r>
    </w:p>
    <w:p>
      <w:pPr>
        <w:sectPr>
          <w:pgSz w:w="11900" w:h="16838" w:orient="portrait"/>
          <w:cols w:equalWidth="0" w:num="1">
            <w:col w:w="11240"/>
          </w:cols>
          <w:pgMar w:left="320" w:top="1404"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[COMPARATOR GROUP INDEX]</w:t>
      </w:r>
    </w:p>
    <w:p>
      <w:pPr>
        <w:sectPr>
          <w:pgSz w:w="11900" w:h="16838" w:orient="portrait"/>
          <w:cols w:equalWidth="0" w:num="1">
            <w:col w:w="9019"/>
          </w:cols>
          <w:pgMar w:left="1440" w:top="1440"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380"/>
        <w:spacing w:after="0"/>
        <w:tabs>
          <w:tab w:leader="none" w:pos="548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26035</wp:posOffset>
            </wp:positionV>
            <wp:extent cx="27946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1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Interim Chief Executive Officer &amp; President,</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1240"/>
          </w:cols>
          <w:pgMar w:left="320" w:top="101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undersigned in the capacity indicated hereby certifies that, to his knowledge, this Report on Form 10-Q for the fiscal quarter ended April 4, 2026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80"/>
        <w:spacing w:after="0"/>
        <w:tabs>
          <w:tab w:leader="none" w:pos="5060" w:val="left"/>
        </w:tabs>
        <w:rPr>
          <w:sz w:val="20"/>
          <w:szCs w:val="20"/>
          <w:color w:val="auto"/>
        </w:rPr>
      </w:pP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43180</wp:posOffset>
            </wp:positionV>
            <wp:extent cx="29914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16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Interim Chief Executive Officer &amp; President,</w:t>
      </w:r>
    </w:p>
    <w:p>
      <w:pPr>
        <w:spacing w:after="0" w:line="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firstLine="177"/>
        <w:spacing w:after="0" w:line="282" w:lineRule="auto"/>
        <w:rPr>
          <w:sz w:val="20"/>
          <w:szCs w:val="20"/>
          <w:color w:val="auto"/>
        </w:rPr>
      </w:pPr>
      <w:r>
        <w:rPr>
          <w:rFonts w:ascii="Times New Roman" w:cs="Times New Roman" w:eastAsia="Times New Roman" w:hAnsi="Times New Roman"/>
          <w:sz w:val="18"/>
          <w:szCs w:val="18"/>
          <w:color w:val="auto"/>
        </w:rPr>
        <w:t>The foregoing certifications is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amp;"/>
      <w:numFmt w:val="bullet"/>
      <w:start w:val="1"/>
    </w:lvl>
  </w:abstractNum>
  <w:abstractNum w:abstractNumId="10">
    <w:nsid w:val="440BADFC"/>
    <w:multiLevelType w:val="hybridMultilevel"/>
    <w:lvl w:ilvl="0">
      <w:lvlJc w:val="left"/>
      <w:lvlText w:val="•"/>
      <w:numFmt w:val="bullet"/>
      <w:start w:val="1"/>
    </w:lvl>
    <w:lvl w:ilvl="1">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7">
    <w:nsid w:val="5E884ADC"/>
    <w:multiLevelType w:val="hybridMultilevel"/>
    <w:lvl w:ilvl="0">
      <w:lvlJc w:val="left"/>
      <w:lvlText w:val="%1"/>
      <w:numFmt w:val="decimal"/>
      <w:start w:val="1"/>
    </w:lvl>
    <w:lvl w:ilvl="1">
      <w:lvlJc w:val="left"/>
      <w:lvlText w:val="%2."/>
      <w:numFmt w:val="lowerLetter"/>
      <w:start w:val="3"/>
    </w:lvl>
  </w:abstractNum>
  <w:abstractNum w:abstractNumId="18">
    <w:nsid w:val="51EAD36B"/>
    <w:multiLevelType w:val="hybridMultilevel"/>
    <w:lvl w:ilvl="0">
      <w:lvlJc w:val="left"/>
      <w:lvlText w:val="%1."/>
      <w:numFmt w:val="decimal"/>
      <w:start w:val="8"/>
    </w:lvl>
    <w:lvl w:ilvl="1">
      <w:lvlJc w:val="left"/>
      <w:lvlText w:val="%2"/>
      <w:numFmt w:val="lowerLetter"/>
      <w:start w:val="1"/>
    </w:lvl>
  </w:abstractNum>
  <w:abstractNum w:abstractNumId="19">
    <w:nsid w:val="2D517796"/>
    <w:multiLevelType w:val="hybridMultilevel"/>
    <w:lvl w:ilvl="0">
      <w:lvlJc w:val="left"/>
      <w:lvlText w:val="%1."/>
      <w:numFmt w:val="decimal"/>
      <w:start w:val="11"/>
    </w:lvl>
  </w:abstractNum>
  <w:abstractNum w:abstractNumId="20">
    <w:nsid w:val="580BD78F"/>
    <w:multiLevelType w:val="hybridMultilevel"/>
    <w:lvl w:ilvl="0">
      <w:lvlJc w:val="left"/>
      <w:lvlText w:val="%1."/>
      <w:numFmt w:val="decimal"/>
      <w:start w:val="17"/>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5"/>
    </w:lvl>
    <w:lvl w:ilvl="1">
      <w:lvlJc w:val="left"/>
      <w:lvlText w:val="%2."/>
      <w:numFmt w:val="lowerLetter"/>
      <w:start w:val="1"/>
    </w:lvl>
  </w:abstractNum>
  <w:abstractNum w:abstractNumId="23">
    <w:nsid w:val="70A64E2A"/>
    <w:multiLevelType w:val="hybridMultilevel"/>
    <w:lvl w:ilvl="0">
      <w:lvlJc w:val="left"/>
      <w:lvlText w:val="%1."/>
      <w:numFmt w:val="decimal"/>
      <w:start w:val="9"/>
    </w:lvl>
  </w:abstractNum>
  <w:abstractNum w:abstractNumId="24">
    <w:nsid w:val="6A2342EC"/>
    <w:multiLevelType w:val="hybridMultilevel"/>
    <w:lvl w:ilvl="0">
      <w:lvlJc w:val="left"/>
      <w:lvlText w:val="%1."/>
      <w:numFmt w:val="decimal"/>
      <w:start w:val="12"/>
    </w:lvl>
  </w:abstractNum>
  <w:abstractNum w:abstractNumId="25">
    <w:nsid w:val="2A487CB0"/>
    <w:multiLevelType w:val="hybridMultilevel"/>
    <w:lvl w:ilvl="0">
      <w:lvlJc w:val="left"/>
      <w:lvlText w:val="%1."/>
      <w:numFmt w:val="decimal"/>
      <w:start w:val="18"/>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5"/>
    </w:lvl>
    <w:lvl w:ilvl="1">
      <w:lvlJc w:val="left"/>
      <w:lvlText w:val="%2."/>
      <w:numFmt w:val="lowerLetter"/>
      <w:start w:val="1"/>
    </w:lvl>
  </w:abstractNum>
  <w:abstractNum w:abstractNumId="28">
    <w:nsid w:val="2CD89A32"/>
    <w:multiLevelType w:val="hybridMultilevel"/>
    <w:lvl w:ilvl="0">
      <w:lvlJc w:val="left"/>
      <w:lvlText w:val="%1."/>
      <w:numFmt w:val="decimal"/>
      <w:start w:val="9"/>
    </w:lvl>
  </w:abstractNum>
  <w:abstractNum w:abstractNumId="29">
    <w:nsid w:val="57E4CCAF"/>
    <w:multiLevelType w:val="hybridMultilevel"/>
    <w:lvl w:ilvl="0">
      <w:lvlJc w:val="left"/>
      <w:lvlText w:val="%1."/>
      <w:numFmt w:val="decimal"/>
      <w:start w:val="12"/>
    </w:lvl>
  </w:abstractNum>
  <w:abstractNum w:abstractNumId="30">
    <w:nsid w:val="7A6D8D3C"/>
    <w:multiLevelType w:val="hybridMultilevel"/>
    <w:lvl w:ilvl="0">
      <w:lvlJc w:val="left"/>
      <w:lvlText w:val="%1."/>
      <w:numFmt w:val="decimal"/>
      <w:start w:val="18"/>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33">
    <w:nsid w:val="6DE91B18"/>
    <w:multiLevelType w:val="hybridMultilevel"/>
    <w:lvl w:ilvl="0">
      <w:lvlJc w:val="left"/>
      <w:lvlText w:val="%1."/>
      <w:numFmt w:val="lowerLetter"/>
      <w:start w:val="2"/>
    </w:lvl>
    <w:lvl w:ilvl="1">
      <w:lvlJc w:val="left"/>
      <w:lvlText w:val="%2."/>
      <w:numFmt w:val="lowerLetter"/>
      <w:start w:val="9"/>
    </w:lvl>
  </w:abstractNum>
  <w:abstractNum w:abstractNumId="34">
    <w:nsid w:val="38437FDB"/>
    <w:multiLevelType w:val="hybridMultilevel"/>
    <w:lvl w:ilvl="0">
      <w:lvlJc w:val="left"/>
      <w:lvlText w:val="%1."/>
      <w:numFmt w:val="lowerLetter"/>
      <w:start w:val="5"/>
    </w:lvl>
    <w:lvl w:ilvl="1">
      <w:lvlJc w:val="left"/>
      <w:lvlText w:val="%2."/>
      <w:numFmt w:val="lowerRoman"/>
      <w:start w:val="1"/>
    </w:lvl>
  </w:abstractNum>
  <w:abstractNum w:abstractNumId="35">
    <w:nsid w:val="7644A45C"/>
    <w:multiLevelType w:val="hybridMultilevel"/>
    <w:lvl w:ilvl="0">
      <w:lvlJc w:val="left"/>
      <w:lvlText w:val="%1."/>
      <w:numFmt w:val="lowerLetter"/>
      <w:start w:val="6"/>
    </w:lvl>
  </w:abstractNum>
  <w:abstractNum w:abstractNumId="36">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684A481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8">
    <w:nsid w:val="579478F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1">
    <w:nsid w:val="1BA026F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2">
    <w:nsid w:val="79A1DEA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3">
    <w:nsid w:val="75C6C33A"/>
    <w:multiLevelType w:val="hybridMultilevel"/>
    <w:lvl w:ilvl="0">
      <w:lvlJc w:val="left"/>
      <w:lvlText w:val="%1."/>
      <w:numFmt w:val="decimal"/>
      <w:start w:val="10"/>
    </w:lvl>
  </w:abstractNum>
  <w:abstractNum w:abstractNumId="44">
    <w:nsid w:val="12E685FB"/>
    <w:multiLevelType w:val="hybridMultilevel"/>
    <w:lvl w:ilvl="0">
      <w:lvlJc w:val="left"/>
      <w:lvlText w:val="%1."/>
      <w:numFmt w:val="decimal"/>
      <w:start w:val="16"/>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7">
    <w:nsid w:val="374A3FE6"/>
    <w:multiLevelType w:val="hybridMultilevel"/>
    <w:lvl w:ilvl="0">
      <w:lvlJc w:val="left"/>
      <w:lvlText w:val="%1."/>
      <w:numFmt w:val="lowerLetter"/>
      <w:start w:val="2"/>
    </w:lvl>
    <w:lvl w:ilvl="1">
      <w:lvlJc w:val="left"/>
      <w:lvlText w:val="%2."/>
      <w:numFmt w:val="lowerRoman"/>
      <w:start w:val="1"/>
    </w:lvl>
  </w:abstractNum>
  <w:abstractNum w:abstractNumId="48">
    <w:nsid w:val="4F4EF005"/>
    <w:multiLevelType w:val="hybridMultilevel"/>
    <w:lvl w:ilvl="0">
      <w:lvlJc w:val="left"/>
      <w:lvlText w:val="%1."/>
      <w:numFmt w:val="lowerLetter"/>
      <w:start w:val="5"/>
    </w:lvl>
    <w:lvl w:ilvl="1">
      <w:lvlJc w:val="left"/>
      <w:lvlText w:val="%2."/>
      <w:numFmt w:val="lowerRoman"/>
      <w:start w:val="1"/>
    </w:lvl>
  </w:abstractNum>
  <w:abstractNum w:abstractNumId="49">
    <w:nsid w:val="23F9C13C"/>
    <w:multiLevelType w:val="hybridMultilevel"/>
    <w:lvl w:ilvl="0">
      <w:lvlJc w:val="left"/>
      <w:lvlText w:val="%1."/>
      <w:numFmt w:val="lowerLetter"/>
      <w:start w:val="6"/>
    </w:lvl>
    <w:lvl w:ilvl="1">
      <w:lvlJc w:val="left"/>
      <w:lvlText w:val="%2."/>
      <w:numFmt w:val="lowerRoman"/>
      <w:start w:val="1"/>
    </w:lvl>
  </w:abstractNum>
  <w:abstractNum w:abstractNumId="50">
    <w:nsid w:val="649BB77C"/>
    <w:multiLevelType w:val="hybridMultilevel"/>
    <w:lvl w:ilvl="0">
      <w:lvlJc w:val="left"/>
      <w:lvlText w:val="%1"/>
      <w:numFmt w:val="decimal"/>
      <w:start w:val="1"/>
    </w:lvl>
    <w:lvl w:ilvl="1">
      <w:lvlJc w:val="left"/>
      <w:lvlText w:val="%2."/>
      <w:numFmt w:val="lowerLetter"/>
      <w:start w:val="7"/>
    </w:lvl>
  </w:abstractNum>
  <w:abstractNum w:abstractNumId="51">
    <w:nsid w:val="275AC794"/>
    <w:multiLevelType w:val="hybridMultilevel"/>
    <w:lvl w:ilvl="0">
      <w:lvlJc w:val="left"/>
      <w:lvlText w:val="%1."/>
      <w:numFmt w:val="decimal"/>
      <w:start w:val="7"/>
    </w:lvl>
    <w:lvl w:ilvl="1">
      <w:lvlJc w:val="left"/>
      <w:lvlText w:val="%2."/>
      <w:numFmt w:val="lowerLetter"/>
      <w:start w:val="1"/>
    </w:lvl>
  </w:abstractNum>
  <w:abstractNum w:abstractNumId="52">
    <w:nsid w:val="39386575"/>
    <w:multiLevelType w:val="hybridMultilevel"/>
    <w:lvl w:ilvl="0">
      <w:lvlJc w:val="left"/>
      <w:lvlText w:val="%1."/>
      <w:numFmt w:val="lowerLetter"/>
      <w:start w:val="3"/>
    </w:lvl>
    <w:lvl w:ilvl="1">
      <w:lvlJc w:val="left"/>
      <w:lvlText w:val="%2."/>
      <w:numFmt w:val="lowerRoman"/>
      <w:start w:val="1"/>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8"/>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2"/>
    </w:lvl>
  </w:abstractNum>
  <w:abstractNum w:abstractNumId="56">
    <w:nsid w:val="47398C89"/>
    <w:multiLevelType w:val="hybridMultilevel"/>
    <w:lvl w:ilvl="0">
      <w:lvlJc w:val="left"/>
      <w:lvlText w:val="%1."/>
      <w:numFmt w:val="decimal"/>
      <w:start w:val="9"/>
    </w:lvl>
    <w:lvl w:ilvl="1">
      <w:lvlJc w:val="left"/>
      <w:lvlText w:val="%2"/>
      <w:numFmt w:val="lowerLetter"/>
      <w:start w:val="1"/>
    </w:lvl>
  </w:abstractNum>
  <w:abstractNum w:abstractNumId="57">
    <w:nsid w:val="354FE9F9"/>
    <w:multiLevelType w:val="hybridMultilevel"/>
    <w:lvl w:ilvl="0">
      <w:lvlJc w:val="left"/>
      <w:lvlText w:val="%1."/>
      <w:numFmt w:val="decimal"/>
      <w:start w:val="10"/>
    </w:lvl>
  </w:abstractNum>
  <w:abstractNum w:abstractNumId="58">
    <w:nsid w:val="15B5AF5C"/>
    <w:multiLevelType w:val="hybridMultilevel"/>
    <w:lvl w:ilvl="0">
      <w:lvlJc w:val="left"/>
      <w:lvlText w:val="%1."/>
      <w:numFmt w:val="decimal"/>
      <w:start w:val="15"/>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4" Type="http://schemas.openxmlformats.org/officeDocument/2006/relationships/hyperlink" Target="https://www.sec.gov/Archives/edgar/data/1060822/000119312517179483/d400342dex31.htm" TargetMode="External"/><Relationship Id="rId55" Type="http://schemas.openxmlformats.org/officeDocument/2006/relationships/hyperlink" Target="https://www.sec.gov/Archives/edgar/data/1060822/000106082225000160/cartersincamendedandrestat.htm" TargetMode="External"/><Relationship Id="rId56" Type="http://schemas.openxmlformats.org/officeDocument/2006/relationships/hyperlink" Target="https://www.sec.gov/Archives/edgar/data/1060822/000119312526201479/d11262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2026-05-06T11:11:51Z</dcterms:created>
  <dcterms:modified xsi:type="dcterms:W3CDTF">2026-05-06T11:11:51Z</dcterms:modified>
</cp:coreProperties>
</file>