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380" w:right="1000" w:hanging="345"/>
        <w:spacing w:after="0" w:line="286" w:lineRule="auto"/>
        <w:tabs>
          <w:tab w:leader="none" w:pos="4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1, 2016 OR</w:t>
      </w:r>
    </w:p>
    <w:p>
      <w:pPr>
        <w:spacing w:after="0" w:line="11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w:t>
      </w:r>
    </w:p>
    <w:p>
      <w:pPr>
        <w:spacing w:after="0" w:line="33"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TO 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001-31829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73" w:right="239" w:bottom="1440" w:gutter="0" w:footer="0" w:header="0"/>
        </w:sectPr>
      </w:pPr>
    </w:p>
    <w:p>
      <w:pPr>
        <w:spacing w:after="0" w:line="14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13-3912933</w:t>
      </w:r>
    </w:p>
    <w:p>
      <w:pPr>
        <w:spacing w:after="0" w:line="67" w:lineRule="exact"/>
        <w:rPr>
          <w:sz w:val="24"/>
          <w:szCs w:val="24"/>
          <w:color w:val="auto"/>
        </w:rPr>
      </w:pPr>
    </w:p>
    <w:p>
      <w:pPr>
        <w:sectPr>
          <w:pgSz w:w="11900" w:h="16838" w:orient="portrait"/>
          <w:cols w:equalWidth="0" w:num="2">
            <w:col w:w="6760" w:space="720"/>
            <w:col w:w="3940"/>
          </w:cols>
          <w:pgMar w:left="240" w:top="473" w:right="239" w:bottom="1440" w:gutter="0" w:footer="0" w:header="0"/>
          <w:type w:val="continuous"/>
        </w:sectPr>
      </w:pPr>
    </w:p>
    <w:p>
      <w:pPr>
        <w:ind w:left="24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5" w:lineRule="exact"/>
        <w:rPr>
          <w:sz w:val="24"/>
          <w:szCs w:val="24"/>
          <w:color w:val="auto"/>
        </w:rPr>
      </w:pPr>
    </w:p>
    <w:p>
      <w:pPr>
        <w:sectPr>
          <w:pgSz w:w="11900" w:h="16838" w:orient="portrait"/>
          <w:cols w:equalWidth="0" w:num="2">
            <w:col w:w="5900" w:space="720"/>
            <w:col w:w="4800"/>
          </w:cols>
          <w:pgMar w:left="240" w:top="473" w:right="23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7"/>
          <w:szCs w:val="17"/>
          <w:color w:val="auto"/>
        </w:rPr>
        <w:t>incorporation or organization)</w:t>
      </w:r>
    </w:p>
    <w:p>
      <w:pPr>
        <w:sectPr>
          <w:pgSz w:w="11900" w:h="16838" w:orient="portrait"/>
          <w:cols w:equalWidth="0" w:num="1">
            <w:col w:w="11420"/>
          </w:cols>
          <w:pgMar w:left="240" w:top="473" w:right="239" w:bottom="1440" w:gutter="0" w:footer="0" w:header="0"/>
          <w:type w:val="continuous"/>
        </w:sect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4"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color w:val="auto"/>
        </w:rPr>
        <w:t>Large Accelerated Filer (X) Accelerated Filer ( ) Non-Accelerated Filer ( ) Smaller Reporting Company ( )</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w:t>
      </w:r>
      <w:r>
        <w:rPr>
          <w:rFonts w:ascii="Times New Roman" w:cs="Times New Roman" w:eastAsia="Times New Roman" w:hAnsi="Times New Roman"/>
          <w:sz w:val="18"/>
          <w:szCs w:val="18"/>
          <w:color w:val="FFFFFF"/>
        </w:rPr>
        <w:t>X</w:t>
      </w:r>
      <w:r>
        <w:rPr>
          <w:rFonts w:ascii="Times New Roman" w:cs="Times New Roman" w:eastAsia="Times New Roman" w:hAnsi="Times New Roman"/>
          <w:sz w:val="18"/>
          <w:szCs w:val="18"/>
          <w:color w:val="auto"/>
        </w:rPr>
        <w:t>) No (X)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Outstanding Shares at October 21, 2016</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49,370,980</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20" w:type="dxa"/>
            <w:vAlign w:val="bottom"/>
            <w:gridSpan w:val="12"/>
          </w:tcPr>
          <w:p>
            <w:pPr>
              <w:jc w:val="center"/>
              <w:ind w:right="2420"/>
              <w:spacing w:after="0"/>
              <w:rPr>
                <w:sz w:val="20"/>
                <w:szCs w:val="20"/>
                <w:color w:val="auto"/>
              </w:rPr>
            </w:pPr>
            <w:r>
              <w:rPr>
                <w:rFonts w:ascii="Times New Roman" w:cs="Times New Roman" w:eastAsia="Times New Roman" w:hAnsi="Times New Roman"/>
                <w:sz w:val="20"/>
                <w:szCs w:val="20"/>
                <w:b w:val="1"/>
                <w:bCs w:val="1"/>
                <w:color w:val="auto"/>
                <w:w w:val="98"/>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20" w:type="dxa"/>
            <w:vAlign w:val="bottom"/>
            <w:gridSpan w:val="12"/>
          </w:tcPr>
          <w:p>
            <w:pPr>
              <w:jc w:val="center"/>
              <w:ind w:right="242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
        </w:trPr>
        <w:tc>
          <w:tcPr>
            <w:tcW w:w="9340" w:type="dxa"/>
            <w:vAlign w:val="bottom"/>
            <w:gridSpan w:val="31"/>
            <w:vMerge w:val="restart"/>
          </w:tcPr>
          <w:p>
            <w:pPr>
              <w:ind w:left="40"/>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340" w:type="dxa"/>
            <w:vAlign w:val="bottom"/>
            <w:gridSpan w:val="31"/>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Balance Sheets as of October 1, 2016, January 2, 2016 and</w:t>
            </w:r>
          </w:p>
        </w:tc>
        <w:tc>
          <w:tcPr>
            <w:tcW w:w="6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October 3, 2015</w:t>
            </w: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FF"/>
            </w:tcBorders>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shd w:val="clear" w:color="auto" w:fill="CCEEFF"/>
              </w:rPr>
              <w:t>Unaudited Condensed Consolidated Statements of Operations for the fiscal quarter and three fiscal</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30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shd w:val="clear" w:color="auto" w:fill="CCEEFF"/>
              </w:rPr>
              <w:t>quarters ended October 1, 2016 and October 3, 2015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for the fiscal quarter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three fiscal quarters ended October 1, 2016 and October 3, 2015</w:t>
            </w:r>
          </w:p>
        </w:tc>
        <w:tc>
          <w:tcPr>
            <w:tcW w:w="320" w:type="dxa"/>
            <w:vAlign w:val="bottom"/>
            <w:gridSpan w:val="2"/>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FF"/>
            </w:tcBorders>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shd w:val="clear" w:color="auto" w:fill="CCEEFF"/>
              </w:rPr>
              <w:t>Unaudited Condensed Consolidated Statement of Changes in Stockholders' Equity for the three fiscal</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6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shd w:val="clear" w:color="auto" w:fill="CCEEFF"/>
              </w:rPr>
              <w:t>quarters ended October 1, 2016</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34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60" w:type="dxa"/>
            <w:vAlign w:val="bottom"/>
            <w:tcBorders>
              <w:bottom w:val="single" w:sz="8" w:color="0000FF"/>
            </w:tcBorders>
            <w:gridSpan w:val="20"/>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fiscal quarters ended</w:t>
            </w:r>
          </w:p>
        </w:tc>
        <w:tc>
          <w:tcPr>
            <w:tcW w:w="5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October 1, 2016 and October 3, 2015</w:t>
            </w: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31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3</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4</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Controls and Procedures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1"/>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750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Item 1A</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Risk Factors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Item 2</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Item 4</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5</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Other Information</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6</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51">
              <w:r>
                <w:rPr>
                  <w:rFonts w:ascii="Times New Roman" w:cs="Times New Roman" w:eastAsia="Times New Roman" w:hAnsi="Times New Roman"/>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49</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4" w:right="55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0" w:type="dxa"/>
            <w:vAlign w:val="bottom"/>
          </w:tcPr>
          <w:p>
            <w:pPr>
              <w:spacing w:after="0"/>
              <w:rPr>
                <w:sz w:val="1"/>
                <w:szCs w:val="1"/>
                <w:color w:val="auto"/>
              </w:rPr>
            </w:pPr>
          </w:p>
        </w:tc>
      </w:tr>
      <w:tr>
        <w:trPr>
          <w:trHeight w:val="3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381,209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288,260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246,565</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552,726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469,934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511,520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36,414</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34,895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1,045,314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1,130,608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1,117,654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$333,660, $290,636,</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$276,230, respectively</w:t>
            </w:r>
          </w:p>
        </w:tc>
        <w:tc>
          <w:tcPr>
            <w:tcW w:w="14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388,440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361,305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310,848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311,842</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176,956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176,633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14,940</w:t>
            </w:r>
          </w:p>
        </w:tc>
        <w:tc>
          <w:tcPr>
            <w:tcW w:w="0" w:type="dxa"/>
            <w:vAlign w:val="bottom"/>
          </w:tcPr>
          <w:p>
            <w:pPr>
              <w:spacing w:after="0"/>
              <w:rPr>
                <w:sz w:val="1"/>
                <w:szCs w:val="1"/>
                <w:color w:val="auto"/>
              </w:rPr>
            </w:pPr>
          </w:p>
        </w:tc>
      </w:tr>
      <w:tr>
        <w:trPr>
          <w:trHeight w:val="284"/>
        </w:trPr>
        <w:tc>
          <w:tcPr>
            <w:tcW w:w="598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1,937,705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2,003,654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1,982,374</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155,223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157,648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173,594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126,922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105,070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105,199</w:t>
            </w:r>
          </w:p>
        </w:tc>
        <w:tc>
          <w:tcPr>
            <w:tcW w:w="0" w:type="dxa"/>
            <w:vAlign w:val="bottom"/>
          </w:tcPr>
          <w:p>
            <w:pPr>
              <w:spacing w:after="0"/>
              <w:rPr>
                <w:sz w:val="1"/>
                <w:szCs w:val="1"/>
                <w:color w:val="auto"/>
              </w:rPr>
            </w:pPr>
          </w:p>
        </w:tc>
      </w:tr>
      <w:tr>
        <w:trPr>
          <w:trHeight w:val="217"/>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282,145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262,718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278,793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580,613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578,972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579,612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119,499</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169,535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158,075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161,527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1,161,571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1,128,603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1,139,431</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Commitments and contingencies - Note 13</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stock; par value $.01 per share; 100,000 shares authorized; none issued or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at October 1, 2016, January 2, 2016, and October 3, 2015</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Common stock, voting; par value $.01 per share; 150,000,000 shares authorized;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shd w:val="clear" w:color="auto" w:fill="CCEEFF"/>
              </w:rPr>
              <w:t>49,625,609, 51,764,309, and 52,076,784 shares issued and outstanding at October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January 2, 2016 and October 3, 2015, respectively</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(33,480)</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807,527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910,900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875,902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842,943</w:t>
            </w:r>
          </w:p>
        </w:tc>
        <w:tc>
          <w:tcPr>
            <w:tcW w:w="0" w:type="dxa"/>
            <w:vAlign w:val="bottom"/>
          </w:tcPr>
          <w:p>
            <w:pPr>
              <w:spacing w:after="0"/>
              <w:rPr>
                <w:sz w:val="1"/>
                <w:szCs w:val="1"/>
                <w:color w:val="auto"/>
              </w:rPr>
            </w:pPr>
          </w:p>
        </w:tc>
      </w:tr>
      <w:tr>
        <w:trPr>
          <w:trHeight w:val="244"/>
        </w:trPr>
        <w:tc>
          <w:tcPr>
            <w:tcW w:w="59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1,937,705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2,003,654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1,982,374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240" w:top="360"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28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4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901,425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849,806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2,264,981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2,147,335</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525,879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502,267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1,296,324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1,252,849</w:t>
            </w: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375,546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347,539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968,657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894,486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255,322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712,782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650,496</w:t>
            </w: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(32,688)</w:t>
            </w: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130,894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130,221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287,145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276,678</w:t>
            </w: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20,534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124,219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124,027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263,604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257,089</w:t>
            </w: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92,615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91,866</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79,326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165,223</w:t>
            </w:r>
          </w:p>
        </w:tc>
      </w:tr>
      <w:tr>
        <w:trPr>
          <w:trHeight w:val="311"/>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0.66</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2"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80" w:type="dxa"/>
            <w:vAlign w:val="bottom"/>
          </w:tcPr>
          <w:p>
            <w:pPr>
              <w:spacing w:after="0"/>
              <w:rPr>
                <w:sz w:val="18"/>
                <w:szCs w:val="18"/>
                <w:color w:val="auto"/>
              </w:rPr>
            </w:pPr>
          </w:p>
        </w:tc>
        <w:tc>
          <w:tcPr>
            <w:tcW w:w="32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80" w:type="dxa"/>
            <w:vAlign w:val="bottom"/>
          </w:tcPr>
          <w:p>
            <w:pPr>
              <w:spacing w:after="0"/>
              <w:rPr>
                <w:sz w:val="20"/>
                <w:szCs w:val="20"/>
                <w:color w:val="auto"/>
              </w:rPr>
            </w:pPr>
          </w:p>
        </w:tc>
        <w:tc>
          <w:tcPr>
            <w:tcW w:w="14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165,223</w:t>
            </w: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w:t>
            </w:r>
          </w:p>
        </w:tc>
      </w:tr>
      <w:tr>
        <w:trPr>
          <w:trHeight w:val="24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79,455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175,467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154,780</w:t>
            </w:r>
          </w:p>
        </w:tc>
      </w:tr>
      <w:tr>
        <w:trPr>
          <w:trHeight w:val="20"/>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80"/>
          </w:cols>
          <w:pgMar w:left="820" w:top="576" w:right="7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6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26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2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January 2,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51,764,309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875,051</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4,067</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6,386</w:t>
            </w: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155,248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11,852</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1,174</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(2,358,947)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(239,138)</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(50,131)</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175,467</w:t>
            </w:r>
          </w:p>
        </w:tc>
      </w:tr>
      <w:tr>
        <w:trPr>
          <w:trHeight w:val="33"/>
        </w:trPr>
        <w:tc>
          <w:tcPr>
            <w:tcW w:w="2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October 1, 2016</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49,625,609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807,527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776,134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80" w:type="dxa"/>
            <w:vAlign w:val="bottom"/>
          </w:tcPr>
          <w:p>
            <w:pPr>
              <w:spacing w:after="0"/>
              <w:rPr>
                <w:sz w:val="20"/>
                <w:szCs w:val="20"/>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165,223</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52,384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44,187</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tradenames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Accretion of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13,304</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loss,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(61,108)</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(73,724)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63,282</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116,574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146,034</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7"/>
        </w:trPr>
        <w:tc>
          <w:tcPr>
            <w:tcW w:w="80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(76,921)</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Borrowings under secured revolving credit facility</w:t>
            </w:r>
          </w:p>
        </w:tc>
        <w:tc>
          <w:tcPr>
            <w:tcW w:w="18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on secured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(205,237)</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7,963</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6,386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17"/>
        </w:trPr>
        <w:tc>
          <w:tcPr>
            <w:tcW w:w="80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(287,410)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(120,543)</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(240,583)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381,209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340,638</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140,626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288,260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"its," "us" and "our") design, source, and market branded childrenswear under the </w:t>
      </w:r>
      <w:r>
        <w:rPr>
          <w:rFonts w:ascii="Times New Roman" w:cs="Times New Roman" w:eastAsia="Times New Roman" w:hAnsi="Times New Roman"/>
          <w:sz w:val="18"/>
          <w:szCs w:val="18"/>
          <w:i w:val="1"/>
          <w:iCs w:val="1"/>
          <w:color w:val="auto"/>
        </w:rPr>
        <w:t>Carter's, Child of Mine, Just One You, Precious 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and other brands. The Company's products are sourced through contractual arrangements with manufacturers worldwide for wholesale distribution to major domestic and international retailers and for the Company's own retail stores and websites that market its brand name merchandise and other licensed products manufactured by other companies. As of October 1, 2016, the Company operated 636 Carter’s stores in the United States, 267 OshKosh stores in the United States, and 156 stores in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PREPARATION AND ADOPTION OF NEW ACCOUNTING PRONOUNCEMENTS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Carter's, Inc. and its wholly owned subsidiaries and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and three fiscal quarters ended October 1, 2016 are not necessarily indicative of the results that may be expected for the 2016 fiscal year ending December 31, 2016.</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2, 2016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subsequent changes to these accounting policies, except as noted below for new accounting pronouncements adopted at the beginning of fiscal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 At the Beginning of Fiscal 2016</w:t>
      </w:r>
    </w:p>
    <w:p>
      <w:pPr>
        <w:spacing w:after="0" w:line="225" w:lineRule="exact"/>
        <w:rPr>
          <w:sz w:val="20"/>
          <w:szCs w:val="20"/>
          <w:color w:val="auto"/>
        </w:rPr>
      </w:pPr>
    </w:p>
    <w:p>
      <w:pPr>
        <w:jc w:val="both"/>
        <w:ind w:right="100"/>
        <w:spacing w:after="0" w:line="290" w:lineRule="auto"/>
        <w:rPr>
          <w:sz w:val="20"/>
          <w:szCs w:val="20"/>
          <w:color w:val="auto"/>
        </w:rPr>
      </w:pPr>
      <w:r>
        <w:rPr>
          <w:rFonts w:ascii="Times New Roman" w:cs="Times New Roman" w:eastAsia="Times New Roman" w:hAnsi="Times New Roman"/>
          <w:sz w:val="17"/>
          <w:szCs w:val="17"/>
          <w:color w:val="auto"/>
        </w:rPr>
        <w:t xml:space="preserve">At the beginning of fiscal 2016, the Company adopted the following Accounting Standards Updates ("ASU"): ASU No. 2015-05, </w:t>
      </w:r>
      <w:r>
        <w:rPr>
          <w:rFonts w:ascii="Times New Roman" w:cs="Times New Roman" w:eastAsia="Times New Roman" w:hAnsi="Times New Roman"/>
          <w:sz w:val="17"/>
          <w:szCs w:val="17"/>
          <w:i w:val="1"/>
          <w:iCs w:val="1"/>
          <w:color w:val="auto"/>
        </w:rPr>
        <w:t>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Fees Paid in a Cloud Computing Arrangement </w:t>
      </w:r>
      <w:r>
        <w:rPr>
          <w:rFonts w:ascii="Times New Roman" w:cs="Times New Roman" w:eastAsia="Times New Roman" w:hAnsi="Times New Roman"/>
          <w:sz w:val="17"/>
          <w:szCs w:val="17"/>
          <w:color w:val="auto"/>
        </w:rPr>
        <w:t>("ASU 2015-05"); ASU No. 2015-03,</w:t>
      </w:r>
      <w:r>
        <w:rPr>
          <w:rFonts w:ascii="Times New Roman" w:cs="Times New Roman" w:eastAsia="Times New Roman" w:hAnsi="Times New Roman"/>
          <w:sz w:val="17"/>
          <w:szCs w:val="17"/>
          <w:i w:val="1"/>
          <w:iCs w:val="1"/>
          <w:color w:val="auto"/>
        </w:rPr>
        <w:t xml:space="preserve"> Simplifying the Presentation of Debt Issuance Costs </w:t>
      </w:r>
      <w:r>
        <w:rPr>
          <w:rFonts w:ascii="Times New Roman" w:cs="Times New Roman" w:eastAsia="Times New Roman" w:hAnsi="Times New Roman"/>
          <w:sz w:val="17"/>
          <w:szCs w:val="17"/>
          <w:color w:val="auto"/>
        </w:rPr>
        <w:t>("ASU 2015-03");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ASU No. 2015-04, </w:t>
      </w:r>
      <w:r>
        <w:rPr>
          <w:rFonts w:ascii="Times New Roman" w:cs="Times New Roman" w:eastAsia="Times New Roman" w:hAnsi="Times New Roman"/>
          <w:sz w:val="17"/>
          <w:szCs w:val="17"/>
          <w:i w:val="1"/>
          <w:iCs w:val="1"/>
          <w:color w:val="auto"/>
        </w:rPr>
        <w:t>Practical Expedient for the Measurement Date of an Employer's Defined Benefit Obligation and Plan Assets</w:t>
      </w:r>
      <w:r>
        <w:rPr>
          <w:rFonts w:ascii="Times New Roman" w:cs="Times New Roman" w:eastAsia="Times New Roman" w:hAnsi="Times New Roman"/>
          <w:sz w:val="17"/>
          <w:szCs w:val="17"/>
          <w:color w:val="auto"/>
        </w:rPr>
        <w:t xml:space="preserve"> ("ASU 2015-04").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2015-05</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Company prospectively adopted the provisions of ASU No. 2015-05, </w:t>
      </w:r>
      <w:r>
        <w:rPr>
          <w:rFonts w:ascii="Times New Roman" w:cs="Times New Roman" w:eastAsia="Times New Roman" w:hAnsi="Times New Roman"/>
          <w:sz w:val="18"/>
          <w:szCs w:val="18"/>
          <w:i w:val="1"/>
          <w:iCs w:val="1"/>
          <w:color w:val="auto"/>
        </w:rPr>
        <w:t>Customer's Accounting for Fees Paid in a Cloud Computing Arrangement</w:t>
      </w:r>
      <w:r>
        <w:rPr>
          <w:rFonts w:ascii="Times New Roman" w:cs="Times New Roman" w:eastAsia="Times New Roman" w:hAnsi="Times New Roman"/>
          <w:sz w:val="18"/>
          <w:szCs w:val="18"/>
          <w:color w:val="auto"/>
        </w:rPr>
        <w:t xml:space="preserve"> at the beginning of fiscal 2016, as it relates to the accounting for fees paid in connection with arrangements with cloud-based software providers. Under the new guidance, unless a software arrangement includes specific elements enabling customers to possess and operate software on platforms other than those offered by the cloud-based provider, the costs of such arrangements are accounted for as an operating expense in the period in which such costs are incurred. The adoption of this guidance did not have a material effect on the Company's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0" w:right="2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For the Company's adoption of ASU 2015-03, refer to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accompanying the unaudited condensed consolidated financial statements in this Quarterly Report on Form 10-Q. The Company adopted this guidance effective at the beginning of fiscal 2016 and the provisions have been applied to each prior period presented for comparative purposes.</w:t>
      </w:r>
    </w:p>
    <w:p>
      <w:pPr>
        <w:spacing w:after="0" w:line="174"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For the Company's adoption of ASU 2015-04, refer to Note 8,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accompanying the unaudited condensed consolidated financial statements in this Quarterly Report on Form 10-Q.</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net of applicable income taxes, of accumulated other comprehensive loss consisted of the following:</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0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(25,840)</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liability adjustments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w:t>
            </w:r>
          </w:p>
        </w:tc>
      </w:tr>
      <w:tr>
        <w:trPr>
          <w:trHeight w:val="33"/>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(33,480)</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Changes in accumulated other comprehensive loss for the third quarter and the first three quarters of fiscal 2016 consisted of additional losses of $1.4 million and additional gains of $4.5 million for foreign currency translation adjustments, respectively. Changes in accumulated other comprehensive loss for the third quarter and the first three quarters of fiscal 2015 consisted of additional losses of $4.2 million and $10.4 million for foreign currency translation adjustments, respectively. During the first, second and third quarters of both fiscal 2016 and fiscal 2015, no amounts were reclassified from accumulated other comprehensive loss to the statement of operations.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TRADENAMES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and other intangible assets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Indefinite</w:t>
            </w:r>
          </w:p>
        </w:tc>
        <w:tc>
          <w:tcPr>
            <w:tcW w:w="180" w:type="dxa"/>
            <w:vAlign w:val="bottom"/>
            <w:tcBorders>
              <w:right w:val="single" w:sz="8" w:color="CCEEFF"/>
            </w:tcBorders>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Canadian acquisition</w:t>
            </w:r>
          </w:p>
        </w:tc>
        <w:tc>
          <w:tcPr>
            <w:tcW w:w="16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40,386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38,304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176,956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174,874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174,874</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Indefinite</w:t>
            </w:r>
          </w:p>
        </w:tc>
        <w:tc>
          <w:tcPr>
            <w:tcW w:w="180" w:type="dxa"/>
            <w:vAlign w:val="bottom"/>
            <w:tcBorders>
              <w:right w:val="single" w:sz="8" w:color="CCEEFF"/>
            </w:tcBorders>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6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tradenames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2-20 years</w:t>
            </w:r>
          </w:p>
        </w:tc>
        <w:tc>
          <w:tcPr>
            <w:tcW w:w="180" w:type="dxa"/>
            <w:vAlign w:val="bottom"/>
            <w:tcBorders>
              <w:right w:val="single" w:sz="8" w:color="CCEEFF"/>
            </w:tcBorders>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3,240</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5,115</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347,749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38,776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308,973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347,725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36,877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310,848</w:t>
            </w:r>
          </w:p>
        </w:tc>
        <w:tc>
          <w:tcPr>
            <w:tcW w:w="0" w:type="dxa"/>
            <w:vAlign w:val="bottom"/>
          </w:tcPr>
          <w:p>
            <w:pPr>
              <w:spacing w:after="0"/>
              <w:rPr>
                <w:sz w:val="1"/>
                <w:szCs w:val="1"/>
                <w:color w:val="auto"/>
              </w:rPr>
            </w:pPr>
          </w:p>
        </w:tc>
      </w:tr>
      <w:tr>
        <w:trPr>
          <w:trHeight w:val="405"/>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October 3, 2015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00" w:type="dxa"/>
            <w:vAlign w:val="bottom"/>
          </w:tcPr>
          <w:p>
            <w:pPr>
              <w:spacing w:after="0"/>
              <w:rPr>
                <w:sz w:val="18"/>
                <w:szCs w:val="18"/>
                <w:color w:val="auto"/>
              </w:rPr>
            </w:pPr>
          </w:p>
        </w:tc>
        <w:tc>
          <w:tcPr>
            <w:tcW w:w="11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136,570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Canadian acquisition</w:t>
            </w:r>
          </w:p>
        </w:tc>
        <w:tc>
          <w:tcPr>
            <w:tcW w:w="1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40,063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176,633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176,633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220,233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tradenames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 years</w:t>
            </w:r>
          </w:p>
        </w:tc>
        <w:tc>
          <w:tcPr>
            <w:tcW w:w="100" w:type="dxa"/>
            <w:vAlign w:val="bottom"/>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42,012</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35,903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6,109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347,745</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35,903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311,842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changes in the carrying values between the comparative periods for goodwill related to the Company's 2011 acquisition of its Canadian business (Bonnie Togs) were solely due to fluctuations in the foreign currency exchange rates between the Canadian and U.S. dollar that were used in the remeasurement process for preparing the Company's consolidated financial statements. The portion of the changes in the carrying values for other trademarks, including the related accumulated amortization, that was not attributable to amortization expense was also impacted by these same foreign currency exchange rate fluctuations.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recorded approximately $1.9 million in amortization expense for the first three fiscal quarters ended October 1, 2016. Amortization expense for the third fiscal quarter ended October 1, 2016 was not material. The Company recorded approximately $1.0 million and $5.4 million in amortization expense for the fiscal quarter and the first three fiscal quarters ended October 3, 2015, respectively. At October 1, 2016, one tradename had an unamortized balance of approximately $3.2 million, and the future amortization expense is estimated to be approximately $0.2 million for each of the next five fiscal years.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2013, the Company's Board of Directors authorized the repurchase of shares of the Company's stock in an amount up to $300 million, inclusive of amounts remaining under previous authorizations. In the third quarter of fiscal 2013, the Board approved an additional $400 million accelerated share repurchase authorization, which has been completed. On February 24, 2016, the Company's Board of Directors authorized a new $500 million share repurchase program in addition to any amounts remaining under previous authorizations. The total aggregate remaining capacity under all of the outstanding repurchase authorizations as of October 1, 2016 was approximately $335.7 million, based on settled repurchase transactions. The authorizations have no expiration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28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47"/>
        </w:trPr>
        <w:tc>
          <w:tcPr>
            <w:tcW w:w="3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1"/>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4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587,100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2,358,947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795,025</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58,929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239,138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78,339</w:t>
            </w:r>
          </w:p>
        </w:tc>
      </w:tr>
      <w:tr>
        <w:trPr>
          <w:trHeight w:val="33"/>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98.54</w:t>
            </w:r>
          </w:p>
        </w:tc>
      </w:tr>
      <w:tr>
        <w:trPr>
          <w:trHeight w:val="33"/>
        </w:trPr>
        <w:tc>
          <w:tcPr>
            <w:tcW w:w="3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fiscal quarter and the first three fiscal quarters ended October 1, 2016, the Company paid cash dividends per share of $0.33 and $0.99,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In the third fiscal quarter and the first three fiscal quarters ended October 3, 2015, the Company paid cash dividends per share of $0.22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$0.66, respectively. Future declarations of dividends and the establishment of future record and payment dates are at the discretion of the Company's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based on a number of factors, including the Company's future financial performance and other investment priorities.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Provisions in the indenture governing the senior notes of The William Carter Company ("TWCC"), a 100% owned subsidiary of the Company,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2015 fiscal year ended January 2, 2016.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at amounts repayable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w:t>
            </w:r>
          </w:p>
        </w:tc>
      </w:tr>
      <w:tr>
        <w:trPr>
          <w:trHeight w:val="33"/>
        </w:trPr>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394,334</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185,278</w:t>
            </w:r>
          </w:p>
        </w:tc>
      </w:tr>
      <w:tr>
        <w:trPr>
          <w:trHeight w:val="33"/>
        </w:trPr>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4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long-term debt,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579,612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2015, the Company replaced $20.0 million of outstanding borrowings under the then-existing secured revolving credit facility with CAD 25.5 million of borrowings, which approximated $20.3 million. This transaction is reflected on the Company's consolidated statement of cash flows.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previously disclosed in the Company's most recent Annual Report on Form 10-K for the 2015 fiscal year ended January 2, 2016, the secured revolving credit facility was amended and restated in September 2015. The aggregate principal amount of the secured revolving credit facility is $500 million consisting of (i) a $400 million U.S. dollar revolving credit facility (including a $175 million sub-limit for letters of credit and a swing line sub-limit of $50 million) available for borrowings by TWCC and (ii) a $100 million multicurrency revolving credit facility (including a $40 million sub-limit for letters of credit and a swing line sub-limit of $15 million) available for borrowings by TWCC and certain other subsidiaries of TWCC in U.S. dollars, Canadian dollars, Euros, Pounds Sterling, or other currencies agreed to by the applicable lenders. The secured revolving credit facility also provides for incremental facilities in an aggregate amount not to exceed $250 million, either in the form of a commitment increase under the existing revolving credit facility or the incurrence of one or more tranches of term loans (with the aggregate U.S. dollar amount available to the Company not to exceed $200 million and the aggregate multicurrency amount available not to exceed $50 million). The Company's secured revolving credit facility matures on September 16, 2020.</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October 1, 2016, the Company had approximately $185.4 million in outstanding borrowings under its secured revolving credit facility, exclusive of $4.8 million of outstanding letters of credit. As of October 1, 2016, approximately $309.7 million remained available for future borrowing.</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October 1, 2016,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October 1, 2016, U.S. dollar borrowings outstanding under the secured revolving credit facility accrued interest at a LIBOR rate plus the applicable base rate, which was 1.90% on that date, and Canadian dollar borrowings accrued interest at a CDOR (Canadian Dollar Offered Rate) plus the applicable base rate, which was 2.26% on that date.</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disclosed in the Company's most recent Annual Report on Form 10-K for the 2015 fiscal year ended January 2, 2016, the Company's secured revolving credit facility contains covenants, including affirmative and financial covenants. As of October 1, 2016, the Company was in compliance with the financial and other covenants under the secured revolving credit facility.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As of October 1, 2016,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described in the following section.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 Related to Debt Issuance Costs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retrospectively adopted the provisions of Accounting Standards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("ASU 2015-03"), at the beginning of fiscal 2016, which requires that debt issuance costs be presented as a direct deduction from the carrying amount of the related debt liability, consistent with the presentation of a debt discount. Prior to the issuance of ASU 2015-03, debt issuance costs were required to be presented as deferred charge assets, separate from the related debt liability. The guidance did not change the recognition and measurement requirements for debt issuance costs. The Company reclassified $4.8 million, $5.5 million, and $5.7 million of unamortized issuance-related debt costs associated with the Company's senior notes from other assets to Long-term debt, net within its consolidated balance sheets as of October 1, 2016, January 2, 2016, and October 3, 2015, respectively. Other than this balance sheet reclassification, the adoption of ASU 2015-03 did not have an impact on the Company's consolidated financial statements. Fees paid to lenders to secure revolving lines of credit continue to be presented as a deferred charge (asset) on the balance sheet.</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00" w:type="dxa"/>
            <w:vAlign w:val="bottom"/>
          </w:tcPr>
          <w:p>
            <w:pPr>
              <w:spacing w:after="0"/>
              <w:rPr>
                <w:sz w:val="18"/>
                <w:szCs w:val="18"/>
                <w:color w:val="auto"/>
              </w:rPr>
            </w:pPr>
          </w:p>
        </w:tc>
        <w:tc>
          <w:tcPr>
            <w:tcW w:w="258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6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03"/>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Time-based awards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r>
      <w:tr>
        <w:trPr>
          <w:trHeight w:val="237"/>
        </w:trPr>
        <w:tc>
          <w:tcPr>
            <w:tcW w:w="20" w:type="dxa"/>
            <w:vAlign w:val="bottom"/>
          </w:tcPr>
          <w:p>
            <w:pPr>
              <w:spacing w:after="0"/>
              <w:rPr>
                <w:sz w:val="20"/>
                <w:szCs w:val="20"/>
                <w:color w:val="auto"/>
              </w:rPr>
            </w:pPr>
          </w:p>
        </w:tc>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Performance-based awards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awards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44"/>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13,304</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plan and two defined benefit plans. The two defined benefit plans include the OshKosh B'Gosh pension plan and a post-retirement life and medical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B'GOSH PENSION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pension cost (benefit) included in the statement of operations was comprised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80" w:type="dxa"/>
            <w:vAlign w:val="bottom"/>
          </w:tcPr>
          <w:p>
            <w:pPr>
              <w:spacing w:after="0"/>
              <w:rPr>
                <w:sz w:val="18"/>
                <w:szCs w:val="18"/>
                <w:color w:val="auto"/>
              </w:rPr>
            </w:pPr>
          </w:p>
        </w:tc>
        <w:tc>
          <w:tcPr>
            <w:tcW w:w="332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4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2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1,869</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Recognized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244"/>
        </w:trPr>
        <w:tc>
          <w:tcPr>
            <w:tcW w:w="4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periodic pension cost (benefit)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LIFE AND MEDICAL PLAN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3"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post-retirement benefit expense charged to the statement of operations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2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50"/>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Service cost – benefits attributed to service during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r>
      <w:tr>
        <w:trPr>
          <w:trHeight w:val="237"/>
        </w:trPr>
        <w:tc>
          <w:tcPr>
            <w:tcW w:w="4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cost on accumulated post-retirement benefit obligation</w:t>
            </w:r>
          </w:p>
        </w:tc>
        <w:tc>
          <w:tcPr>
            <w:tcW w:w="1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33"/>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Amortization net actuarial gain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44"/>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periodic post-retirement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Measurement Date for Defined Benefit Plan Assets and Obligations</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the provisions of ASU No. 2015-04, </w:t>
      </w:r>
      <w:r>
        <w:rPr>
          <w:rFonts w:ascii="Times New Roman" w:cs="Times New Roman" w:eastAsia="Times New Roman" w:hAnsi="Times New Roman"/>
          <w:sz w:val="18"/>
          <w:szCs w:val="18"/>
          <w:i w:val="1"/>
          <w:iCs w:val="1"/>
          <w:color w:val="auto"/>
        </w:rPr>
        <w:t>Practical Expedient for the Measurement Date of an Employer's Defined Benefit Obligation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Assets </w:t>
      </w:r>
      <w:r>
        <w:rPr>
          <w:rFonts w:ascii="Times New Roman" w:cs="Times New Roman" w:eastAsia="Times New Roman" w:hAnsi="Times New Roman"/>
          <w:sz w:val="18"/>
          <w:szCs w:val="18"/>
          <w:color w:val="auto"/>
        </w:rPr>
        <w:t>("ASU 2015-04") at the beginning of fiscal 2016. However, the Company is not required to make any such measurements until the end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ASU 2015-04 allows employers with fiscal year ends that do not coincide with a calendar month end to make an accounting policy election to measure defined benefit plan assets and obligations as of the end of the month closest to their fiscal year end (i.e., on an alternative measurement date). An employer that makes this election must consistently apply the alternative measurement date from year to year and to all of its defined benefit plans. The Company expects to make the accounting policy election to use December 31 as the measurement date for all of its defined benefit plan assets and obligations for fiscal 2016 and subsequent years. Measurement dates for prior periods will not be impacted. Since the Company's current 52-week fiscal year will end on December 31, 2016, it will not be necessary for the Company to utilize an alternate measurement date for fiscal 2016, and thus the initial adoption of ASU 2015-04 at the beginning of fiscal 2016 will not have an impact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first quarters of fiscal 2016 and 2015, the IRS and various state tax authorities completed examinations of the Company's income tax returns. As a result, the Company recognized income tax benefits related to prior years of approximately $0.4 million and $1.8 million in the first quarters of fiscal 2016 and 2015, respectively. In most cases, the Company is no longer subject to state and local tax authority examinations for years prior to fiscal 2012.</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October 1, 2016, the Company had gross unrecognized income tax benefits of approximately $10.1 million, of which $7.2 million, if ultimately recognized, may affect the Company's effective tax rate in the periods settled. The Company has recorded tax positions for which the ultimate deductibility is more likely than not, but for which there is uncertainty about the timing of such deductions.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October 1, 2016 were approximately $1.2 million of reserves for which the statute of limitations is expected to expire within the next fiscal year. If these tax benefits are ultimately recognized, such recognition, net of federal income taxes, may affect the annual effective tax rate for fiscal 2016 or fiscal 2017 along with the effective tax rate in the quarter in which the benefits are recognized.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tax benefits as a component of income tax expense. During the fiscal quarter and the first three fiscal quarters ended October 1, 2016 and the fiscal quarter and the first three fiscal quarters ended October 3, 2015, interest expense recorded on uncertain tax positions was not significant. The Company had approximately $0.9 million, $0.8 million, and $0.9 million of interest accrued on uncertain tax positions as of October 1, 2016, January 2, 2016, and October 3, 2015,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3"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financial assets and liabilities accounted for at fair value on a recurring basis.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0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October 1, 2016</w:t>
            </w:r>
          </w:p>
        </w:tc>
        <w:tc>
          <w:tcPr>
            <w:tcW w:w="70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7"/>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rPr>
              <w:t>January 2, 2016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7"/>
          </w:tcPr>
          <w:p>
            <w:pPr>
              <w:jc w:val="center"/>
              <w:ind w:right="557"/>
              <w:spacing w:after="0"/>
              <w:rPr>
                <w:sz w:val="20"/>
                <w:szCs w:val="20"/>
                <w:color w:val="auto"/>
              </w:rPr>
            </w:pPr>
            <w:r>
              <w:rPr>
                <w:rFonts w:ascii="Times New Roman" w:cs="Times New Roman" w:eastAsia="Times New Roman" w:hAnsi="Times New Roman"/>
                <w:sz w:val="18"/>
                <w:szCs w:val="18"/>
                <w:b w:val="1"/>
                <w:bCs w:val="1"/>
                <w:color w:val="auto"/>
                <w:w w:val="98"/>
              </w:rPr>
              <w:t>October 3, 2015</w:t>
            </w:r>
          </w:p>
        </w:tc>
        <w:tc>
          <w:tcPr>
            <w:tcW w:w="0" w:type="dxa"/>
            <w:vAlign w:val="bottom"/>
          </w:tcPr>
          <w:p>
            <w:pPr>
              <w:spacing w:after="0"/>
              <w:rPr>
                <w:sz w:val="1"/>
                <w:szCs w:val="1"/>
                <w:color w:val="auto"/>
              </w:rPr>
            </w:pPr>
          </w:p>
        </w:tc>
      </w:tr>
      <w:tr>
        <w:trPr>
          <w:trHeight w:val="242"/>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millions)</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Level 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Foreign exchange forward contracts </w:t>
            </w:r>
            <w:r>
              <w:rPr>
                <w:rFonts w:ascii="Times New Roman" w:cs="Times New Roman" w:eastAsia="Times New Roman" w:hAnsi="Times New Roman"/>
                <w:sz w:val="14"/>
                <w:szCs w:val="14"/>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Foreign exchange forward contracts </w:t>
            </w:r>
            <w:r>
              <w:rPr>
                <w:rFonts w:ascii="Times New Roman" w:cs="Times New Roman" w:eastAsia="Times New Roman" w:hAnsi="Times New Roman"/>
                <w:sz w:val="14"/>
                <w:szCs w:val="14"/>
                <w:i w:val="1"/>
                <w:iCs w:val="1"/>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in the Company's condensed consolidated balance sheet.</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current liabilities in the Company's condensed consolidated balance sheet.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Gains on the investments in marketable securities were $0.4 million and $0.8 million for the third fiscal quarter and the first three fiscal quarters ended October 1, 2016, respectively. Losses on the investments in marketable securities were $0.4 million and $0.1 million for the third fiscal quarter and the first three fiscal quarters ended October 3, 2015. These amounts are included in Other expense (income), net on the Company's consolidated statement of operations included in this Quarterly Report on Form 10-Q.</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Fair values for unsettled foreign exchange forward contracts are calculated by using readily observable market inputs (market-quoted currency exchange rates in effect between U.S. and Canadian dollars).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October 1, 2016, the notional value of the open foreign currency forward contracts was approximately $6.0 million. These contracts were marked-to-market, or to fair value, resulting in an unrealized loss of approximately $0.4 million at October 1, 2016.</w:t>
      </w:r>
    </w:p>
    <w:p>
      <w:pPr>
        <w:spacing w:after="0" w:line="16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recorded realized losses of approximately $0.6 million and $0.8 million for foreign currency forward contracts settled during the third fiscal quarter and the first three fiscal quarters ended October 1, 2016, respectively. The Company recorded realized gains of approximately $1.6 million and $1.9 million for foreign currency forward contracts settled during the third fiscal quarter and the first three fiscal quarters ended October 3, 2015. These amounts are included in Other expense (income), net on the Company's consolidated statement of operations. The Company did not apply hedge accounting treatment on any of these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contingent consideration liability during the third fiscal quarter and first three fiscal quarters of 2015 related to the Company's 2011 acquisition of Bonnie Togs in Canada: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33" w:right="259" w:bottom="1440" w:gutter="0" w:footer="0" w:header="0"/>
        </w:sectPr>
      </w:pPr>
    </w:p>
    <w:bookmarkStart w:id="14" w:name="page15"/>
    <w:bookmarkEnd w:id="14"/>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8"/>
                <w:szCs w:val="18"/>
                <w:color w:val="auto"/>
              </w:rPr>
            </w:pPr>
          </w:p>
        </w:tc>
        <w:tc>
          <w:tcPr>
            <w:tcW w:w="24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33"/>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October 3, 2015</w:t>
            </w:r>
          </w:p>
        </w:tc>
        <w:tc>
          <w:tcPr>
            <w:tcW w:w="240" w:type="dxa"/>
            <w:vAlign w:val="bottom"/>
          </w:tcPr>
          <w:p>
            <w:pPr>
              <w:spacing w:after="0"/>
              <w:rPr>
                <w:sz w:val="18"/>
                <w:szCs w:val="18"/>
                <w:color w:val="auto"/>
              </w:rPr>
            </w:pPr>
          </w:p>
        </w:tc>
        <w:tc>
          <w:tcPr>
            <w:tcW w:w="240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the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7,711</w:t>
            </w: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made</w:t>
            </w:r>
          </w:p>
        </w:tc>
        <w:tc>
          <w:tcPr>
            <w:tcW w:w="2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w:t>
            </w:r>
          </w:p>
        </w:tc>
      </w:tr>
      <w:tr>
        <w:trPr>
          <w:trHeight w:val="33"/>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Accretion</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33"/>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Final contingent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1,077</w:t>
            </w:r>
          </w:p>
        </w:tc>
      </w:tr>
      <w:tr>
        <w:trPr>
          <w:trHeight w:val="24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the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payment under the earn-out obligation was paid during the third quarter of fiscal 2015. At October 1, 2016, January 2, 2016 and October 3, 2015, the Company had no remaining contingent consideration liability related to the 2011 acquisition of Bonnie Togs in Canada.</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October 1, 2016, the fair value of the Company's $185.4 million in outstanding borrowings under its secured revolving credit facility approximated carrying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October 1, 2016 was approximately $419 million. The fair value of these senior notes with a notional value and carrying value of $400 million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240" w:top="333" w:right="479" w:bottom="1440" w:gutter="0" w:footer="0" w:header="0"/>
        </w:sectPr>
      </w:pPr>
    </w:p>
    <w:bookmarkStart w:id="15" w:name="page16"/>
    <w:bookmarkEnd w:id="1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ectPr>
          <w:pgSz w:w="11900" w:h="16838" w:orient="portrait"/>
          <w:cols w:equalWidth="0" w:num="1">
            <w:col w:w="11320"/>
          </w:cols>
          <w:pgMar w:left="240" w:top="333" w:right="339" w:bottom="1440" w:gutter="0" w:footer="0" w:header="0"/>
        </w:sectPr>
      </w:pPr>
    </w:p>
    <w:p>
      <w:pPr>
        <w:spacing w:after="0" w:line="1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47625</wp:posOffset>
            </wp:positionV>
            <wp:extent cx="2289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3" w:lineRule="exact"/>
        <w:rPr>
          <w:sz w:val="20"/>
          <w:szCs w:val="20"/>
          <w:color w:val="auto"/>
        </w:rPr>
      </w:pPr>
    </w:p>
    <w:p>
      <w:pPr>
        <w:ind w:left="43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October 1, 2016</w:t>
      </w:r>
      <w:r>
        <w:rPr>
          <w:sz w:val="20"/>
          <w:szCs w:val="20"/>
          <w:color w:val="auto"/>
        </w:rPr>
        <w:tab/>
      </w:r>
      <w:r>
        <w:rPr>
          <w:rFonts w:ascii="Times New Roman" w:cs="Times New Roman" w:eastAsia="Times New Roman" w:hAnsi="Times New Roman"/>
          <w:sz w:val="15"/>
          <w:szCs w:val="15"/>
          <w:b w:val="1"/>
          <w:bCs w:val="1"/>
          <w:color w:val="auto"/>
        </w:rPr>
        <w:t>October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38735</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38735</wp:posOffset>
            </wp:positionV>
            <wp:extent cx="2255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October 1, 2016</w:t>
      </w:r>
      <w:r>
        <w:rPr>
          <w:sz w:val="20"/>
          <w:szCs w:val="20"/>
          <w:color w:val="auto"/>
        </w:rPr>
        <w:tab/>
      </w:r>
      <w:r>
        <w:rPr>
          <w:rFonts w:ascii="Times New Roman" w:cs="Times New Roman" w:eastAsia="Times New Roman" w:hAnsi="Times New Roman"/>
          <w:sz w:val="15"/>
          <w:szCs w:val="15"/>
          <w:b w:val="1"/>
          <w:bCs w:val="1"/>
          <w:color w:val="auto"/>
        </w:rPr>
        <w:t>October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38735</wp:posOffset>
            </wp:positionV>
            <wp:extent cx="2255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340"/>
          </w:cols>
          <w:pgMar w:left="240" w:top="333" w:right="339" w:bottom="1440" w:gutter="0" w:footer="0" w:header="0"/>
          <w:type w:val="continuous"/>
        </w:sectPr>
      </w:pP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Weighted-average number of common and common</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equivalent shares outstanding:</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49,526,480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51,740,523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50,282,345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51,960,041</w:t>
            </w:r>
          </w:p>
        </w:tc>
        <w:tc>
          <w:tcPr>
            <w:tcW w:w="0" w:type="dxa"/>
            <w:vAlign w:val="bottom"/>
          </w:tcPr>
          <w:p>
            <w:pPr>
              <w:spacing w:after="0"/>
              <w:rPr>
                <w:sz w:val="1"/>
                <w:szCs w:val="1"/>
                <w:color w:val="auto"/>
              </w:rPr>
            </w:pP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460,271</w:t>
            </w:r>
          </w:p>
        </w:tc>
        <w:tc>
          <w:tcPr>
            <w:tcW w:w="1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507,815</w:t>
            </w:r>
          </w:p>
        </w:tc>
        <w:tc>
          <w:tcPr>
            <w:tcW w:w="1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470,050</w:t>
            </w:r>
          </w:p>
        </w:tc>
        <w:tc>
          <w:tcPr>
            <w:tcW w:w="10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512,861</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number of common and common equivalent</w:t>
            </w:r>
          </w:p>
        </w:tc>
        <w:tc>
          <w:tcPr>
            <w:tcW w:w="16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49,986,751</w:t>
            </w:r>
          </w:p>
        </w:tc>
        <w:tc>
          <w:tcPr>
            <w:tcW w:w="120" w:type="dxa"/>
            <w:vAlign w:val="bottom"/>
            <w:shd w:val="clear" w:color="auto" w:fill="CCEEFF"/>
          </w:tcPr>
          <w:p>
            <w:pPr>
              <w:spacing w:after="0"/>
              <w:rPr>
                <w:sz w:val="17"/>
                <w:szCs w:val="17"/>
                <w:color w:val="auto"/>
              </w:rPr>
            </w:pPr>
          </w:p>
        </w:tc>
        <w:tc>
          <w:tcPr>
            <w:tcW w:w="1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52,248,338</w:t>
            </w:r>
          </w:p>
        </w:tc>
        <w:tc>
          <w:tcPr>
            <w:tcW w:w="10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50,752,395</w:t>
            </w:r>
          </w:p>
        </w:tc>
        <w:tc>
          <w:tcPr>
            <w:tcW w:w="100" w:type="dxa"/>
            <w:vAlign w:val="bottom"/>
            <w:shd w:val="clear" w:color="auto" w:fill="CCEEFF"/>
          </w:tcPr>
          <w:p>
            <w:pPr>
              <w:spacing w:after="0"/>
              <w:rPr>
                <w:sz w:val="17"/>
                <w:szCs w:val="17"/>
                <w:color w:val="auto"/>
              </w:rPr>
            </w:pPr>
          </w:p>
        </w:tc>
        <w:tc>
          <w:tcPr>
            <w:tcW w:w="1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52,472,902</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shares outstanding</w:t>
            </w: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428625</wp:posOffset>
            </wp:positionV>
            <wp:extent cx="710057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Basic net income per common share (in thousands, except</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per share data):</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79,326</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165,223</w:t>
            </w:r>
          </w:p>
        </w:tc>
      </w:tr>
      <w:tr>
        <w:trPr>
          <w:trHeight w:val="3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r>
      <w:tr>
        <w:trPr>
          <w:trHeight w:val="284"/>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80,179</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78,651</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169,630</w:t>
            </w:r>
          </w:p>
        </w:tc>
        <w:tc>
          <w:tcPr>
            <w:tcW w:w="10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163,666</w:t>
            </w:r>
          </w:p>
        </w:tc>
      </w:tr>
      <w:tr>
        <w:trPr>
          <w:trHeight w:val="217"/>
        </w:trPr>
        <w:tc>
          <w:tcPr>
            <w:tcW w:w="3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20"/>
                <w:szCs w:val="20"/>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20"/>
                <w:szCs w:val="20"/>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2"/>
        </w:trPr>
        <w:tc>
          <w:tcPr>
            <w:tcW w:w="3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 (in thousands,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except per share data):</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165,223</w:t>
            </w: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33"/>
        </w:trPr>
        <w:tc>
          <w:tcPr>
            <w:tcW w:w="3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80,184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169,639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163,678</w:t>
            </w:r>
          </w:p>
        </w:tc>
      </w:tr>
      <w:tr>
        <w:trPr>
          <w:trHeight w:val="20"/>
        </w:trPr>
        <w:tc>
          <w:tcPr>
            <w:tcW w:w="3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r>
      <w:tr>
        <w:trPr>
          <w:trHeight w:val="162"/>
        </w:trPr>
        <w:tc>
          <w:tcPr>
            <w:tcW w:w="3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0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Anti-dilutive shares excluded from dilutive earnings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 share computation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246,980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177,300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244,430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180,000</w:t>
            </w:r>
          </w:p>
        </w:tc>
      </w:tr>
      <w:tr>
        <w:trPr>
          <w:trHeight w:val="33"/>
        </w:trPr>
        <w:tc>
          <w:tcPr>
            <w:tcW w:w="3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240" w:top="333" w:right="339" w:bottom="1440" w:gutter="0" w:footer="0" w:header="0"/>
          <w:type w:val="continuous"/>
        </w:sectPr>
      </w:pPr>
    </w:p>
    <w:bookmarkStart w:id="16" w:name="page17"/>
    <w:bookmarkEnd w:id="16"/>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CURRENT AND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that exceeded five percent of total current liabilities, at the end of any comparable period, were as follows: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12,574</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25,902</w:t>
            </w:r>
          </w:p>
        </w:tc>
      </w:tr>
      <w:tr>
        <w:trPr>
          <w:trHeight w:val="33"/>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10,102</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and deferred rent</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12,286</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that exceeded five percent of total liabilities, at the end of any comparable period, were as follows: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October 3, 2015</w:t>
            </w:r>
          </w:p>
        </w:tc>
      </w:tr>
      <w:tr>
        <w:trPr>
          <w:trHeight w:val="3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70,778</w:t>
            </w:r>
          </w:p>
        </w:tc>
      </w:tr>
      <w:tr>
        <w:trPr>
          <w:trHeight w:val="33"/>
        </w:trPr>
        <w:tc>
          <w:tcPr>
            <w:tcW w:w="5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240" w:top="333" w:right="419" w:bottom="1440" w:gutter="0" w:footer="0" w:header="0"/>
        </w:sectPr>
      </w:pPr>
    </w:p>
    <w:bookmarkStart w:id="17" w:name="page18"/>
    <w:bookmarkEnd w:id="17"/>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October 1,</w:t>
            </w: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Total Net</w:t>
            </w:r>
          </w:p>
        </w:tc>
        <w:tc>
          <w:tcPr>
            <w:tcW w:w="1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October 3,</w:t>
            </w:r>
          </w:p>
        </w:tc>
        <w:tc>
          <w:tcPr>
            <w:tcW w:w="1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0" w:type="dxa"/>
            <w:vAlign w:val="bottom"/>
          </w:tcPr>
          <w:p>
            <w:pPr>
              <w:spacing w:after="0"/>
              <w:rPr>
                <w:sz w:val="1"/>
                <w:szCs w:val="1"/>
                <w:color w:val="auto"/>
              </w:rPr>
            </w:pPr>
          </w:p>
        </w:tc>
      </w:tr>
      <w:tr>
        <w:trPr>
          <w:trHeight w:val="212"/>
        </w:trPr>
        <w:tc>
          <w:tcPr>
            <w:tcW w:w="2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0" w:type="dxa"/>
            <w:vAlign w:val="bottom"/>
          </w:tcPr>
          <w:p>
            <w:pPr>
              <w:spacing w:after="0"/>
              <w:rPr>
                <w:sz w:val="1"/>
                <w:szCs w:val="1"/>
                <w:color w:val="auto"/>
              </w:rPr>
            </w:pPr>
          </w:p>
        </w:tc>
      </w:tr>
      <w:tr>
        <w:trPr>
          <w:trHeight w:val="33"/>
        </w:trPr>
        <w:tc>
          <w:tcPr>
            <w:tcW w:w="2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Wholesale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356,258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343,555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842,136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824,600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37"/>
        </w:trPr>
        <w:tc>
          <w:tcPr>
            <w:tcW w:w="2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Carter’s Retail (a)</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314,699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294,928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860,854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799,635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6"/>
                <w:szCs w:val="16"/>
                <w:color w:val="auto"/>
                <w:w w:val="99"/>
              </w:rPr>
              <w:t>Total Carter’s (U.S.)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670,957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638,483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1,702,990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1,624,235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7"/>
        </w:trPr>
        <w:tc>
          <w:tcPr>
            <w:tcW w:w="2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OshKosh Retail (a)</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106,999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98,292</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267,715</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244,787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OshKosh Wholesale</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17,474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49,151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Total OshKosh (U.S.)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124,473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117,086</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306,487</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293,938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(b)</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105,995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94,237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255,504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229,162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6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color w:val="auto"/>
                <w:w w:val="99"/>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901,425</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849,806</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2,264,981</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2,147,335</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8"/>
        </w:trPr>
        <w:tc>
          <w:tcPr>
            <w:tcW w:w="2100" w:type="dxa"/>
            <w:vAlign w:val="bottom"/>
            <w:gridSpan w:val="4"/>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Net Sales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Net Sales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Wholesale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81,551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74,347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187,655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172,485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37"/>
        </w:trPr>
        <w:tc>
          <w:tcPr>
            <w:tcW w:w="2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Carter’s Retail (a)</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48,051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51,733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127,738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134,557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Carter’s (U.S.)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129,602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126,080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315,393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307,042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7"/>
        </w:trPr>
        <w:tc>
          <w:tcPr>
            <w:tcW w:w="2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OshKosh Retail (a)</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2,652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OshKosh Wholesale</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9,715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0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Total OshKosh (U.S.)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(b) (c)</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19,645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18,220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37,191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30,967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4"/>
        </w:trPr>
        <w:tc>
          <w:tcPr>
            <w:tcW w:w="2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Corporate expenses (d) (e) (f)</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(25,455)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(24,737)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(73,091)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(74,442)</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130,894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130,221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287,145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276,678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eCommerce results.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include international retail, eCommerce, and wholesale sales. Operating income includes international licensing income.</w:t>
      </w:r>
    </w:p>
    <w:p>
      <w:pPr>
        <w:spacing w:after="0" w:line="5" w:lineRule="exact"/>
        <w:rPr>
          <w:rFonts w:ascii="Times New Roman" w:cs="Times New Roman" w:eastAsia="Times New Roman" w:hAnsi="Times New Roman"/>
          <w:sz w:val="16"/>
          <w:szCs w:val="16"/>
          <w:color w:val="auto"/>
        </w:rPr>
      </w:pPr>
    </w:p>
    <w:p>
      <w:pPr>
        <w:ind w:left="340" w:right="20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associated with the revaluation of the Company's contingent consideration related to the Company's 2011 acquisition of Bonnie Togs of approximately $1.9 million for the first three fiscal quarters ended October 3, 2015.</w:t>
      </w:r>
    </w:p>
    <w:p>
      <w:pPr>
        <w:ind w:left="340" w:right="22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include expenses related to incentive compensation, stock-based compensation, executive management, severance and relocation, finance, building occupancy, information technology, certain legal fees, consulting, and audit fees.</w:t>
      </w:r>
    </w:p>
    <w:p>
      <w:pPr>
        <w:ind w:left="340" w:right="12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amortization of the H.W. Carter and Sons tradenames of approximate $1.7 million for the first three fiscal quarters ended October 1, 2016, and approximately $1.0 million and $5.3 million for the fiscal quarter and the first three fiscal quarters ended October 3, 2015, respectively.</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Company's direct sourcing initiative of $0.5 million for the fiscal quarter and for the three fiscal quarters periods ended October 1, 2016.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PENDING ADOPTION OF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has been codified in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The standard is effective for the Company beginning in the first quarter of fiscal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2018, including interim periods within that first fiscal year, and early adoption is now permitted for 2017. Upon becoming effective, the Company will apply the amendments in the updated standard either retrospectively to each prior reporting period presented, or retrospectively with the cumulative effect of initially applying the guidance recognized at the date of initial application. Since the original issuance of ASU 2014-09, the FASB has issued several amendments and updates to this guidance, and additional amendments and updates are currently being considered by the FASB. The Company is currently evaluating the impact of adopting this guidance on its consolidated financial position, results of operations, and cash flows.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Subsequent Measurement of Inventory</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xml:space="preserve"> ("ASU 2015-11"). Upon adoption by an entity, ASU 2015-11 will simplify subsequent measurements of inventory by replacing the current lower of cost or market test with a lower of cost and net realizable value test. The new guidance applies only to inventories for which cost is determined by methods other than last-in-first-out (LIFO) and the retail inventory method. For inventory within the scope of ASU 2015-11, entities will be required to compare the cost of inventory to only one measure, its net realizable value, and not the three measures required by current guidance ("market," "subject to a floor," and a "ceiling"). When evidence exists that the net realizable value of inventory is less than its cost (due to damage, physical deterioration, obsolescence, changes in price levels or other causes), entities will recognize the difference as a loss in earnings in the period in which it occurs. ASU 2015-11 is effective for public entities for fiscal years beginning after December 15, 2016, and interim periods within the year of adoption. Early adoption is permitted. The Company expects to adopt the provisions of ASU 2015-11 at the beginning of fiscal 2017. At this time, the Company does not believe the adoption of ASU 2015-11 will have a material impact on its consolidated financial condition, results of operations, or cash flows.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Classification of Deferred Taxes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("ASU 2015-17"). Current GAAP requires the deferred taxes for each tax jurisdiction (or tax-paying component of a jurisdiction) to be presented as a net current asset or liability and net noncurrent asset or liability. ASU 2015-17 requires a jurisdiction-by-jurisdiction analysis based on the classification of the assets and liabilities to which the underlying temporary differences relate based on the period in which the attribute is expected to be realized. Upon adoption of ASU 2015-17, all deferred tax assets and liabilities will be classified as noncurrent on an entity's balance sheet. As a result, each jurisdiction will have only one net noncurrent deferred tax asset or liability. ASU 2015-17 will not change the existing guidance that prohibits the offsetting of deferred tax liabilities of one jurisdiction against the deferred tax assets of another jurisdiction. ASU 2015-17 is effective for public entities in fiscal years beginning after December 15, 2016, including interim periods in the year of adoption. Early adoption is permitted, and adoption may be applied either prospectively or retrospectively. The Company plans to adopt ASU 2015-17 at the beginning of the first quarter of fiscal 2017. ASU 2015-17 will only involve classification of certain deferred tax assets and liabilities on the Company's consolidated balance sheet and will have no impact on the Company's results of operations or cash flows. The Company does not expect the adoption of ASU 2015-17 will have a material effect on the Company's consolidated balance sheet.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new lease accounting guidance in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new standard requires a modified retrospective basis, and early adoption is permitted. The Company is still evaluating the potential impacts of ASU 2016-02 on its consolidated financial statements. However, the Company expects that the adoption of ASU 2016-02 will require the Company to recognize right-of-use assets and lease liabilities that will be material to the Company's consolidated balance sheet.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Share-Based Payments to Employees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3" w:right="2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amends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ASU 2016-09 includes provisions intended to simplify various aspects related to how share-based payments are accounted for and presented in the financial statements. All tax benefits and deficiencies related to share-based payments will be recognized and recorded through the statement of operations for all awards settled or expiring after the adoption of ASU 2016-09. Currently, tax benefits in excess of compensation costs ("windfalls") are recorded in equity, and tax deficiencies ("shortfalls") are recorded in equity to the extent of previous windfalls and then to the statement of operations. ASU 2016-09 will also require, either prospectively or retrospectively, that all tax-related cash flows resulting from share-based payments be reported as operating activities on the statement of cash flows, a change from the current requirement to present windfall tax benefits as an inflow from financing activities and an outflow from operating activities on the statement of cash flows. Additionally, ASU 2016-09 will allow entities to make an accounting policy election for the impact of most types of forfeitures on the recognition of expense for share-based payment awards by allowing the forfeitures to be either estimated, as is currently required, or recognized when they actually occur. If elected, the change to recognize forfeitures when they occur will be adopted using a modified retrospective approach, with a cumulative effect adjustment recorded to retained earnings. ASU 2016-09 will be effective for the Company at the beginning of fiscal 2017, including interim periods in the year of adoption. Early adoption is permitted in any interim or annual period. The potential impacts that the adoption of ASU 2016-09 will have on the Company's income tax expense or benefit and related cash flows during and after the period of adoption are dependent in part upon future grants and vesting of stock-based compensation awards and other factors that are not fully controllable or predicable by the Company such as the future market price of the Company's common stock, the timing of employee exercises of vested stock options, and the future achievement of performance criteria that affect performance-based awards. However, based on the Company’s stock price as of October 1, 2016 and its outstanding unvested restricted stock awards and unexercised stock options, the Company anticipates that adoption of this pronouncement at the beginning of fiscal 2017 will reduce its income tax expense and increase its net income, and these anticipated income tax benefits will be reported as a component of cash flows from operating activities instead of cash flows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333" w:right="279" w:bottom="1440" w:gutter="0" w:footer="0" w:header="0"/>
        </w:sectPr>
      </w:pPr>
    </w:p>
    <w:bookmarkStart w:id="20" w:name="page21"/>
    <w:bookmarkEnd w:id="20"/>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GUARANTOR UNAUDITED CONDENSED CONSOLIDATING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the Company's Annual Report on Form 10-K for the 2015 fiscal year ended January 2, 2016.</w:t>
      </w:r>
    </w:p>
    <w:p>
      <w:pPr>
        <w:spacing w:after="0" w:line="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December 2015, as part of a foreign subsidiary restructuring, certain non-guarantor subsidiaries became subsidiaries of certain other non-guarantor subsidiaries. The restructuring did not retroactively impact the prior status of the guarantor and the non-guarantor subsidiaries, and accordingly the condensed consolidating financial information for periods prior to the restructuring have not been adjusted to reflect the restructuring.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333" w:right="2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91,299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140,626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271,207</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552,726</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43,155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37,600</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729,684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370,639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126,194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1,045,314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194,078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388,440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176,956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223,473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308,973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18,022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707,381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127,447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(1,610,962)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2,073,387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1,119,192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202,044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(2,233,052)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1,937,705</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99,175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155,223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58,787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126,922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198,431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186,958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282,145</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580,613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83,998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129,278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340,887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88,906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169,535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820,695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698,048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776,134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776,134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2,073,387</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1,119,192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202,044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(2,233,052)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1,937,705</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325,771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207,570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469,934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34,080</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865,399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384,147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104,939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1,130,608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371,704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174,874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310,848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652,598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2,156,580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1,044,850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172,915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(2,245,742)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2,003,654</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157,648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80,908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241,275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262,718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578,972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84,038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128,838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158,075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909,843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643,261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875,051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2,156,580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1,044,850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172,915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(2,245,742)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2,003,654</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232,568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288,260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246,565</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87,419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100,357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Intercompany loan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278,793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511,520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36,414</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34,895</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862,155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389,426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1,117,654</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171,615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361,305</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176,633</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 and other intangibles,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311,842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14,940</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264,618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842,943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614,624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842,943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2,114,043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931,061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1,982,374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173,594</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Intercompany loan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105,199</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182,779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278,793</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579,612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119,499</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264,618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161,527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842,943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877,039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530,996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102,746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(1,510,781)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842,943</w:t>
            </w:r>
          </w:p>
        </w:tc>
        <w:tc>
          <w:tcPr>
            <w:tcW w:w="0" w:type="dxa"/>
            <w:vAlign w:val="bottom"/>
          </w:tcPr>
          <w:p>
            <w:pPr>
              <w:spacing w:after="0"/>
              <w:rPr>
                <w:sz w:val="1"/>
                <w:szCs w:val="1"/>
                <w:color w:val="auto"/>
              </w:rPr>
            </w:pPr>
          </w:p>
        </w:tc>
      </w:tr>
      <w:tr>
        <w:trPr>
          <w:trHeight w:val="196"/>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842,943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2,114,043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931,061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176,177</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(2,081,850)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1,982,374</w:t>
            </w:r>
          </w:p>
        </w:tc>
        <w:tc>
          <w:tcPr>
            <w:tcW w:w="0" w:type="dxa"/>
            <w:vAlign w:val="bottom"/>
          </w:tcPr>
          <w:p>
            <w:pPr>
              <w:spacing w:after="0"/>
              <w:rPr>
                <w:sz w:val="1"/>
                <w:szCs w:val="1"/>
                <w:color w:val="auto"/>
              </w:rPr>
            </w:pPr>
          </w:p>
        </w:tc>
      </w:tr>
      <w:tr>
        <w:trPr>
          <w:trHeight w:val="228"/>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3" w:right="2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584,206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452,755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79,631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901,425</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409,937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274,521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43,060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525,879</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178,234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36,571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375,546</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255,322</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131,928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9,775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130,894</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6,779</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117,628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124,219</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29,407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43,408</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80,811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33" w:right="25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October 3,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539,181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427,028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71,068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849,806</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39,180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502,267</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158,754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164,019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31,888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347,539</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230,017</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(12,699)</w:t>
            </w:r>
          </w:p>
        </w:tc>
      </w:tr>
      <w:tr>
        <w:trPr>
          <w:trHeight w:val="21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118,612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11,180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130,221</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6,907</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79,326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114,652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124,027</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44,701</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79,326</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20"/>
          </w:cols>
          <w:pgMar w:left="240" w:top="333"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1,396,768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1,208,841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201,679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2,264,981</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995,828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706,525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1,296,324</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400,940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502,316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94,552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968,657</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132,986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533,364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72,687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712,782</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(31,270)</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291,707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21,865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287,145</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20,321</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170,989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250,449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263,604</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69,691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92,615</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170,989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180,758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333" w:right="25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3,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1,336,785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1,137,585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170,826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2,147,335</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932,937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699,769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96,788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1,252,849</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403,848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437,816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74,038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894,486</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62,208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650,496</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(32,688)</w:t>
            </w:r>
          </w:p>
        </w:tc>
      </w:tr>
      <w:tr>
        <w:trPr>
          <w:trHeight w:val="21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294,670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11,830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276,678</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20,534</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247,772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11,972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257,089</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91,866</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8,044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165,223</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20"/>
          </w:cols>
          <w:pgMar w:left="24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80,811</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88,221</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80,811</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79,455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79,455</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October 3,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79,326</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79,520</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8,169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(85,069)</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79,326</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75,121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75,315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75,121</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3" w:right="2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170,989</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180,758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12,739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170,989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4,478</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175,467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185,236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175,467</w:t>
            </w:r>
          </w:p>
        </w:tc>
      </w:tr>
      <w:tr>
        <w:trPr>
          <w:trHeight w:val="20"/>
        </w:trPr>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3,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165,223</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163,045</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8,044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(139,456)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154,780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152,602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154,780</w:t>
            </w:r>
          </w:p>
        </w:tc>
      </w:tr>
      <w:tr>
        <w:trPr>
          <w:trHeight w:val="20"/>
        </w:trPr>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33" w:right="2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116,574</w:t>
            </w:r>
          </w:p>
        </w:tc>
      </w:tr>
      <w:tr>
        <w:trPr>
          <w:trHeight w:val="169"/>
        </w:trPr>
        <w:tc>
          <w:tcPr>
            <w:tcW w:w="3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291,477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plant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291,477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(70,974)</w:t>
            </w:r>
          </w:p>
        </w:tc>
      </w:tr>
      <w:tr>
        <w:trPr>
          <w:trHeight w:val="393"/>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84"/>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(50,131)</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4,067</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6,386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6,386</w:t>
            </w:r>
          </w:p>
        </w:tc>
      </w:tr>
      <w:tr>
        <w:trPr>
          <w:trHeight w:val="196"/>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(287,410)</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1,227</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increase in cash and cash</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(240,583)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91,299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40,850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140,626</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fiscal quarters ended October 3,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146,034</w:t>
            </w:r>
          </w:p>
        </w:tc>
      </w:tr>
      <w:tr>
        <w:trPr>
          <w:trHeight w:val="183"/>
        </w:trPr>
        <w:tc>
          <w:tcPr>
            <w:tcW w:w="3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(76,987)</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intercompany loan</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repayment of intercompany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plant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(76,921)</w:t>
            </w:r>
          </w:p>
        </w:tc>
      </w:tr>
      <w:tr>
        <w:trPr>
          <w:trHeight w:val="40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intercompany loan</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Borrowings from intercompany loan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secured revolving credit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205,586</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on secured revolving credit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(205,237)</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(34,617)</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on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7,963</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(12,575)</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5,743</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(120,543)</w:t>
            </w: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(52,378)</w:t>
            </w:r>
          </w:p>
        </w:tc>
      </w:tr>
      <w:tr>
        <w:trPr>
          <w:trHeight w:val="19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340,638</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288,260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the fourth quarter of fiscal 2016 and fiscal year 2016,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are the largest branded marketer in the United States ("U.S.") and in Canada of apparel exclusively for babies and young children. We own two of the most highly recognized and most trusted brand names in the children's apparel industry,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Established in 1865, our </w:t>
      </w:r>
      <w:r>
        <w:rPr>
          <w:rFonts w:ascii="Times New Roman" w:cs="Times New Roman" w:eastAsia="Times New Roman" w:hAnsi="Times New Roman"/>
          <w:sz w:val="18"/>
          <w:szCs w:val="18"/>
          <w:i w:val="1"/>
          <w:iCs w:val="1"/>
          <w:color w:val="auto"/>
        </w:rPr>
        <w:t xml:space="preserve">Carter's </w:t>
      </w:r>
      <w:r>
        <w:rPr>
          <w:rFonts w:ascii="Times New Roman" w:cs="Times New Roman" w:eastAsia="Times New Roman" w:hAnsi="Times New Roman"/>
          <w:sz w:val="18"/>
          <w:szCs w:val="18"/>
          <w:color w:val="auto"/>
        </w:rPr>
        <w:t>brand is recognized and trusted by consumers for high-quality apparel for children sizes newborn to eight. Established in 1895,</w:t>
      </w:r>
      <w:r>
        <w:rPr>
          <w:rFonts w:ascii="Times New Roman" w:cs="Times New Roman" w:eastAsia="Times New Roman" w:hAnsi="Times New Roman"/>
          <w:sz w:val="18"/>
          <w:szCs w:val="18"/>
          <w:i w:val="1"/>
          <w:iCs w:val="1"/>
          <w:color w:val="auto"/>
        </w:rPr>
        <w:t xml:space="preserve"> OshKosh </w:t>
      </w:r>
      <w:r>
        <w:rPr>
          <w:rFonts w:ascii="Times New Roman" w:cs="Times New Roman" w:eastAsia="Times New Roman" w:hAnsi="Times New Roman"/>
          <w:sz w:val="18"/>
          <w:szCs w:val="18"/>
          <w:color w:val="auto"/>
        </w:rPr>
        <w:t>is a well-known brand, trusted by consumers for apparel for children sizes newborn to 14,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2015 fiscal year ended January 2, 2016.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0" w:right="239" w:bottom="1440" w:gutter="0" w:footer="0" w:header="0"/>
        </w:sectPr>
      </w:pPr>
    </w:p>
    <w:bookmarkStart w:id="33" w:name="page34"/>
    <w:bookmarkEnd w:id="3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(i) selected statement of operations data expressed as a percentage of consolidated net sales and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retail stores open at the end of each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54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30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4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Wholesale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Carter’s Retail</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Carter’s (U.S.)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75.6 %</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OshKosh Retail</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OshKosh Wholesale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OshKosh (U.S.)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sales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8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n/m</w:t>
            </w:r>
          </w:p>
        </w:tc>
        <w:tc>
          <w:tcPr>
            <w:tcW w:w="16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n/m</w:t>
            </w:r>
          </w:p>
        </w:tc>
        <w:tc>
          <w:tcPr>
            <w:tcW w:w="17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n/m</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8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37"/>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retail stores at end of period:</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Carter’s - U.S.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OshKosh - U.S.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International (all in Canada)</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retail stores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rounds to less than 0.1%, therefore not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Results may not be additive due to rounding.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4" w:name="page35"/>
    <w:bookmarkEnd w:id="3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STORE COUNT DATA</w:t>
            </w: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Carter's Retail</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OshKosh Retail</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of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Closings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33"/>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quarters of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Closings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33"/>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Approximate projections for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Closings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bl>
    <w:p>
      <w:pPr>
        <w:spacing w:after="0" w:line="2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Substantially all of the OshKosh retail store openings included in the above table are in a "side-by-side" format with a Carter's retail store. We operate "side-by-side" locations wherein adjacent retail stores for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brands are connected, allowing customers to shop for both brands in a single location. Each "side-by-side" location is counted as one Carter's retail store and one OshKosh retail store. As of October 1, 2016 and October 3, 2015, the U.S. store count data presented in the above table included 127 and 86 "side-by-side" locations,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22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comparable store sales metrics include sales for all stores and eCommerce websites that were open during the comparable fiscal period, including certain remodeled stores and relocated stores. A store or eCommerce website becomes comparable following 13 consecutive full months of operation. If a store relocates within the same center with no business interruption or material change in square footage, the sales of such store will continue to be included in the comparable store metrics. If a store relocates to another center, or if there is a material change in square footage, such store is treated as a new store. Stores that are closed during the relevant fiscal period are included in the comparable store sales metrics up to and including the last full fiscal month of operations.</w:t>
      </w:r>
    </w:p>
    <w:p>
      <w:pPr>
        <w:spacing w:after="0" w:line="3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THIRD FISCAL QUARTER AND FIRST THREE FISCAL QUARTERS ENDED OCTOBER 1, 2016 COMPARED TO THIRD FISCAL QUARTER AND FIRST THREE FISCAL QUARTERS ENDED OCTOBER 3, 2015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COMPARABLE RETAIL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comparable sales for our two U.S. retail segments, Carter's Retail and Oshkosh Retail, were as follows:</w:t>
      </w:r>
    </w:p>
    <w:p>
      <w:pPr>
        <w:spacing w:after="0" w:line="379" w:lineRule="exact"/>
        <w:rPr>
          <w:sz w:val="20"/>
          <w:szCs w:val="20"/>
          <w:color w:val="auto"/>
        </w:rPr>
      </w:pPr>
    </w:p>
    <w:tbl>
      <w:tblPr>
        <w:tblLayout w:type="fixed"/>
        <w:tblInd w:w="1120" w:type="dxa"/>
        <w:tblCellMar>
          <w:top w:w="0" w:type="dxa"/>
          <w:left w:w="0" w:type="dxa"/>
          <w:bottom w:w="0" w:type="dxa"/>
          <w:right w:w="0" w:type="dxa"/>
        </w:tblCellMar>
      </w:tblPr>
      <w:tr>
        <w:trPr>
          <w:trHeight w:val="264"/>
        </w:trPr>
        <w:tc>
          <w:tcPr>
            <w:tcW w:w="1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3080" w:type="dxa"/>
            <w:vAlign w:val="bottom"/>
            <w:tcBorders>
              <w:bottom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Comparable Sales</w:t>
            </w:r>
          </w:p>
        </w:tc>
        <w:tc>
          <w:tcPr>
            <w:tcW w:w="2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r>
      <w:tr>
        <w:trPr>
          <w:trHeight w:val="213"/>
        </w:trPr>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20" w:type="dxa"/>
            <w:vAlign w:val="bottom"/>
            <w:tcBorders>
              <w:right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for Third Fiscal Quarter from 2015 to</w:t>
            </w:r>
          </w:p>
        </w:tc>
        <w:tc>
          <w:tcPr>
            <w:tcW w:w="3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for Three Fiscal Quarters from 2015 to</w:t>
            </w:r>
          </w:p>
        </w:tc>
      </w:tr>
      <w:tr>
        <w:trPr>
          <w:trHeight w:val="270"/>
        </w:trPr>
        <w:tc>
          <w:tcPr>
            <w:tcW w:w="1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right w:val="single" w:sz="8" w:color="auto"/>
            </w:tcBorders>
            <w:gridSpan w:val="3"/>
            <w:shd w:val="clear" w:color="auto" w:fill="CCEEFF"/>
          </w:tcPr>
          <w:p>
            <w:pPr>
              <w:jc w:val="right"/>
              <w:ind w:right="15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3"/>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39"/>
        </w:trPr>
        <w:tc>
          <w:tcPr>
            <w:tcW w:w="1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Increase (Decrease)</w:t>
            </w:r>
          </w:p>
        </w:tc>
        <w:tc>
          <w:tcPr>
            <w:tcW w:w="280" w:type="dxa"/>
            <w:vAlign w:val="bottom"/>
            <w:tcBorders>
              <w:top w:val="single" w:sz="8" w:color="CCEEFF"/>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r>
      <w:tr>
        <w:trPr>
          <w:trHeight w:val="295"/>
        </w:trPr>
        <w:tc>
          <w:tcPr>
            <w:tcW w:w="19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Carter's Retail</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OshKosh Retail</w:t>
            </w:r>
          </w:p>
        </w:tc>
        <w:tc>
          <w:tcPr>
            <w:tcW w:w="1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Carter's Retail</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OshKosh Retail</w:t>
            </w:r>
          </w:p>
        </w:tc>
      </w:tr>
      <w:tr>
        <w:trPr>
          <w:trHeight w:val="298"/>
        </w:trPr>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stores</w:t>
            </w:r>
          </w:p>
        </w:tc>
        <w:tc>
          <w:tcPr>
            <w:tcW w:w="1720" w:type="dxa"/>
            <w:vAlign w:val="bottom"/>
            <w:tcBorders>
              <w:bottom w:val="single" w:sz="8" w:color="CCEEFF"/>
            </w:tcBorders>
            <w:gridSpan w:val="2"/>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(4.1)%</w:t>
            </w:r>
          </w:p>
        </w:tc>
        <w:tc>
          <w:tcPr>
            <w:tcW w:w="2080" w:type="dxa"/>
            <w:vAlign w:val="bottom"/>
            <w:tcBorders>
              <w:bottom w:val="single" w:sz="8" w:color="CCEEFF"/>
              <w:right w:val="single" w:sz="8" w:color="auto"/>
            </w:tcBorders>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(3.0)%</w:t>
            </w:r>
          </w:p>
        </w:tc>
        <w:tc>
          <w:tcPr>
            <w:tcW w:w="1420" w:type="dxa"/>
            <w:vAlign w:val="bottom"/>
            <w:tcBorders>
              <w:bottom w:val="single" w:sz="8" w:color="CCEEFF"/>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(2.4)%</w:t>
            </w:r>
          </w:p>
        </w:tc>
        <w:tc>
          <w:tcPr>
            <w:tcW w:w="2040" w:type="dxa"/>
            <w:vAlign w:val="bottom"/>
            <w:tcBorders>
              <w:bottom w:val="single" w:sz="8" w:color="CCEEFF"/>
            </w:tcBorders>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(3.5)%</w:t>
            </w:r>
          </w:p>
        </w:tc>
      </w:tr>
      <w:tr>
        <w:trPr>
          <w:trHeight w:val="237"/>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172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auto"/>
                <w:w w:val="99"/>
              </w:rPr>
              <w:t>+25.2%</w:t>
            </w:r>
          </w:p>
        </w:tc>
        <w:tc>
          <w:tcPr>
            <w:tcW w:w="2080" w:type="dxa"/>
            <w:vAlign w:val="bottom"/>
            <w:tcBorders>
              <w:right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6"/>
                <w:szCs w:val="16"/>
                <w:color w:val="auto"/>
                <w:w w:val="99"/>
              </w:rPr>
              <w:t>+34.8%</w:t>
            </w:r>
          </w:p>
        </w:tc>
        <w:tc>
          <w:tcPr>
            <w:tcW w:w="14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w w:val="99"/>
              </w:rPr>
              <w:t>+19.7%</w:t>
            </w:r>
          </w:p>
        </w:tc>
        <w:tc>
          <w:tcPr>
            <w:tcW w:w="2040" w:type="dxa"/>
            <w:vAlign w:val="bottom"/>
            <w:gridSpan w:val="3"/>
          </w:tcPr>
          <w:p>
            <w:pPr>
              <w:jc w:val="center"/>
              <w:ind w:left="299"/>
              <w:spacing w:after="0"/>
              <w:rPr>
                <w:sz w:val="20"/>
                <w:szCs w:val="20"/>
                <w:color w:val="auto"/>
              </w:rPr>
            </w:pPr>
            <w:r>
              <w:rPr>
                <w:rFonts w:ascii="Times New Roman" w:cs="Times New Roman" w:eastAsia="Times New Roman" w:hAnsi="Times New Roman"/>
                <w:sz w:val="16"/>
                <w:szCs w:val="16"/>
                <w:color w:val="auto"/>
                <w:w w:val="99"/>
              </w:rPr>
              <w:t>+24.9%</w:t>
            </w:r>
          </w:p>
        </w:tc>
      </w:tr>
      <w:tr>
        <w:trPr>
          <w:trHeight w:val="33"/>
        </w:trPr>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gridSpan w:val="2"/>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+2.1%</w:t>
            </w:r>
          </w:p>
        </w:tc>
        <w:tc>
          <w:tcPr>
            <w:tcW w:w="2080" w:type="dxa"/>
            <w:vAlign w:val="bottom"/>
            <w:tcBorders>
              <w:right w:val="single" w:sz="8" w:color="auto"/>
            </w:tcBorders>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+2.1%</w:t>
            </w:r>
          </w:p>
        </w:tc>
        <w:tc>
          <w:tcPr>
            <w:tcW w:w="2040" w:type="dxa"/>
            <w:vAlign w:val="bottom"/>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+2.1%</w:t>
            </w:r>
          </w:p>
        </w:tc>
      </w:tr>
      <w:tr>
        <w:trPr>
          <w:trHeight w:val="33"/>
        </w:trPr>
        <w:tc>
          <w:tcPr>
            <w:tcW w:w="1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tcBorders>
              <w:right w:val="single" w:sz="8" w:color="auto"/>
            </w:tcBorders>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decreases in comparable retail store sales for Carter's and OshKosh during the third quarter and the first three quarters of fiscal 2016, as compared to the comparable fiscal periods in 2015, were primarily due to decreases in the number of transactions due to lower demand for seasonal products and a lower average price per unit.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year-to-date period ended October 1, 2016, we believe that Carter's and OshKosh retail comparable sales were negatively affected by lower demand from international consumers shopping in our U.S. stores and eCommerce websites, which was likely influenced by the strength of the U.S. dollar relative to other currencies. However, we believe these effects were less pronounced in the third quarter of fiscal 2016 as our U.S. retail businesses experienced stabilization in demand from international customers.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117" w:right="319" w:bottom="1440" w:gutter="0" w:footer="0" w:header="0"/>
        </w:sectPr>
      </w:pPr>
    </w:p>
    <w:bookmarkStart w:id="35" w:name="page36"/>
    <w:bookmarkEnd w:id="3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increases in eCommerce comparable sales for Carter's and OshKosh during both periods in fiscal 2016, as compared to the comparable fiscal periods in 2015, were primarily due to an increase in the number of transactions.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NET SALES</w:t>
      </w:r>
    </w:p>
    <w:p>
      <w:pPr>
        <w:spacing w:after="0" w:line="227"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In the third quarter of fiscal 2016, consolidated net sales increased $51.6 million, or 6.1%, to $901.4 million from $849.8 million in the third quarter of fiscal 2015. For the first three quarters of fiscal 2016, consolidated net sales increased $117.6 million, or 5.5%, to $2.26 billion from $2.15 billion in the first three quarters of fiscal 2015. The increases during both periods reflected sales growth in all of our segments except OshKosh Wholesale, as presented below.</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Changes in foreign currency exchange rates in the third quarter of fiscal 2016 as compared to the third quarter of fiscal 2015 had a favorable impact on our consolidated net sales of approximately $0.3 million. Changes in foreign currency exchange rates in the first three quarters of fiscal 2016 as compared to the first three quarters of fiscal 2015 had an unfavorable impact on our consolidated net sales of approximately $6.7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 and each segment's percentage of consolidated net sales, were as follows:</w:t>
      </w:r>
    </w:p>
    <w:p>
      <w:pPr>
        <w:spacing w:after="0" w:line="390"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 of</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October 1, 2016</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2015</w:t>
            </w: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8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Carter’s Wholesale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356,258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343,555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842,136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824,600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37"/>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Carter’s Retail</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314,699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294,928</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860,854</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799,635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Total Carter’s (U.S.)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670,957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638,483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1,702,990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1,624,235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OshKosh Retail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106,999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98,292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267,715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244,787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7"/>
        </w:trPr>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OshKosh Wholesale</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17,474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18,794</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38,772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49,151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Total OshKosh (U.S.)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124,473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117,086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306,487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293,938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7"/>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105,995</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94,237</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255,504</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229,162</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901,425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849,806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2,264,981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2,147,335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CARTER'S WHOLESALE SALES (U.S.)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Carter's Wholesale segment net sales increased $12.7 million, or 3.7%, in the third quarter of fiscal 2016 to $356.3 million from $343.6 million in the third quarter of fiscal 2015. This increase in net sales was primarily the result of a 2.8% increase in the average price per unit due to a favorable product mix and a 0.9% increase in the number of units shipped.</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Carter's Wholesale segment net sales increased $17.5 million, or 2.1%, in the first three quarters of fiscal 2016 to $842.1 million from $824.6 million in the first three quarters of fiscal 2015. This increase in net sales was primarily a result of a 2.4% increase in the average price per unit due to favorable product mix, partially offset by a 0.3% decrease in the number of units shipped.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CARTER'S RETAIL SALES (U.S.)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Carter's Retail segment net sales increased $19.8 million, or 6.7%, in the third quarter of fiscal 2016 to $314.7 million from $294.9 million in the third quarter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$16.4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$15.0 million from eCommerce sales;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17" w:right="27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$9.5 million in comparable store sales;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$1.1 million due to the impact of store closings.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Carter's Retail segment net sales increased $61.2 million, or 7.7%, in the first three quarters of fiscal 2016 to $860.9 million from $799.6 million in the first three quarters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$50.6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$31.0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$15.0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$2.5 million due to the impact of store closings.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RETAIL SALES (U.S.)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OshKosh Retail segment net sales increased $8.7 million, or 8.9%, in the third quarter of fiscal 2016 to $107.0 million from $98.3 million in the third quarter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$8.1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$6.0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$2.3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$2.2 million due to the impact of store closings.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OshKosh Retail segment net sales increased $22.9 million, or 9.4%, in the first three quarters of fiscal 2016 to $267.7 million from $244.8 million in the first three quarters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$25.3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$11.3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$6.6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$5.8 million due to the impact of store closings.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WHOLESALE SALES (U.S.)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OshKosh Wholesale segment net sales decreased $1.3 million, or 7.0%, in the third quarter of fiscal 2016 to $17.5 million from $18.8 million in the third quarter of fiscal 2015. This decrease was primarily due to a 3.8% decrease in the number of units shipped mainly due to a decline in seasonal bookings, and a 3.2% decrease in the average price per unit.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OshKosh Wholesale segment net sales decreased $10.4 million, or 21.1%, in the first three quarters of fiscal 2016 to $38.8 million from $49.2 million in the first three quarters of fiscal 2015. This decrease was primarily due to a 20.1% decrease in the number of units shipped mainly due to a decline in seasonal bookings, and a 1.0% decrease in the average price per unit.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International segment net sales increased $11.8 million, or 12.5%, in the third quarter of fiscal 2016 to $106.0 million from $94.2 million in the third quarter of fiscal 2015. Changes in foreign currency exchange rates, primarily between the U.S. dollar and the Canadian dollar had a favorable impact on International segment net sales of approximately $0.3 million in the third quarter of fiscal 2016 compared to the third quarter of fiscal 2015.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$11.8 million increase in net sales in the International segment primarily reflected an:</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$5.8 million from our international wholesale businesses;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$4.8 million from our Canadian retail stores;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$1.2 million from eCommerce, primarily driven by our eCommerce websites in Canada.</w:t>
      </w:r>
    </w:p>
    <w:p>
      <w:pPr>
        <w:sectPr>
          <w:pgSz w:w="11900" w:h="16838" w:orient="portrait"/>
          <w:cols w:equalWidth="0" w:num="1">
            <w:col w:w="11380"/>
          </w:cols>
          <w:pgMar w:left="240" w:top="11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17" w:right="279" w:bottom="1440" w:gutter="0" w:footer="0" w:header="0"/>
          <w:type w:val="continuous"/>
        </w:sectPr>
      </w:pPr>
    </w:p>
    <w:bookmarkStart w:id="37" w:name="page38"/>
    <w:bookmarkEnd w:id="3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International segment net sales increased $26.3 million, or 11.5%, in the first three quarters of fiscal 2016 to $255.5 million from $229.2 million in the first three quarters of fiscal 2015. Changes in foreign currency exchange rates, primarily between the U.S. dollar and the Canadian dollar had an unfavorable impact on International segment net sales of approximately $6.7 million for the first three quarters of fiscal 2016 compared to the first three quarters of fiscal 2015.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$26.3 million increase in net sales in the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$15.9 million from our Canadian retail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$8.2 million from eCommerce, primarily driven by our eCommerce website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$5.8 million from our international wholesale businesses other than Canada;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$3.6 million in our Canada wholesale business due, in part, to the Target Canada bankruptcy that occurred in early 2015.</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Compared to the third quarter of fiscal 2015, our Canadian total retail comparable sales increased 1.6% in the third quarter of fiscal 2016, primarily due to eCommerce comparable sales growth of 37.2%, partially offset by retail stores comparable sales decline of 0.5%. Compared to the first three quarters of fiscal 2015, our Canadian total retail comparable sales increased 7.2% in the first three quarters of fiscal 2016, primarily due to retail stores comparable sales growth of 5.4% and eCommerce comparable sales growth of 37.3%.</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AND GROSS PROFIT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consolidated gross margin increased from 40.9% in the third quarter of fiscal 2015 to 41.7% in the third quarter of fiscal 2016, primarily due to favorable product costs, partially offset by increased promotional pricing in our retail businesses. Our consolidated gross profit increased $28.0 million, or 8.1%, to $375.5 million in the third quarter of fiscal 2016 from $347.5 million in the third quarter of fiscal 2015 due to the increase in sales and favorable product costs.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consolidated gross margin increased from 41.7% in the first three quarters of fiscal 2015 to 42.8% in the first three quarters of fiscal 2016, primarily due to favorable product costs and product mix. Our consolidated gross profit increased $74.2 million, or 8.3%, to $968.7 million in the first three quarters of fiscal 2016 from $894.5 million in the first three quarters of fiscal 2015, due to the increase in sales and favorable product costs.</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third quarter of fiscal 2016 increased $25.3 million, or 11.0%, to $255.3 million from $230.0 million in the third quarter of fiscal 2015. As a percentage of net sales, SG&amp;A expenses increased from 27.1% in the third quarter of fiscal 2015 to 28.3% in the third quarter of fiscal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third quarter of fiscal 2016 primarily reflected a:</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million increase in expenses related to retail store operations, primarily due to new store openings;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increase in expenses related to our domestic and international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increase in expenses related to information technology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in expenses related to distribution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increase in expenses related to other general and administrative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insurance recovery that decreased SG&amp;A expenses during the third quarter of fiscal 2015.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decrease in insurance and employee benefits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amortization of the H.W.Carter &amp; Sons trademarks;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7" w:right="25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performance-based compensation expenses;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decrease in marketing expenses.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first three quarters of fiscal 2016 increased $62.3 million, or 9.6%, to $712.8 million from $650.5 million in the first three quarters of fiscal 2015. As a percentage of net sales, SG&amp;A expenses increased from 30.3% in the first three quarters of fiscal 2015 to 31.5% in the first three quarters of fiscal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first three quarters of fiscal 2016 primarily reflected a:</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 million increase in expenses related to retail store operations, primarily due to new store openings;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increase in expenses related to our domestic and international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increase in expenses related to information technology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increase in expenses related to marketing and brand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in expenses related to other general and administrative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increase in expenses related to distribution and freight;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insurance recovery that decreased SG&amp;A expenses during the third quarter of fiscal 2015.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decrease in amortization of the H.W. Carter &amp; Sons trademarks;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decrease in insurance and employee benefits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decrease in performance-based compensation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decrease in wholesale and domestic licensing expenses.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license the use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Genuine Kids from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Precious Firsts</w:t>
      </w:r>
      <w:r>
        <w:rPr>
          <w:rFonts w:ascii="Times New Roman" w:cs="Times New Roman" w:eastAsia="Times New Roman" w:hAnsi="Times New Roman"/>
          <w:sz w:val="18"/>
          <w:szCs w:val="18"/>
          <w:color w:val="auto"/>
        </w:rPr>
        <w:t xml:space="preserve"> brand names.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income from these brands for the third quarter of fiscal 2016 decreased $2.0 million, or 16.0%, to $10.7 million from $12.7 million in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fiscal 2015. Royalty income from these brands for the first three quarters of fiscal 2016 decreased $1.4 million, or 4.3%, to $31.3 million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$32.7 million in the first three quarters of fiscal 2015. The decreases in both of the fiscal 2016 periods, as compared to the corresponding fiscal 2015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attributable to a decrease in income from certain licensees due in part to the insourcing of formerly licensed product categories, partially offset by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from other domestic licensees. We benefited from favorable settlements in the first quarter of fiscal 2015.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Consolidated operating income increased $0.7 million, or 0.5%, to $130.9 million in the third quarter of fiscal 2016 from $130.2 million in the third quarter of fiscal 2015. Consolidated operating income increased $10.5 million, or 3.8%, to $287.1 million in the first three quarters of fiscal 2016 from $276.7 million in the first three quarters of fiscal 2015. Consolidated operating margin decreased from 15.3% in the third quarter of fiscal 2015 to 14.5% in the third quarter of fiscal 2016. Consolidated operating margin decreased from 12.9% in the first three quarters of fiscal 2015 to 12.7% in the first three quarters of fiscal 2016. The tables below summarize the changes in each of our segments' operating results and unallocated corporate expenses between the fiscal periods indicated: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17" w:right="25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OshKosh</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 third</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quarter of fiscal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74,347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51,733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6,171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18,220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130,221</w:t>
            </w:r>
          </w:p>
        </w:tc>
        <w:tc>
          <w:tcPr>
            <w:tcW w:w="0" w:type="dxa"/>
            <w:vAlign w:val="bottom"/>
          </w:tcPr>
          <w:p>
            <w:pPr>
              <w:spacing w:after="0"/>
              <w:rPr>
                <w:sz w:val="1"/>
                <w:szCs w:val="1"/>
                <w:color w:val="auto"/>
              </w:rPr>
            </w:pPr>
          </w:p>
        </w:tc>
      </w:tr>
      <w:tr>
        <w:trPr>
          <w:trHeight w:val="153"/>
        </w:trPr>
        <w:tc>
          <w:tcPr>
            <w:tcW w:w="25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third quarter of fiscal 2016</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8,812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10,218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7,210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28,007</w:t>
            </w:r>
          </w:p>
        </w:tc>
        <w:tc>
          <w:tcPr>
            <w:tcW w:w="0" w:type="dxa"/>
            <w:vAlign w:val="bottom"/>
          </w:tcPr>
          <w:p>
            <w:pPr>
              <w:spacing w:after="0"/>
              <w:rPr>
                <w:sz w:val="1"/>
                <w:szCs w:val="1"/>
                <w:color w:val="auto"/>
              </w:rPr>
            </w:pPr>
          </w:p>
        </w:tc>
      </w:tr>
      <w:tr>
        <w:trPr>
          <w:trHeight w:val="237"/>
        </w:trPr>
        <w:tc>
          <w:tcPr>
            <w:tcW w:w="2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Royalty income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SG&amp;A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(25,305)</w:t>
            </w:r>
          </w:p>
        </w:tc>
        <w:tc>
          <w:tcPr>
            <w:tcW w:w="0" w:type="dxa"/>
            <w:vAlign w:val="bottom"/>
          </w:tcPr>
          <w:p>
            <w:pPr>
              <w:spacing w:after="0"/>
              <w:rPr>
                <w:sz w:val="1"/>
                <w:szCs w:val="1"/>
                <w:color w:val="auto"/>
              </w:rPr>
            </w:pPr>
          </w:p>
        </w:tc>
      </w:tr>
      <w:tr>
        <w:trPr>
          <w:trHeight w:val="194"/>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 third</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81,551</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48,051</w:t>
            </w:r>
          </w:p>
        </w:tc>
        <w:tc>
          <w:tcPr>
            <w:tcW w:w="14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4,450</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2,652</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19,645</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(25,455)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130,894</w:t>
            </w:r>
          </w:p>
        </w:tc>
        <w:tc>
          <w:tcPr>
            <w:tcW w:w="0" w:type="dxa"/>
            <w:vAlign w:val="bottom"/>
          </w:tcPr>
          <w:p>
            <w:pPr>
              <w:spacing w:after="0"/>
              <w:rPr>
                <w:sz w:val="1"/>
                <w:szCs w:val="1"/>
                <w:color w:val="auto"/>
              </w:rPr>
            </w:pPr>
          </w:p>
        </w:tc>
      </w:tr>
      <w:tr>
        <w:trPr>
          <w:trHeight w:val="265"/>
        </w:trPr>
        <w:tc>
          <w:tcPr>
            <w:tcW w:w="2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quarter of fiscal 2016</w:t>
            </w:r>
          </w:p>
        </w:tc>
        <w:tc>
          <w:tcPr>
            <w:tcW w:w="1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 the</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first three quarters of fiscal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172,485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134,557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9,715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30,967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276,678</w:t>
            </w:r>
          </w:p>
        </w:tc>
        <w:tc>
          <w:tcPr>
            <w:tcW w:w="0" w:type="dxa"/>
            <w:vAlign w:val="bottom"/>
          </w:tcPr>
          <w:p>
            <w:pPr>
              <w:spacing w:after="0"/>
              <w:rPr>
                <w:sz w:val="1"/>
                <w:szCs w:val="1"/>
                <w:color w:val="auto"/>
              </w:rPr>
            </w:pPr>
          </w:p>
        </w:tc>
      </w:tr>
      <w:tr>
        <w:trPr>
          <w:trHeight w:val="153"/>
        </w:trPr>
        <w:tc>
          <w:tcPr>
            <w:tcW w:w="25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three quarters of fiscal 2016</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16,382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33,204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10,724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17,700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74,171</w:t>
            </w:r>
          </w:p>
        </w:tc>
        <w:tc>
          <w:tcPr>
            <w:tcW w:w="0" w:type="dxa"/>
            <w:vAlign w:val="bottom"/>
          </w:tcPr>
          <w:p>
            <w:pPr>
              <w:spacing w:after="0"/>
              <w:rPr>
                <w:sz w:val="1"/>
                <w:szCs w:val="1"/>
                <w:color w:val="auto"/>
              </w:rPr>
            </w:pPr>
          </w:p>
        </w:tc>
      </w:tr>
      <w:tr>
        <w:trPr>
          <w:trHeight w:val="237"/>
        </w:trPr>
        <w:tc>
          <w:tcPr>
            <w:tcW w:w="2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Royalty income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SG&amp;A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(62,286)</w:t>
            </w:r>
          </w:p>
        </w:tc>
        <w:tc>
          <w:tcPr>
            <w:tcW w:w="0" w:type="dxa"/>
            <w:vAlign w:val="bottom"/>
          </w:tcPr>
          <w:p>
            <w:pPr>
              <w:spacing w:after="0"/>
              <w:rPr>
                <w:sz w:val="1"/>
                <w:szCs w:val="1"/>
                <w:color w:val="auto"/>
              </w:rPr>
            </w:pPr>
          </w:p>
        </w:tc>
      </w:tr>
      <w:tr>
        <w:trPr>
          <w:trHeight w:val="194"/>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 the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187,655</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127,738</w:t>
            </w:r>
          </w:p>
        </w:tc>
        <w:tc>
          <w:tcPr>
            <w:tcW w:w="14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8,266</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37,191</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(73,091)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287,145</w:t>
            </w:r>
          </w:p>
        </w:tc>
        <w:tc>
          <w:tcPr>
            <w:tcW w:w="0" w:type="dxa"/>
            <w:vAlign w:val="bottom"/>
          </w:tcPr>
          <w:p>
            <w:pPr>
              <w:spacing w:after="0"/>
              <w:rPr>
                <w:sz w:val="1"/>
                <w:szCs w:val="1"/>
                <w:color w:val="auto"/>
              </w:rPr>
            </w:pPr>
          </w:p>
        </w:tc>
      </w:tr>
      <w:tr>
        <w:trPr>
          <w:trHeight w:val="265"/>
        </w:trPr>
        <w:tc>
          <w:tcPr>
            <w:tcW w:w="2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first three quarters of fiscal 2016</w:t>
            </w:r>
          </w:p>
        </w:tc>
        <w:tc>
          <w:tcPr>
            <w:tcW w:w="1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tables present changes in the operating margin for each of our five operating segments. The primary drivers of these changes are presented in terms of the difference in each driver's margin (based on net sales) between the respective periods, in each case expressed in basis points ("bps"). The first table presents the changes between the third quarter of fiscal 2015 and the third quarter of fiscal 2016. The second table presents the changes between the first three quarters of fiscal 2015 and the first three quarters of fiscal 2016.</w:t>
      </w:r>
    </w:p>
    <w:p>
      <w:pPr>
        <w:spacing w:after="0" w:line="12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Carter's Retail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OshKosh Retail</w:t>
            </w: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third</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2015</w:t>
            </w:r>
          </w:p>
        </w:tc>
        <w:tc>
          <w:tcPr>
            <w:tcW w:w="1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53"/>
        </w:trPr>
        <w:tc>
          <w:tcPr>
            <w:tcW w:w="26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third quarter of fiscal 2016</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Gross profit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150 bps</w:t>
            </w:r>
          </w:p>
        </w:tc>
        <w:tc>
          <w:tcPr>
            <w:tcW w:w="13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(10) bps</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(410) bps</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190 bps</w:t>
            </w:r>
          </w:p>
        </w:tc>
        <w:tc>
          <w:tcPr>
            <w:tcW w:w="0" w:type="dxa"/>
            <w:vAlign w:val="bottom"/>
          </w:tcPr>
          <w:p>
            <w:pPr>
              <w:spacing w:after="0"/>
              <w:rPr>
                <w:sz w:val="1"/>
                <w:szCs w:val="1"/>
                <w:color w:val="auto"/>
              </w:rPr>
            </w:pPr>
          </w:p>
        </w:tc>
      </w:tr>
      <w:tr>
        <w:trPr>
          <w:trHeight w:val="237"/>
        </w:trPr>
        <w:tc>
          <w:tcPr>
            <w:tcW w:w="2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Royalty income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 bps</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(20) bps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290 bps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(40) bps</w:t>
            </w:r>
          </w:p>
        </w:tc>
        <w:tc>
          <w:tcPr>
            <w:tcW w:w="14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(80) bps</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SG&amp;A expenses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3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(190) bps</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280 bps</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(190) bps</w:t>
            </w:r>
          </w:p>
        </w:tc>
        <w:tc>
          <w:tcPr>
            <w:tcW w:w="0" w:type="dxa"/>
            <w:vAlign w:val="bottom"/>
          </w:tcPr>
          <w:p>
            <w:pPr>
              <w:spacing w:after="0"/>
              <w:rPr>
                <w:sz w:val="1"/>
                <w:szCs w:val="1"/>
                <w:color w:val="auto"/>
              </w:rPr>
            </w:pPr>
          </w:p>
        </w:tc>
      </w:tr>
      <w:tr>
        <w:trPr>
          <w:trHeight w:val="19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third</w:t>
            </w:r>
          </w:p>
        </w:tc>
        <w:tc>
          <w:tcPr>
            <w:tcW w:w="12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22.9%</w:t>
            </w:r>
          </w:p>
        </w:tc>
        <w:tc>
          <w:tcPr>
            <w:tcW w:w="100" w:type="dxa"/>
            <w:vAlign w:val="bottom"/>
          </w:tcPr>
          <w:p>
            <w:pPr>
              <w:spacing w:after="0"/>
              <w:rPr>
                <w:sz w:val="16"/>
                <w:szCs w:val="16"/>
                <w:color w:val="auto"/>
              </w:rPr>
            </w:pPr>
          </w:p>
        </w:tc>
        <w:tc>
          <w:tcPr>
            <w:tcW w:w="126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15.3%</w:t>
            </w:r>
          </w:p>
        </w:tc>
        <w:tc>
          <w:tcPr>
            <w:tcW w:w="100" w:type="dxa"/>
            <w:vAlign w:val="bottom"/>
          </w:tcPr>
          <w:p>
            <w:pPr>
              <w:spacing w:after="0"/>
              <w:rPr>
                <w:sz w:val="16"/>
                <w:szCs w:val="16"/>
                <w:color w:val="auto"/>
              </w:rPr>
            </w:pPr>
          </w:p>
        </w:tc>
        <w:tc>
          <w:tcPr>
            <w:tcW w:w="120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25.5%</w:t>
            </w:r>
          </w:p>
        </w:tc>
        <w:tc>
          <w:tcPr>
            <w:tcW w:w="120" w:type="dxa"/>
            <w:vAlign w:val="bottom"/>
          </w:tcPr>
          <w:p>
            <w:pPr>
              <w:spacing w:after="0"/>
              <w:rPr>
                <w:sz w:val="16"/>
                <w:szCs w:val="16"/>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Pr>
          <w:p>
            <w:pPr>
              <w:spacing w:after="0"/>
              <w:rPr>
                <w:sz w:val="16"/>
                <w:szCs w:val="16"/>
                <w:color w:val="auto"/>
              </w:rPr>
            </w:pPr>
          </w:p>
        </w:tc>
        <w:tc>
          <w:tcPr>
            <w:tcW w:w="1460" w:type="dxa"/>
            <w:vAlign w:val="bottom"/>
            <w:tcBorders>
              <w:top w:val="single" w:sz="8" w:color="auto"/>
            </w:tcBorders>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w w:val="99"/>
              </w:rPr>
              <w:t>18.5%</w:t>
            </w:r>
          </w:p>
        </w:tc>
        <w:tc>
          <w:tcPr>
            <w:tcW w:w="0" w:type="dxa"/>
            <w:vAlign w:val="bottom"/>
          </w:tcPr>
          <w:p>
            <w:pPr>
              <w:spacing w:after="0"/>
              <w:rPr>
                <w:sz w:val="1"/>
                <w:szCs w:val="1"/>
                <w:color w:val="auto"/>
              </w:rPr>
            </w:pPr>
          </w:p>
        </w:tc>
      </w:tr>
      <w:tr>
        <w:trPr>
          <w:trHeight w:val="265"/>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2016</w:t>
            </w:r>
          </w:p>
        </w:tc>
        <w:tc>
          <w:tcPr>
            <w:tcW w:w="12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w:t>
            </w:r>
          </w:p>
        </w:tc>
        <w:tc>
          <w:tcPr>
            <w:tcW w:w="1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w:t>
            </w:r>
          </w:p>
        </w:tc>
        <w:tc>
          <w:tcPr>
            <w:tcW w:w="14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33"/>
        </w:trPr>
        <w:tc>
          <w:tcPr>
            <w:tcW w:w="2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OshKosh</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Carter's Retail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OshKosh Retail</w:t>
            </w: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quarters of fiscal 2015</w:t>
            </w:r>
          </w:p>
        </w:tc>
        <w:tc>
          <w:tcPr>
            <w:tcW w:w="1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three quarters of fiscal 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240 bps</w:t>
            </w:r>
          </w:p>
        </w:tc>
        <w:tc>
          <w:tcPr>
            <w:tcW w:w="0" w:type="dxa"/>
            <w:vAlign w:val="bottom"/>
          </w:tcPr>
          <w:p>
            <w:pPr>
              <w:spacing w:after="0"/>
              <w:rPr>
                <w:sz w:val="1"/>
                <w:szCs w:val="1"/>
                <w:color w:val="auto"/>
              </w:rPr>
            </w:pPr>
          </w:p>
        </w:tc>
      </w:tr>
      <w:tr>
        <w:trPr>
          <w:trHeight w:val="237"/>
        </w:trPr>
        <w:tc>
          <w:tcPr>
            <w:tcW w:w="26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 bps</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430 bps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(50) bps</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 bps</w:t>
            </w:r>
          </w:p>
        </w:tc>
        <w:tc>
          <w:tcPr>
            <w:tcW w:w="13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(80) bps</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w:t>
            </w:r>
          </w:p>
        </w:tc>
        <w:tc>
          <w:tcPr>
            <w:tcW w:w="1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w w:val="99"/>
              </w:rPr>
              <w:t>22.3%</w:t>
            </w:r>
          </w:p>
        </w:tc>
        <w:tc>
          <w:tcPr>
            <w:tcW w:w="120" w:type="dxa"/>
            <w:vAlign w:val="bottom"/>
          </w:tcPr>
          <w:p>
            <w:pPr>
              <w:spacing w:after="0"/>
              <w:rPr>
                <w:sz w:val="16"/>
                <w:szCs w:val="16"/>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100" w:type="dxa"/>
            <w:vAlign w:val="bottom"/>
          </w:tcPr>
          <w:p>
            <w:pPr>
              <w:spacing w:after="0"/>
              <w:rPr>
                <w:sz w:val="16"/>
                <w:szCs w:val="16"/>
                <w:color w:val="auto"/>
              </w:rPr>
            </w:pPr>
          </w:p>
        </w:tc>
        <w:tc>
          <w:tcPr>
            <w:tcW w:w="1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w w:val="99"/>
              </w:rPr>
              <w:t>21.3%</w:t>
            </w:r>
          </w:p>
        </w:tc>
        <w:tc>
          <w:tcPr>
            <w:tcW w:w="120" w:type="dxa"/>
            <w:vAlign w:val="bottom"/>
          </w:tcPr>
          <w:p>
            <w:pPr>
              <w:spacing w:after="0"/>
              <w:rPr>
                <w:sz w:val="16"/>
                <w:szCs w:val="16"/>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20" w:type="dxa"/>
            <w:vAlign w:val="bottom"/>
          </w:tcPr>
          <w:p>
            <w:pPr>
              <w:spacing w:after="0"/>
              <w:rPr>
                <w:sz w:val="16"/>
                <w:szCs w:val="16"/>
                <w:color w:val="auto"/>
              </w:rPr>
            </w:pPr>
          </w:p>
        </w:tc>
        <w:tc>
          <w:tcPr>
            <w:tcW w:w="1460" w:type="dxa"/>
            <w:vAlign w:val="bottom"/>
            <w:tcBorders>
              <w:top w:val="single" w:sz="8" w:color="auto"/>
            </w:tcBorders>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w w:val="99"/>
              </w:rPr>
              <w:t>14.6%</w:t>
            </w:r>
          </w:p>
        </w:tc>
        <w:tc>
          <w:tcPr>
            <w:tcW w:w="0" w:type="dxa"/>
            <w:vAlign w:val="bottom"/>
          </w:tcPr>
          <w:p>
            <w:pPr>
              <w:spacing w:after="0"/>
              <w:rPr>
                <w:sz w:val="1"/>
                <w:szCs w:val="1"/>
                <w:color w:val="auto"/>
              </w:rPr>
            </w:pPr>
          </w:p>
        </w:tc>
      </w:tr>
      <w:tr>
        <w:trPr>
          <w:trHeight w:val="26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quarters of fiscal 2016</w:t>
            </w: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(aa)</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(bb)</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(cc)</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(dd)</w:t>
            </w:r>
          </w:p>
        </w:tc>
        <w:tc>
          <w:tcPr>
            <w:tcW w:w="146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rPr>
              <w:t>(ee)</w:t>
            </w:r>
          </w:p>
        </w:tc>
        <w:tc>
          <w:tcPr>
            <w:tcW w:w="0" w:type="dxa"/>
            <w:vAlign w:val="bottom"/>
          </w:tcPr>
          <w:p>
            <w:pPr>
              <w:spacing w:after="0"/>
              <w:rPr>
                <w:sz w:val="1"/>
                <w:szCs w:val="1"/>
                <w:color w:val="auto"/>
              </w:rPr>
            </w:pPr>
          </w:p>
        </w:tc>
      </w:tr>
      <w:tr>
        <w:trPr>
          <w:trHeight w:val="33"/>
        </w:trPr>
        <w:tc>
          <w:tcPr>
            <w:tcW w:w="2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8"/>
        <w:spacing w:after="0" w:line="266"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Wholesale segment operating income in the third quarter of fiscal 2016 increased $7.2 million, or 9.7%, to $81.6 million from $74.3 million in the third quarter of fiscal 2015. The segment's operating margin increased 130 bps from 21.6% in the third quarter of fiscal 2015 to 22.9% in the third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bps increase in gross profit due to favorable product costs and improved pricing due to changes in product mix;</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decrease in royalty income due to insourcing formerly licensed product categories and a reserve against certain licensee receivables.</w:t>
      </w:r>
    </w:p>
    <w:p>
      <w:pPr>
        <w:spacing w:after="0" w:line="200" w:lineRule="exact"/>
        <w:rPr>
          <w:sz w:val="20"/>
          <w:szCs w:val="20"/>
          <w:color w:val="auto"/>
        </w:rPr>
      </w:pPr>
    </w:p>
    <w:p>
      <w:pPr>
        <w:spacing w:after="0" w:line="223" w:lineRule="exact"/>
        <w:rPr>
          <w:sz w:val="20"/>
          <w:szCs w:val="20"/>
          <w:color w:val="auto"/>
        </w:rPr>
      </w:pPr>
    </w:p>
    <w:p>
      <w:pPr>
        <w:ind w:right="240" w:firstLine="8"/>
        <w:spacing w:after="0" w:line="261" w:lineRule="auto"/>
        <w:tabs>
          <w:tab w:leader="none" w:pos="3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Wholesale segment operating income in the first three quarters of fiscal 2016 increased $15.2 million, or 8.8%, to $187.7 million from $172.5 million in the first three quarters of fiscal 2015. The segment's operating margin increased 140 bps from 20.9% in the first three quarters of fiscal 2015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 in the first three quarters of fiscal 2016. The primary drivers of the change in operating margin were a/an:</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increase in gross profit due to favorable product costs and improved pricing due to changes in product mix;</w:t>
      </w:r>
    </w:p>
    <w:p>
      <w:pPr>
        <w:spacing w:after="0" w:line="27" w:lineRule="exact"/>
        <w:rPr>
          <w:rFonts w:ascii="Times New Roman" w:cs="Times New Roman" w:eastAsia="Times New Roman" w:hAnsi="Times New Roman"/>
          <w:sz w:val="18"/>
          <w:szCs w:val="18"/>
          <w:color w:val="auto"/>
        </w:rPr>
      </w:pPr>
    </w:p>
    <w:p>
      <w:pPr>
        <w:ind w:left="980" w:right="340" w:hanging="324"/>
        <w:spacing w:after="0" w:line="250"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SG&amp;A expenses, primarily due to a decrease in distribution and freight expenses, driven by efficiencies at our Braselton, Georgia distribution center; and</w:t>
      </w: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royalty income.</w:t>
      </w:r>
    </w:p>
    <w:p>
      <w:pPr>
        <w:spacing w:after="0" w:line="207" w:lineRule="exact"/>
        <w:rPr>
          <w:sz w:val="20"/>
          <w:szCs w:val="20"/>
          <w:color w:val="auto"/>
        </w:rPr>
      </w:pPr>
    </w:p>
    <w:p>
      <w:pPr>
        <w:jc w:val="both"/>
        <w:ind w:right="6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Retail segment operating income decreased by $3.7 million, or 7.1%, to $48.1 million in the third quarter of fiscal 2016 from $51.7 million in the third quarter of fiscal 2015. This segment's operating margin decreased 220 bps from 17.5% in the third quarter of fiscal 2015 to 15.3% in the third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decrease in gross profit due to increased promotional environment, offset by favorable changes in product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distribution and freight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royalty income.</w:t>
      </w:r>
    </w:p>
    <w:p>
      <w:pPr>
        <w:spacing w:after="0" w:line="207" w:lineRule="exact"/>
        <w:rPr>
          <w:sz w:val="20"/>
          <w:szCs w:val="20"/>
          <w:color w:val="auto"/>
        </w:rPr>
      </w:pPr>
    </w:p>
    <w:p>
      <w:pPr>
        <w:ind w:right="280" w:firstLine="8"/>
        <w:spacing w:after="0" w:line="261" w:lineRule="auto"/>
        <w:tabs>
          <w:tab w:leader="none" w:pos="3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Retail segment operating income decreased by $6.8 million, or 5.1%, to $127.7 million in the first three quarters of fiscal 2016 from $134.6 million in the first three quarters of fiscal 2015. This segment's operating margin decreased 200 bps from 16.8% in the first three quarters of fiscal 2015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in the first three quarters of fiscal 2016. The primary drivers of the change in operating margin were a/an:</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bps increase in SG&amp;A expenses, primarily due to 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7" w:right="259" w:bottom="1440" w:gutter="0" w:footer="0" w:header="0"/>
        </w:sectPr>
      </w:pPr>
    </w:p>
    <w:bookmarkStart w:id="41" w:name="page42"/>
    <w:bookmarkEnd w:id="4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increase in expenses associated with new retail stores; and</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marketing expenses.</w:t>
      </w:r>
    </w:p>
    <w:p>
      <w:pPr>
        <w:spacing w:after="0" w:line="206" w:lineRule="exact"/>
        <w:rPr>
          <w:rFonts w:ascii="Times New Roman" w:cs="Times New Roman" w:eastAsia="Times New Roman" w:hAnsi="Times New Roman"/>
          <w:sz w:val="18"/>
          <w:szCs w:val="18"/>
          <w:color w:val="auto"/>
        </w:rPr>
      </w:pPr>
    </w:p>
    <w:p>
      <w:pPr>
        <w:ind w:firstLine="8"/>
        <w:spacing w:after="0" w:line="266"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Wholesale segment operating income was both $4.5 million in the third quarter of fiscal 2016 and fiscal 2015. This segment's operating margin increased 160 bps from 23.9% in the third quarter of fiscal 2015 to 25.5% in the third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 bps decrease in gross profit primarily due to customer sales mix, partially offset by favorable changes in product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 bps decrease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bps decrease in performance-based compensation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bps decrease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decrease in distribution and freight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bps increase in marketing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 bps increase in royalty income due to sales growth from our licensees.</w:t>
      </w:r>
    </w:p>
    <w:p>
      <w:pPr>
        <w:spacing w:after="0" w:line="200" w:lineRule="exact"/>
        <w:rPr>
          <w:sz w:val="20"/>
          <w:szCs w:val="20"/>
          <w:color w:val="auto"/>
        </w:rPr>
      </w:pPr>
    </w:p>
    <w:p>
      <w:pPr>
        <w:spacing w:after="0" w:line="223" w:lineRule="exact"/>
        <w:rPr>
          <w:sz w:val="20"/>
          <w:szCs w:val="20"/>
          <w:color w:val="auto"/>
        </w:rPr>
      </w:pPr>
    </w:p>
    <w:p>
      <w:pPr>
        <w:ind w:right="120" w:firstLine="8"/>
        <w:spacing w:after="0" w:line="261" w:lineRule="auto"/>
        <w:tabs>
          <w:tab w:leader="none" w:pos="3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Wholesale segment operating income decreased by $1.4 million, or 14.9%, to $8.3 million in the first three quarters of fiscal 2016 from $9.7 million in the first three quarters of fiscal 2015. This segment's operating margin increased 150 bps from 19.8% in the first three quarters of fiscal 2015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in the first three quarters of fiscal 2016. The primary drivers of the change in operating margin were a/an:</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 bps decrease in gross profit primarily due to higher provisions for inventory, partially offset by favorable changes in product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decrease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bps decrease in performance-based compensation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marketing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 bps increase in royalty income primarily due to sales growth from our licensees;</w:t>
      </w:r>
    </w:p>
    <w:p>
      <w:pPr>
        <w:spacing w:after="0" w:line="200" w:lineRule="exact"/>
        <w:rPr>
          <w:sz w:val="20"/>
          <w:szCs w:val="20"/>
          <w:color w:val="auto"/>
        </w:rPr>
      </w:pPr>
    </w:p>
    <w:p>
      <w:pPr>
        <w:spacing w:after="0" w:line="223" w:lineRule="exact"/>
        <w:rPr>
          <w:sz w:val="20"/>
          <w:szCs w:val="20"/>
          <w:color w:val="auto"/>
        </w:rPr>
      </w:pPr>
    </w:p>
    <w:p>
      <w:pPr>
        <w:ind w:right="18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Retail segment operating income decreased by $3.5 million, or 57.0%, from an operating income of $6.2 million in the third quarter of fiscal 2015 to an operating income of $2.7 million in the third quarter of fiscal 2016. The segment's operating margin decreased 380 bps from 6.3% in the third quarter of fiscal 2015 to 2.5% in the third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bps decrease in gross profit primarily due to an increased promotional environment, partially offset by lower product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distribution and freight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performance-based compensation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marketing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decrease in royalty income.</w:t>
      </w:r>
    </w:p>
    <w:p>
      <w:pPr>
        <w:spacing w:after="0" w:line="200" w:lineRule="exact"/>
        <w:rPr>
          <w:sz w:val="20"/>
          <w:szCs w:val="20"/>
          <w:color w:val="auto"/>
        </w:rPr>
      </w:pPr>
    </w:p>
    <w:p>
      <w:pPr>
        <w:spacing w:after="0" w:line="223" w:lineRule="exact"/>
        <w:rPr>
          <w:sz w:val="20"/>
          <w:szCs w:val="20"/>
          <w:color w:val="auto"/>
        </w:rPr>
      </w:pPr>
    </w:p>
    <w:p>
      <w:pPr>
        <w:jc w:val="both"/>
        <w:ind w:right="20" w:firstLine="8"/>
        <w:spacing w:after="0" w:line="266" w:lineRule="auto"/>
        <w:tabs>
          <w:tab w:leader="none" w:pos="3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Retail segment operating income decreased by $4.0 million, or 118.1%, from an operating income of $3.4 million in the first three quarters of fiscal 2015 to an operating loss of $0.6 million in the first three quarters of fiscal 2016. The segment's operating margin decreased 160 bps from 1.4% in the first three quarters of fiscal 2015 to (0.2)% in the first three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bps increase in SG&amp;A expenses primarily due to a/an:</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distribution and freight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performance-based compensation expenses.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80"/>
          </w:cols>
          <w:pgMar w:left="240" w:top="117" w:right="37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40" w:firstLine="8"/>
        <w:spacing w:after="0" w:line="261"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increased by $1.4 million, or 7.8%, to $19.6 million in the third quarter of fiscal 2016 from $18.2 million in the third quarter of 2015. This segment's operating margin decreased 80 bps from 19.3% in the third quarter of fiscal 2015 to 18.5% in the third quarter of fiscal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The primary drivers of the change in operating margin were a/an:</w:t>
      </w:r>
    </w:p>
    <w:p>
      <w:pPr>
        <w:spacing w:after="0" w:line="206"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gross profit, primarily driven by growth in higher margin retail store and eCommerce channels, improved price realization, and benefit from direct sourcing;</w:t>
      </w: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increase in expenses associated with new retail stores and new China wholesale business;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marketing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decrease in royalty income due to a reduction in the number of licensees.</w:t>
      </w:r>
    </w:p>
    <w:p>
      <w:pPr>
        <w:spacing w:after="0" w:line="200" w:lineRule="exact"/>
        <w:rPr>
          <w:sz w:val="20"/>
          <w:szCs w:val="20"/>
          <w:color w:val="auto"/>
        </w:rPr>
      </w:pPr>
    </w:p>
    <w:p>
      <w:pPr>
        <w:spacing w:after="0" w:line="223" w:lineRule="exact"/>
        <w:rPr>
          <w:sz w:val="20"/>
          <w:szCs w:val="20"/>
          <w:color w:val="auto"/>
        </w:rPr>
      </w:pPr>
    </w:p>
    <w:p>
      <w:pPr>
        <w:jc w:val="both"/>
        <w:ind w:right="20" w:firstLine="8"/>
        <w:spacing w:after="0" w:line="266" w:lineRule="auto"/>
        <w:tabs>
          <w:tab w:leader="none" w:pos="3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increased by $6.2 million, or 20.1%, to $37.2 million in the first three quarters of fiscal 2016 from $31.0 million in the first three quarters of 2015. This segment's operating margin increased 110 bps from 13.5% in the first three quarters of fiscal 2015 to 14.6% in the first three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right="800" w:hanging="324"/>
        <w:spacing w:after="0" w:line="261"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bps increase in gross profit, primarily driven by growth in higher margin retail store and eCommerce channels, partially offset by unfavorable foreign currency exchange impacts;</w:t>
      </w: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increase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bps increase in expenses associated with new retail stores, China eCommerce and new China wholesale business;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distribution and freight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performance-based compensation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information technology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decrease in accretion expense for contingent consideration related to the Bonnie Togs acquisition;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decrease in royalty income due to a reduction in licensees.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 Expenses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increased by $0.7 million, or 2.9%, in the third quarter of fiscal 2016 compared to the third quarter of fiscal 2015. Unallocated corporate expenses, as a percentage of consolidated net sales, decreased from 2.9% in the third quarter of of fiscal 2015 to 2.8% in the third quarter of fiscal 2016. The increase in corporate expenses primarily reflected a/an:</w:t>
      </w:r>
    </w:p>
    <w:p>
      <w:pPr>
        <w:spacing w:after="0" w:line="17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$1.7 million in other general and administrative expenses;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$1.4 million in expenses related to information technology and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$1.1 million in insurance and other employee related benefits costs;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$1.0 million in amortization of the H.W. Carter &amp; Sons tradenames.</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by $1.4 million, or 1.8%, in the first three quarters of fiscal 2016 compared to the first three quarters of fiscal 2015. Unallocated corporate expenses, as a percentage of consolidated net sales, decreased from 3.5% in the first three quarters of fiscal 2015 to 3.2% in the first three quarters of fiscal 2016. The decrease in corporate expenses primarily reflected a/an:</w:t>
      </w:r>
    </w:p>
    <w:p>
      <w:pPr>
        <w:spacing w:after="0" w:line="176"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$3.5 million in amortization of the H.W. Carter &amp; Sons tradenames;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$2.8 million in performance-based compensation;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$1.9 million in insurance and other employee related benefits costs;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$3.5 million in expenses related to information technology and systems;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$2.9 million in other general and administrative expenses.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17" w:right="259" w:bottom="1440" w:gutter="0" w:footer="0" w:header="0"/>
        </w:sectPr>
      </w:pPr>
    </w:p>
    <w:bookmarkStart w:id="43" w:name="page44"/>
    <w:bookmarkEnd w:id="4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effective interest rate calculations include the amortization of debt issuance costs.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expense in the third quarter of fiscal 2016 and 2015 was approximately $6.8 million and $6.9 million, respectively. Weighted-average borrowings for the third quarter of fiscal 2016 were approximately $585.6 million with an effective interest rate of 4.57%, compared to weighted-average borrowings for the third quarter of fiscal 2015 of $585.5 million with an effective interest rate of 4.69%.</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Interest expense in the first three quarters of fiscal 2016 and 2015 was approximately $20.3 million and $20.5 million, respectively. Weighted-average borrowings for the first three quarters of fiscal 2016 were approximately $585.3 million with an effective interest rate of 4.58%, compared to weighted-average borrowings for the first three quarters of fiscal 2015 of $586.4 million with an effective interest rate of 4.65%.</w:t>
      </w:r>
    </w:p>
    <w:p>
      <w:pPr>
        <w:spacing w:after="0" w:line="17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decreases in the effective interest rate for the third quarter and the first three quarters of fiscal 2016 compared to the third quarter and the first three quarters of fiscal 2015 was primarily due to lower borrowing costs on the U.S. and Canadian borrowings outstanding under our secured revolving credit facility in fiscal 2016.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expense (income), net is comprised primarily of unrealized gains and losses from unsettled foreign currency forward contracts and unsettled foreign currency transactions, and realized gains and losses on settled foreign currency forward contracts and settled foreign currency transactions. These amounts represented a net gain of $0.1 million and a net loss of $3.6 million for the third quarter and the first three quarters of fiscal 2016, respectively. These amounts represented a net gain of $0.6 million and a net gain of $0.5 million for the third quarter and the first three quarters of fiscal 2015, respectively.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consolidated effective income tax rate for the third quarter of fiscal 2016 was 34.9% compared to 36.0% for the third quarter of fiscal 2015. Our consolidated effective income tax rate for the first three quarters of fiscal 2016 was 35.1% compared to 35.7% for the first three quarters of fiscal 2015. The lower effective rates both periods in fiscal 2016 were primarily due to expansion of our international business, partially offset by favorable settlements of federal and state tax audits for 2011, 2012, and 2013 during the first quarter of fiscal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2016, we estimate our consolidated effective income tax rate to be approximately 35.2%.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consolidated net income for the third quarter of fiscal 2016 increased by $1.5 million, or 1.9%, to $80.8 million compared to $79.3 million in the third quarter of fiscal 2015. Our consolidated net income for the first three quarters of fiscal 2016 increased by $5.8 million, or 3.5%, to $171.0 million compared to $165.2 million in the first three quarters of fiscal 2015. The increases were due to the factors previously discussed.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primary cash needs are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7" w:right="25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October 1, 2016, the Company had approximately $140.6 million of cash and cash equivalents in major financial institutions, including approximately $40.9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accounts receivable at October 1, 2016 were $271.2 million compared to $246.6 million at October 3, 2015 and $207.6 million at January 2, 2016. The overall increase of $24.6 million, or 10.0%, at October 1, 2016 compared to October 3, 2015 primarily reflected sales growth. Due to the seasonal nature of our operations, the net accounts receivable balance at October 1, 2016 is not comparable to the net accounts receivable balance of $207.6 million at January 2, 2016.</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Inventories at October 1, 2016 were $552.7 million compared to $511.5 million at October 3, 2015 and $469.9 million at January 2, 2016. The increase of $41.2 million, or 8.1%, at October 1, 2016 compared to October 3, 2015 primarily reflected business growth and the timing of inventory purchases. Due to the seasonal nature of our operations, the inventories balance at October 1, 2016 is not comparable to the inventories balance of $469.9 million at January 2, 2016.</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quarters of fiscal 2016 was $116.6 million compared to net cash provided by operating activities of $146.0 million in the first three quarters of fiscal 2015. This decrease in operating cash flow for the 2016 period reflected unfavorable changes in net working capital primarily due to the timing of payments, partially offset by an increase in net income.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Capital expenditures were $71.2 million in the first three quarters of fiscal 2016 compared to $77.0 million in the first three quarters of fiscal 2015, primarily reflecting 2016 expenditures of approximately $42.8 million for our U.S. and international retail store openings and re-modelings, $17.4 million for information technology initiatives, $5.3 million for distribution and office facilities, and $2.1 million for wholesale fixtures.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$105 million in total capital expenditures for all of fiscal 2016, primarily for our U.S. and international retail store openings and re-modelings, and information technology initiatives.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$287.4 million in the first three quarters of fiscal 2016 compared to $120.5 million in the first three quarters of fiscal 2015. This increase in cash used during the 2016 period primarily reflected increases in repurchases of our common stock and higher dividend payments.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secured revolving credit facility, which was amended and restated in September 2015, provides for (i) a $400 million U.S. dollar revolving facility (including a $175 million sub-limit for letters of credit and a swing line sub-limit of $50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not to exceed $200 million and the aggregate multicurrency amount not to exceed $50 million). Our secured revolving credit facility matures September 16, 2020.</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October 1, 2016, we had $185.4 million in outstanding borrowings under our secured revolving credit facility, exclusive of $4.8 million of outstanding letters of credit. As of October 1, 2016, approximately $309.7 million was available for future borrowing.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17" w:right="259" w:bottom="1440" w:gutter="0" w:footer="0" w:header="0"/>
        </w:sectPr>
      </w:pPr>
    </w:p>
    <w:bookmarkStart w:id="45" w:name="page46"/>
    <w:bookmarkEnd w:id="4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October 1, 2016, U.S. dollar borrowings outstanding under the secured revolving credit facility accrued interest at a LIBOR rate plus the applicable base rate, which was equal to 1.90% on that date, and Canadian borrowings accrued interest at a CDOR (Canadian Dollar Offered Rate) plus the applicable base rate, which was 2.26%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2016, we were in compliance with the financial and other covenants under our secured revolving credit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October 1, 2016, our wholly-owned operating subsidiary The William Carter Company ("TWCC") had $400.0 million principal amount of senior notes outstanding, bearing interest at a fixed rate of 5.25% per annum, and maturing on August 15, 2021. On our consolidated balance sheet, the $400.0 million outstanding is reported net of $4.8 million, $5.5 million and $5.7 million unamortized issuance-related debt costs at October 1, 2016, January 2, 2016 and October 3, 2015, respectively. The senior notes are unsecured and are fully and unconditionally guaranteed by Carter's, Inc. and certain subsidiaries of TWCC.</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2016, our Board of Directors authorized a new $500 million share repurchase program, in addition to the amounts remaining under previous authorizations. In the first three quarters of fiscal 2016, the Company repurchased and retired 2,358,947 shares in open market transactions for approximately $239.1 million at an average price of $101.37 per share. In the first three quarters of fiscal 2015, the Company repurchased and retired 795,025 shares in open market transactions for approximately $78.3 million, at an average price of $98.54 per share.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October 1, 2016 was approximately $335.7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the first, second and third quarters of fiscal 2016, we paid quarterly cash dividends of $0.33 per share in each quarter. In the first, second and third quarters of fiscal 2015, we paid quarterly cash dividends of $0.22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disclosed in our most recent Annual Report on Form 10-K for the 2015 fiscal year ended January 2, 2016, provisions in our secured revolving credit facility and indenture governing our senior notes could have the effect of restricting our ability to pay future cash dividends on or make future repurchases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117" w:right="279" w:bottom="1440" w:gutter="0" w:footer="0" w:header="0"/>
        </w:sectPr>
      </w:pPr>
    </w:p>
    <w:bookmarkStart w:id="46" w:name="page47"/>
    <w:bookmarkEnd w:id="4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8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Our critical accounting policies and estimates are described under the heading "Critical Accounting Policies and Estimates" in Item 7 of our most recent Annual Report on Form 10-K for the 2015 fiscal year ended January 2, 2016.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to update the Company's accounting policy for the measurement date used for defined benefit plan assets and obligations as disclosed in Note 8, </w:t>
      </w:r>
      <w:r>
        <w:rPr>
          <w:rFonts w:ascii="Times New Roman" w:cs="Times New Roman" w:eastAsia="Times New Roman" w:hAnsi="Times New Roman"/>
          <w:sz w:val="17"/>
          <w:szCs w:val="17"/>
          <w:i w:val="1"/>
          <w:iCs w:val="1"/>
          <w:color w:val="auto"/>
        </w:rPr>
        <w:t>Employee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Benefit Plans</w:t>
      </w:r>
      <w:r>
        <w:rPr>
          <w:rFonts w:ascii="Times New Roman" w:cs="Times New Roman" w:eastAsia="Times New Roman" w:hAnsi="Times New Roman"/>
          <w:sz w:val="17"/>
          <w:szCs w:val="17"/>
          <w:color w:val="auto"/>
        </w:rPr>
        <w:t>, to the accompanying unaudited condensed consolidated financial statements contained in Item 1 of this Quarterly Report on Form 10-Q.</w:t>
      </w:r>
    </w:p>
    <w:p>
      <w:pPr>
        <w:spacing w:after="0" w:line="17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information related to the pending adoption of recently issued accounting standards is provided in Note 15, </w:t>
      </w:r>
      <w:r>
        <w:rPr>
          <w:rFonts w:ascii="Times New Roman" w:cs="Times New Roman" w:eastAsia="Times New Roman" w:hAnsi="Times New Roman"/>
          <w:sz w:val="18"/>
          <w:szCs w:val="18"/>
          <w:i w:val="1"/>
          <w:iCs w:val="1"/>
          <w:color w:val="auto"/>
        </w:rPr>
        <w:t>Pending Adoption of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Pronouncements</w:t>
      </w:r>
      <w:r>
        <w:rPr>
          <w:rFonts w:ascii="Times New Roman" w:cs="Times New Roman" w:eastAsia="Times New Roman" w:hAnsi="Times New Roman"/>
          <w:sz w:val="18"/>
          <w:szCs w:val="18"/>
          <w:color w:val="auto"/>
        </w:rPr>
        <w:t>, to the accompanying unaudited condensed consolidated financial statements contained in Item 1 of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3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and Interest Rate Risks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of future currency fluctuations on our financial position, results of operations, or cash flows for future periods.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strategy, we use foreign currency forward exchange contracts that have maturities of less than 12 months to provide continuing coverage throughout the hedging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47" w:name="page48"/>
    <w:bookmarkEnd w:id="47"/>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Our weighted-average variable rate borrowings outstanding as of October 1, 2016 were $185.4 million. An increase or decrease of 1% in the effective interest rate on that amount would increase or decrease our annual pre-tax interest expense by approximately $1.9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October 1,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continuing efforts to enhance its internal controls over financial reporting, at the beginning of the third quarter of fiscal 2016 the Company completed the replacement of a financial information system used to process and record certain of the Company’s financial transactions. Testing is ongoing and expected to be completed during the fourth quarter of fiscal 2016.</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than this financial system replacement, there were no changes in the Company's internal controls over financial reporting during the third quarter of fiscal 2016 that have materially affected, or are reasonably likely to materially affect, the Company's internal control over financial reporting.</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2015 fiscal year ended January 2,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580"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third quarter of fiscal 2016:</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dollar value of shares</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purchased</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price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the plans</w:t>
            </w:r>
          </w:p>
        </w:tc>
      </w:tr>
      <w:tr>
        <w:trPr>
          <w:trHeight w:val="2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 (2)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programs (3)</w:t>
            </w:r>
          </w:p>
        </w:tc>
      </w:tr>
      <w:tr>
        <w:trPr>
          <w:trHeight w:val="29"/>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July 3, 2016 through July 30, 2016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151,700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$108.10</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151,700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$378,239,427</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July 31, 2016 through August 27, 2016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181,662</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$100.45</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180,800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$360,078,297</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28, 2016 through October 1, 2016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254,600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254,600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$335,709,538</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587,962</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587,100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surrendered by our employees to satisfy required tax withholding upon the vesting of restricted stock awards. There were 862 shares surrendered between July 3, 2016 and October 1, 2016.</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purchases during the third quarter of fiscal 2016 were made in compliance with all applicable rules and regulations and in accordance with the share repurchase authorizations described in Note 5 to our accompanying unaudited condensed consolidated financial statements included in Item 1 of this Quarterly Report on Form 10-Q.</w:t>
      </w:r>
    </w:p>
    <w:p>
      <w:pPr>
        <w:spacing w:after="0" w:line="176" w:lineRule="exact"/>
        <w:rPr>
          <w:rFonts w:ascii="Times New Roman" w:cs="Times New Roman" w:eastAsia="Times New Roman" w:hAnsi="Times New Roman"/>
          <w:sz w:val="18"/>
          <w:szCs w:val="18"/>
          <w:color w:val="auto"/>
        </w:rPr>
      </w:pPr>
    </w:p>
    <w:p>
      <w:pPr>
        <w:ind w:left="660" w:right="340" w:hanging="328"/>
        <w:spacing w:after="0" w:line="313"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24, 2016, our Board of Directors authorized a new $500 million share repurchase program. The new share repurchase authorization permits us to repurchase shares of our common stock up to $500 million, in addition to any amounts remaining under previous authorizations.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60"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20" w:type="dxa"/>
            <w:vAlign w:val="bottom"/>
          </w:tcPr>
          <w:p>
            <w:pPr>
              <w:spacing w:after="0"/>
              <w:rPr>
                <w:sz w:val="20"/>
                <w:szCs w:val="20"/>
                <w:color w:val="auto"/>
              </w:rPr>
            </w:pPr>
          </w:p>
        </w:tc>
      </w:tr>
      <w:tr>
        <w:trPr>
          <w:trHeight w:val="432"/>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338"/>
        </w:trPr>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529"/>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3.1</w:t>
            </w:r>
          </w:p>
        </w:tc>
        <w:tc>
          <w:tcPr>
            <w:tcW w:w="360" w:type="dxa"/>
            <w:vAlign w:val="bottom"/>
          </w:tcPr>
          <w:p>
            <w:pPr>
              <w:spacing w:after="0"/>
              <w:rPr>
                <w:sz w:val="24"/>
                <w:szCs w:val="24"/>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Certificate of Incorporation of Carter's, Inc., as amended on May 12, 2006 (incorporated by reference to Exhibit 3.1 of Carter's, Inc.'s</w:t>
            </w:r>
          </w:p>
        </w:tc>
      </w:t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 filed on October 29, 2015).</w:t>
            </w:r>
          </w:p>
        </w:tc>
      </w:tr>
      <w:tr>
        <w:trPr>
          <w:trHeight w:val="252"/>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3.2</w:t>
            </w:r>
          </w:p>
        </w:tc>
        <w:tc>
          <w:tcPr>
            <w:tcW w:w="360" w:type="dxa"/>
            <w:vAlign w:val="bottom"/>
          </w:tcPr>
          <w:p>
            <w:pPr>
              <w:spacing w:after="0"/>
              <w:rPr>
                <w:sz w:val="21"/>
                <w:szCs w:val="21"/>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Amended and Restated By-Laws of Carter's, Inc. (incorporated by reference to Exhibit 3.2 of Carter's, Inc.'s Current Report on Form</w:t>
            </w:r>
          </w:p>
        </w:tc>
      </w:t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8-K filed on August 26, 2015).</w:t>
            </w:r>
          </w:p>
        </w:tc>
      </w:tr>
      <w:tr>
        <w:trPr>
          <w:trHeight w:val="27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 13a-15(e)/15d-15(e) and 13a-15(f)/15d-15(f) Certification.</w:t>
            </w:r>
          </w:p>
        </w:tc>
      </w:tr>
      <w:tr>
        <w:trPr>
          <w:trHeight w:val="27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 13a-15(e)/15d-15(e) and 13a-15(f)/15d-15(f) Certification.</w:t>
            </w:r>
          </w:p>
        </w:tc>
      </w:tr>
      <w:tr>
        <w:trPr>
          <w:trHeight w:val="27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32</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Section 1350 Certification.</w:t>
            </w:r>
          </w:p>
        </w:tc>
      </w:tr>
      <w:tr>
        <w:trPr>
          <w:trHeight w:val="27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101</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Interactive Data File.</w:t>
            </w:r>
          </w:p>
        </w:tc>
      </w:tr>
      <w:tr>
        <w:trPr>
          <w:trHeight w:val="702"/>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3"/>
          </w:tcPr>
          <w:p>
            <w:pPr>
              <w:ind w:left="396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340"/>
          </w:cols>
          <w:pgMar w:left="240" w:top="360" w:right="319" w:bottom="1440" w:gutter="0" w:footer="0" w:header="0"/>
        </w:sectPr>
      </w:pPr>
    </w:p>
    <w:bookmarkStart w:id="50" w:name="page51"/>
    <w:bookmarkEnd w:id="50"/>
    <w:p>
      <w:pPr>
        <w:ind w:left="50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00"/>
        <w:spacing w:after="0"/>
        <w:tabs>
          <w:tab w:leader="none" w:pos="5740" w:val="left"/>
        </w:tabs>
        <w:rPr>
          <w:sz w:val="20"/>
          <w:szCs w:val="20"/>
          <w:color w:val="auto"/>
        </w:rPr>
      </w:pP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00"/>
          </w:cols>
          <w:pgMar w:left="240" w:top="585" w:right="11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60"/>
        <w:spacing w:after="0"/>
        <w:tabs>
          <w:tab w:leader="none" w:pos="6980" w:val="left"/>
        </w:tabs>
        <w:rPr>
          <w:sz w:val="20"/>
          <w:szCs w:val="20"/>
          <w:color w:val="auto"/>
        </w:rPr>
      </w:pP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18351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960"/>
        <w:spacing w:after="0"/>
        <w:tabs>
          <w:tab w:leader="none" w:pos="6420" w:val="left"/>
        </w:tabs>
        <w:rPr>
          <w:sz w:val="20"/>
          <w:szCs w:val="20"/>
          <w:color w:val="auto"/>
        </w:rPr>
      </w:pP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1697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243"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October 1, 2016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tabs>
          <w:tab w:leader="none" w:pos="6580" w:val="left"/>
        </w:tabs>
        <w:rPr>
          <w:sz w:val="20"/>
          <w:szCs w:val="20"/>
          <w:color w:val="auto"/>
        </w:rPr>
      </w:pP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6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lvl w:ilvl="1">
      <w:lvlJc w:val="left"/>
      <w:lvlText w:val="•"/>
      <w:numFmt w:val="bullet"/>
      <w:start w:val="1"/>
    </w:lvl>
  </w:abstractNum>
  <w:abstractNum w:abstractNumId="17">
    <w:nsid w:val="8EDBDAB"/>
    <w:multiLevelType w:val="hybridMultilevel"/>
    <w:lvl w:ilvl="0">
      <w:lvlJc w:val="left"/>
      <w:lvlText w:val="(%1)"/>
      <w:numFmt w:val="lowerLetter"/>
      <w:start w:val="27"/>
    </w:lvl>
    <w:lvl w:ilvl="1">
      <w:lvlJc w:val="left"/>
      <w:lvlText w:val="•"/>
      <w:numFmt w:val="bullet"/>
      <w:start w:val="1"/>
    </w:lvl>
  </w:abstractNum>
  <w:abstractNum w:abstractNumId="18">
    <w:nsid w:val="79838CB2"/>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9">
    <w:nsid w:val="4353D0CD"/>
    <w:multiLevelType w:val="hybridMultilevel"/>
    <w:lvl w:ilvl="0">
      <w:lvlJc w:val="left"/>
      <w:lvlText w:val="(%1)"/>
      <w:numFmt w:val="lowerLetter"/>
      <w:start w:val="28"/>
    </w:lvl>
    <w:lvl w:ilvl="1">
      <w:lvlJc w:val="left"/>
      <w:lvlText w:val="•"/>
      <w:numFmt w:val="bullet"/>
      <w:start w:val="1"/>
    </w:lvl>
  </w:abstractNum>
  <w:abstractNum w:abstractNumId="20">
    <w:nsid w:val="B03E0C6"/>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21">
    <w:nsid w:val="189A769B"/>
    <w:multiLevelType w:val="hybridMultilevel"/>
    <w:lvl w:ilvl="0">
      <w:lvlJc w:val="left"/>
      <w:lvlText w:val="(%1)"/>
      <w:numFmt w:val="lowerLetter"/>
      <w:start w:val="29"/>
    </w:lvl>
    <w:lvl w:ilvl="1">
      <w:lvlJc w:val="left"/>
      <w:lvlText w:val="•"/>
      <w:numFmt w:val="bullet"/>
      <w:start w:val="1"/>
    </w:lvl>
    <w:lvl w:ilvl="2">
      <w:lvlJc w:val="left"/>
      <w:lvlText w:val="•"/>
      <w:numFmt w:val="bullet"/>
      <w:start w:val="1"/>
    </w:lvl>
  </w:abstractNum>
  <w:abstractNum w:abstractNumId="22">
    <w:nsid w:val="54E49EB4"/>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abstractNum>
  <w:abstractNum w:abstractNumId="23">
    <w:nsid w:val="71F32454"/>
    <w:multiLevelType w:val="hybridMultilevel"/>
    <w:lvl w:ilvl="0">
      <w:lvlJc w:val="left"/>
      <w:lvlText w:val="(%1)"/>
      <w:numFmt w:val="lowerLetter"/>
      <w:start w:val="30"/>
    </w:lvl>
    <w:lvl w:ilvl="1">
      <w:lvlJc w:val="left"/>
      <w:lvlText w:val="•"/>
      <w:numFmt w:val="bullet"/>
      <w:start w:val="1"/>
    </w:lvl>
    <w:lvl w:ilvl="2">
      <w:lvlJc w:val="left"/>
      <w:lvlText w:val="•"/>
      <w:numFmt w:val="bullet"/>
      <w:start w:val="1"/>
    </w:lvl>
  </w:abstractNum>
  <w:abstractNum w:abstractNumId="24">
    <w:nsid w:val="2CA88611"/>
    <w:multiLevelType w:val="hybridMultilevel"/>
    <w:lvl w:ilvl="0">
      <w:lvlJc w:val="left"/>
      <w:lvlText w:val="(%1)"/>
      <w:numFmt w:val="lowerLetter"/>
      <w:start w:val="5"/>
    </w:lvl>
    <w:lvl w:ilvl="1">
      <w:lvlJc w:val="left"/>
      <w:lvlText w:val="•"/>
      <w:numFmt w:val="bullet"/>
      <w:start w:val="1"/>
    </w:lvl>
    <w:lvl w:ilvl="2">
      <w:lvlJc w:val="left"/>
      <w:lvlText w:val="•"/>
      <w:numFmt w:val="bullet"/>
      <w:start w:val="1"/>
    </w:lvl>
  </w:abstractNum>
  <w:abstractNum w:abstractNumId="25">
    <w:nsid w:val="836C40E"/>
    <w:multiLevelType w:val="hybridMultilevel"/>
    <w:lvl w:ilvl="0">
      <w:lvlJc w:val="left"/>
      <w:lvlText w:val="(%1)"/>
      <w:numFmt w:val="lowerLetter"/>
      <w:start w:val="31"/>
    </w:lvl>
    <w:lvl w:ilvl="1">
      <w:lvlJc w:val="left"/>
      <w:lvlText w:val="•"/>
      <w:numFmt w:val="bullet"/>
      <w:start w:val="1"/>
    </w:lvl>
    <w:lvl w:ilvl="2">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2019-12-29T10:15:19Z</dcterms:created>
  <dcterms:modified xsi:type="dcterms:W3CDTF">2019-12-29T10:15:19Z</dcterms:modified>
</cp:coreProperties>
</file>