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ind w:left="1680" w:hanging="351"/>
        <w:spacing w:after="0"/>
        <w:tabs>
          <w:tab w:leader="none" w:pos="1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7" w:lineRule="exact"/>
        <w:rPr>
          <w:rFonts w:ascii="MS PGothic" w:cs="MS PGothic" w:eastAsia="MS PGothic" w:hAnsi="MS PGothic"/>
          <w:sz w:val="20"/>
          <w:szCs w:val="20"/>
          <w:color w:val="auto"/>
        </w:rPr>
      </w:pPr>
    </w:p>
    <w:p>
      <w:pPr>
        <w:ind w:left="4200"/>
        <w:spacing w:after="0"/>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For the quarterly period ended April 2, 2022</w:t>
      </w:r>
    </w:p>
    <w:p>
      <w:pPr>
        <w:spacing w:after="0" w:line="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2" w:lineRule="exact"/>
        <w:rPr>
          <w:sz w:val="24"/>
          <w:szCs w:val="24"/>
          <w:color w:val="auto"/>
        </w:rPr>
      </w:pPr>
    </w:p>
    <w:p>
      <w:pPr>
        <w:ind w:left="1700" w:hanging="406"/>
        <w:spacing w:after="0"/>
        <w:tabs>
          <w:tab w:leader="none" w:pos="1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bl>
      <w:tblPr>
        <w:tblLayout w:type="fixed"/>
        <w:tblInd w:w="3960" w:type="dxa"/>
        <w:tblCellMar>
          <w:top w:w="0" w:type="dxa"/>
          <w:left w:w="0" w:type="dxa"/>
          <w:bottom w:w="0" w:type="dxa"/>
          <w:right w:w="0" w:type="dxa"/>
        </w:tblCellMar>
      </w:tblPr>
      <w:tr>
        <w:trPr>
          <w:trHeight w:val="168"/>
        </w:trPr>
        <w:tc>
          <w:tcPr>
            <w:tcW w:w="232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to</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451"/>
        </w:trPr>
        <w:tc>
          <w:tcPr>
            <w:tcW w:w="33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w w:val="97"/>
              </w:rPr>
              <w:t>Commission file number: 001-31829</w:t>
            </w:r>
          </w:p>
        </w:tc>
      </w:tr>
    </w:tbl>
    <w:p>
      <w:pPr>
        <w:spacing w:after="0" w:line="1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CARTER’S, INC.</w:t>
      </w:r>
    </w:p>
    <w:p>
      <w:pPr>
        <w:spacing w:after="0" w:line="15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053" w:right="359" w:bottom="1440" w:gutter="0" w:footer="0" w:header="0"/>
        </w:sectPr>
      </w:pPr>
    </w:p>
    <w:p>
      <w:pPr>
        <w:spacing w:after="0" w:line="174"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13-3912933</w:t>
      </w:r>
    </w:p>
    <w:p>
      <w:pPr>
        <w:spacing w:after="0" w:line="200" w:lineRule="exact"/>
        <w:rPr>
          <w:sz w:val="24"/>
          <w:szCs w:val="24"/>
          <w:color w:val="auto"/>
        </w:rPr>
      </w:pPr>
    </w:p>
    <w:p>
      <w:pPr>
        <w:sectPr>
          <w:pgSz w:w="11900" w:h="16838" w:orient="portrait"/>
          <w:cols w:equalWidth="0" w:num="2">
            <w:col w:w="7080" w:space="720"/>
            <w:col w:w="3420"/>
          </w:cols>
          <w:pgMar w:left="320" w:top="1053" w:right="359" w:bottom="1440" w:gutter="0" w:footer="0" w:header="0"/>
          <w:type w:val="continuous"/>
        </w:sectPr>
      </w:pPr>
    </w:p>
    <w:p>
      <w:pPr>
        <w:spacing w:after="0" w:line="50"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59" w:lineRule="exact"/>
        <w:rPr>
          <w:sz w:val="24"/>
          <w:szCs w:val="24"/>
          <w:color w:val="auto"/>
        </w:rPr>
      </w:pPr>
    </w:p>
    <w:p>
      <w:pPr>
        <w:sectPr>
          <w:pgSz w:w="11900" w:h="16838" w:orient="portrait"/>
          <w:cols w:equalWidth="0" w:num="2">
            <w:col w:w="6300" w:space="720"/>
            <w:col w:w="4200"/>
          </w:cols>
          <w:pgMar w:left="320" w:top="1053" w:right="35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6"/>
          <w:szCs w:val="16"/>
          <w:color w:val="auto"/>
        </w:rPr>
        <w:t>incorporation or organization)</w:t>
      </w:r>
    </w:p>
    <w:p>
      <w:pPr>
        <w:sectPr>
          <w:pgSz w:w="11900" w:h="16838" w:orient="portrait"/>
          <w:cols w:equalWidth="0" w:num="1">
            <w:col w:w="11220"/>
          </w:cols>
          <w:pgMar w:left="320" w:top="1053" w:right="359" w:bottom="1440" w:gutter="0" w:footer="0" w:header="0"/>
          <w:type w:val="continuous"/>
        </w:sect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410" w:type="dxa"/>
        <w:tblCellMar>
          <w:top w:w="0" w:type="dxa"/>
          <w:left w:w="0" w:type="dxa"/>
          <w:bottom w:w="0" w:type="dxa"/>
          <w:right w:w="0" w:type="dxa"/>
        </w:tblCellMar>
      </w:tblPr>
      <w:tr>
        <w:trPr>
          <w:trHeight w:val="250"/>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7"/>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CRI</w:t>
            </w: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71" w:lineRule="exact"/>
        <w:rPr>
          <w:sz w:val="24"/>
          <w:szCs w:val="24"/>
          <w:color w:val="auto"/>
        </w:rPr>
      </w:pPr>
    </w:p>
    <w:p>
      <w:pPr>
        <w:ind w:right="28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0" w:lineRule="exact"/>
        <w:rPr>
          <w:sz w:val="24"/>
          <w:szCs w:val="24"/>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20" w:lineRule="exact"/>
        <w:rPr>
          <w:sz w:val="24"/>
          <w:szCs w:val="24"/>
          <w:color w:val="auto"/>
        </w:rPr>
      </w:pPr>
    </w:p>
    <w:p>
      <w:pPr>
        <w:jc w:val="center"/>
        <w:ind w:right="-19"/>
        <w:spacing w:after="0" w:line="208"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p>
    <w:p>
      <w:pPr>
        <w:spacing w:after="0" w:line="89"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10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22, 2022, there were 40,291,624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6643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type w:val="continuous"/>
        </w:sectPr>
      </w:pPr>
    </w:p>
    <w:bookmarkStart w:id="1" w:name="page2"/>
    <w:bookmarkEnd w:id="1"/>
    <w:p>
      <w:pPr>
        <w:jc w:val="center"/>
        <w:ind w:left="1620"/>
        <w:spacing w:after="0"/>
        <w:rPr>
          <w:sz w:val="20"/>
          <w:szCs w:val="20"/>
          <w:color w:val="auto"/>
        </w:rPr>
      </w:pPr>
      <w:r>
        <w:rPr>
          <w:rFonts w:ascii="Times New Roman" w:cs="Times New Roman" w:eastAsia="Times New Roman" w:hAnsi="Times New Roman"/>
          <w:sz w:val="20"/>
          <w:szCs w:val="20"/>
          <w:b w:val="1"/>
          <w:bCs w:val="1"/>
          <w:color w:val="auto"/>
        </w:rPr>
        <w:t>CARTER’S, INC.</w:t>
      </w:r>
    </w:p>
    <w:p>
      <w:pPr>
        <w:spacing w:after="0" w:line="189"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1"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640" w:type="dxa"/>
            <w:vAlign w:val="bottom"/>
          </w:tcPr>
          <w:p>
            <w:pPr>
              <w:spacing w:after="0"/>
              <w:rPr>
                <w:sz w:val="16"/>
                <w:szCs w:val="16"/>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Financial Statements</w:t>
            </w:r>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Unaudited Condensed Consolidated Balance Sheets as of April 2, 2022, January 1, 2022, and April 3, 2021</w:t>
            </w:r>
          </w:p>
        </w:tc>
      </w:tr>
      <w:tr>
        <w:trPr>
          <w:trHeight w:val="20"/>
        </w:trPr>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Operations for the fiscal quarter ended April 2, 2022 and April 3, 2021</w:t>
            </w:r>
          </w:p>
        </w:tc>
      </w:tr>
      <w:tr>
        <w:trPr>
          <w:trHeight w:val="223"/>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Comprehensive Income for the fiscal quarter ended April 2, 2022 and</w:t>
            </w:r>
          </w:p>
        </w:tc>
        <w:tc>
          <w:tcPr>
            <w:tcW w:w="60" w:type="dxa"/>
            <w:vAlign w:val="bottom"/>
            <w:gridSpan w:val="2"/>
          </w:tcPr>
          <w:p>
            <w:pPr>
              <w:spacing w:after="0"/>
              <w:rPr>
                <w:sz w:val="19"/>
                <w:szCs w:val="19"/>
                <w:color w:val="auto"/>
              </w:rPr>
            </w:pPr>
          </w:p>
        </w:tc>
      </w:tr>
      <w:tr>
        <w:trPr>
          <w:trHeight w:val="183"/>
        </w:trPr>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0" w:type="dxa"/>
            <w:vAlign w:val="bottom"/>
            <w:tcBorders>
              <w:top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April 3, 2021</w:t>
            </w:r>
          </w:p>
        </w:tc>
        <w:tc>
          <w:tcPr>
            <w:tcW w:w="140" w:type="dxa"/>
            <w:vAlign w:val="bottom"/>
            <w:gridSpan w:val="3"/>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Changes in Stockholders’ Equity for the fiscal quarter ended April 2,</w:t>
            </w:r>
          </w:p>
        </w:tc>
        <w:tc>
          <w:tcPr>
            <w:tcW w:w="180" w:type="dxa"/>
            <w:vAlign w:val="bottom"/>
            <w:gridSpan w:val="4"/>
          </w:tcPr>
          <w:p>
            <w:pPr>
              <w:spacing w:after="0"/>
              <w:rPr>
                <w:sz w:val="19"/>
                <w:szCs w:val="19"/>
                <w:color w:val="auto"/>
              </w:rPr>
            </w:pPr>
          </w:p>
        </w:tc>
      </w:tr>
      <w:tr>
        <w:trPr>
          <w:trHeight w:val="183"/>
        </w:trPr>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94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2022 and April 3, 2021</w:t>
            </w:r>
          </w:p>
        </w:tc>
      </w:tr>
      <w:tr>
        <w:trPr>
          <w:trHeight w:val="20"/>
        </w:trPr>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Cash Flows for the fiscal quarter ended April 2, 2022 and April 3, 2021</w:t>
            </w:r>
          </w:p>
        </w:tc>
      </w:tr>
      <w:tr>
        <w:trPr>
          <w:trHeight w:val="223"/>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Notes to the Unaudited Condensed Consolidated Financial Statements</w:t>
            </w:r>
          </w:p>
        </w:tc>
        <w:tc>
          <w:tcPr>
            <w:tcW w:w="2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7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r>
      <w:tr>
        <w:trPr>
          <w:trHeight w:val="223"/>
        </w:trPr>
        <w:tc>
          <w:tcPr>
            <w:tcW w:w="4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Item 3</w:t>
            </w:r>
          </w:p>
        </w:tc>
        <w:tc>
          <w:tcPr>
            <w:tcW w:w="640" w:type="dxa"/>
            <w:vAlign w:val="bottom"/>
            <w:tcBorders>
              <w:top w:val="single" w:sz="8" w:color="0000FF"/>
            </w:tcBorders>
          </w:tcPr>
          <w:p>
            <w:pPr>
              <w:spacing w:after="0"/>
              <w:rPr>
                <w:sz w:val="19"/>
                <w:szCs w:val="19"/>
                <w:color w:val="auto"/>
              </w:rPr>
            </w:pPr>
          </w:p>
        </w:tc>
        <w:tc>
          <w:tcPr>
            <w:tcW w:w="38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20" w:type="dxa"/>
            <w:vAlign w:val="bottom"/>
            <w:tcBorders>
              <w:top w:val="single" w:sz="8" w:color="0000FF"/>
            </w:tcBorders>
            <w:gridSpan w:val="2"/>
          </w:tcPr>
          <w:p>
            <w:pPr>
              <w:spacing w:after="0"/>
              <w:rPr>
                <w:sz w:val="19"/>
                <w:szCs w:val="19"/>
                <w:color w:val="auto"/>
              </w:rPr>
            </w:pPr>
          </w:p>
        </w:tc>
        <w:tc>
          <w:tcPr>
            <w:tcW w:w="2140" w:type="dxa"/>
            <w:vAlign w:val="bottom"/>
            <w:gridSpan w:val="6"/>
          </w:tcPr>
          <w:p>
            <w:pPr>
              <w:spacing w:after="0"/>
              <w:rPr>
                <w:sz w:val="19"/>
                <w:szCs w:val="19"/>
                <w:color w:val="auto"/>
              </w:rPr>
            </w:pPr>
          </w:p>
        </w:tc>
      </w:tr>
      <w:tr>
        <w:trPr>
          <w:trHeight w:val="223"/>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640" w:type="dxa"/>
            <w:vAlign w:val="bottom"/>
          </w:tcPr>
          <w:p>
            <w:pPr>
              <w:spacing w:after="0"/>
              <w:rPr>
                <w:sz w:val="19"/>
                <w:szCs w:val="19"/>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Controls and Procedures</w:t>
            </w:r>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283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161290</wp:posOffset>
            </wp:positionV>
            <wp:extent cx="9944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1</w:t>
      </w:r>
    </w:p>
    <w:p>
      <w:pPr>
        <w:spacing w:after="0" w:line="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2</w:t>
      </w:r>
    </w:p>
    <w:p>
      <w:pPr>
        <w:spacing w:after="0" w:line="15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u w:val="single" w:color="auto"/>
          <w:color w:val="0000FF"/>
        </w:rPr>
        <w:t>3</w:t>
      </w:r>
    </w:p>
    <w:p>
      <w:pPr>
        <w:spacing w:after="0" w:line="2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4</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5</w:t>
      </w:r>
    </w:p>
    <w:p>
      <w:pPr>
        <w:spacing w:after="0" w:line="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6</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0000FF"/>
        </w:rPr>
        <w:t>15</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0000FF"/>
        </w:rPr>
        <w:t>24</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0000FF"/>
        </w:rPr>
        <w:t>24</w:t>
      </w:r>
    </w:p>
    <w:p>
      <w:pPr>
        <w:spacing w:after="0" w:line="104" w:lineRule="exact"/>
        <w:rPr>
          <w:sz w:val="20"/>
          <w:szCs w:val="20"/>
          <w:color w:val="auto"/>
        </w:rPr>
      </w:pPr>
    </w:p>
    <w:p>
      <w:pPr>
        <w:sectPr>
          <w:pgSz w:w="11900" w:h="16838" w:orient="portrait"/>
          <w:cols w:equalWidth="0" w:num="2">
            <w:col w:w="9620" w:space="640"/>
            <w:col w:w="980"/>
          </w:cols>
          <w:pgMar w:left="320" w:top="81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Other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0000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640" w:type="dxa"/>
            <w:vAlign w:val="bottom"/>
            <w:tcBorders>
              <w:bottom w:val="single" w:sz="8" w:color="CCEEFF"/>
            </w:tcBorders>
            <w:gridSpan w:val="3"/>
            <w:shd w:val="clear" w:color="auto" w:fill="CCEEFF"/>
          </w:tcPr>
          <w:p>
            <w:pPr>
              <w:spacing w:after="0"/>
              <w:rPr>
                <w:sz w:val="19"/>
                <w:szCs w:val="19"/>
                <w:color w:val="auto"/>
              </w:rPr>
            </w:pPr>
          </w:p>
        </w:tc>
        <w:tc>
          <w:tcPr>
            <w:tcW w:w="1200" w:type="dxa"/>
            <w:vAlign w:val="bottom"/>
            <w:tcBorders>
              <w:bottom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7500" w:type="dxa"/>
            <w:vAlign w:val="bottom"/>
            <w:tcBorders>
              <w:bottom w:val="single" w:sz="8" w:color="CCEEFF"/>
            </w:tcBorders>
            <w:gridSpan w:val="4"/>
            <w:shd w:val="clear" w:color="auto" w:fill="CCEEFF"/>
          </w:tcPr>
          <w:p>
            <w:pPr>
              <w:spacing w:after="0"/>
              <w:rPr>
                <w:sz w:val="19"/>
                <w:szCs w:val="19"/>
                <w:color w:val="auto"/>
              </w:rPr>
            </w:pPr>
          </w:p>
        </w:tc>
        <w:tc>
          <w:tcPr>
            <w:tcW w:w="16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w w:val="87"/>
              </w:rPr>
              <w:t>25</w:t>
            </w:r>
          </w:p>
        </w:tc>
        <w:tc>
          <w:tcPr>
            <w:tcW w:w="70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1A</w:t>
            </w:r>
          </w:p>
        </w:tc>
        <w:tc>
          <w:tcPr>
            <w:tcW w:w="8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86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0000FF"/>
                <w:w w:val="87"/>
              </w:rPr>
              <w:t>25</w:t>
            </w:r>
          </w:p>
        </w:tc>
      </w:tr>
      <w:tr>
        <w:trPr>
          <w:trHeight w:val="3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w w:val="96"/>
              </w:rPr>
              <w:t>Item 2</w:t>
            </w:r>
          </w:p>
        </w:tc>
        <w:tc>
          <w:tcPr>
            <w:tcW w:w="640" w:type="dxa"/>
            <w:vAlign w:val="bottom"/>
            <w:gridSpan w:val="3"/>
            <w:shd w:val="clear" w:color="auto" w:fill="CCEEFF"/>
          </w:tcPr>
          <w:p>
            <w:pPr>
              <w:spacing w:after="0"/>
              <w:rPr>
                <w:sz w:val="19"/>
                <w:szCs w:val="19"/>
                <w:color w:val="auto"/>
              </w:rPr>
            </w:pPr>
          </w:p>
        </w:tc>
        <w:tc>
          <w:tcPr>
            <w:tcW w:w="87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0000FF"/>
                <w:w w:val="87"/>
              </w:rPr>
              <w:t>25</w:t>
            </w:r>
          </w:p>
        </w:tc>
      </w:tr>
      <w:tr>
        <w:trPr>
          <w:trHeight w:val="189"/>
        </w:trPr>
        <w:tc>
          <w:tcPr>
            <w:tcW w:w="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4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6"/>
              </w:rPr>
              <w:t>Item 3</w:t>
            </w:r>
          </w:p>
        </w:tc>
        <w:tc>
          <w:tcPr>
            <w:tcW w:w="640" w:type="dxa"/>
            <w:vAlign w:val="bottom"/>
            <w:tcBorders>
              <w:top w:val="single" w:sz="8" w:color="CCEEFF"/>
            </w:tcBorders>
            <w:gridSpan w:val="3"/>
          </w:tcPr>
          <w:p>
            <w:pPr>
              <w:spacing w:after="0"/>
              <w:rPr>
                <w:sz w:val="16"/>
                <w:szCs w:val="16"/>
                <w:color w:val="auto"/>
              </w:rPr>
            </w:pPr>
          </w:p>
        </w:tc>
        <w:tc>
          <w:tcPr>
            <w:tcW w:w="39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4800" w:type="dxa"/>
            <w:vAlign w:val="bottom"/>
            <w:tcBorders>
              <w:top w:val="single" w:sz="8" w:color="CCEEFF"/>
            </w:tcBorders>
          </w:tcPr>
          <w:p>
            <w:pPr>
              <w:spacing w:after="0"/>
              <w:rPr>
                <w:sz w:val="16"/>
                <w:szCs w:val="16"/>
                <w:color w:val="auto"/>
              </w:rPr>
            </w:pPr>
          </w:p>
        </w:tc>
        <w:tc>
          <w:tcPr>
            <w:tcW w:w="1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25</w:t>
            </w:r>
          </w:p>
        </w:tc>
        <w:tc>
          <w:tcPr>
            <w:tcW w:w="700" w:type="dxa"/>
            <w:vAlign w:val="bottom"/>
            <w:tcBorders>
              <w:top w:val="single" w:sz="8" w:color="CCEEFF"/>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640" w:type="dxa"/>
            <w:vAlign w:val="bottom"/>
            <w:gridSpan w:val="3"/>
            <w:shd w:val="clear" w:color="auto" w:fill="CCEEFF"/>
          </w:tcPr>
          <w:p>
            <w:pPr>
              <w:spacing w:after="0"/>
              <w:rPr>
                <w:sz w:val="19"/>
                <w:szCs w:val="19"/>
                <w:color w:val="auto"/>
              </w:rPr>
            </w:pPr>
          </w:p>
        </w:tc>
        <w:tc>
          <w:tcPr>
            <w:tcW w:w="87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0000FF"/>
                <w:w w:val="87"/>
              </w:rPr>
              <w:t>25</w:t>
            </w:r>
          </w:p>
        </w:tc>
      </w:tr>
      <w:tr>
        <w:trPr>
          <w:trHeight w:val="189"/>
        </w:trPr>
        <w:tc>
          <w:tcPr>
            <w:tcW w:w="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4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6"/>
              </w:rPr>
              <w:t>Item 5</w:t>
            </w:r>
          </w:p>
        </w:tc>
        <w:tc>
          <w:tcPr>
            <w:tcW w:w="640" w:type="dxa"/>
            <w:vAlign w:val="bottom"/>
            <w:tcBorders>
              <w:top w:val="single" w:sz="8" w:color="CCEEFF"/>
            </w:tcBorders>
            <w:gridSpan w:val="3"/>
          </w:tcPr>
          <w:p>
            <w:pPr>
              <w:spacing w:after="0"/>
              <w:rPr>
                <w:sz w:val="16"/>
                <w:szCs w:val="16"/>
                <w:color w:val="auto"/>
              </w:rPr>
            </w:pPr>
          </w:p>
        </w:tc>
        <w:tc>
          <w:tcPr>
            <w:tcW w:w="15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7120" w:type="dxa"/>
            <w:vAlign w:val="bottom"/>
            <w:tcBorders>
              <w:top w:val="single" w:sz="8" w:color="CCEEFF"/>
            </w:tcBorders>
            <w:gridSpan w:val="3"/>
          </w:tcPr>
          <w:p>
            <w:pPr>
              <w:spacing w:after="0"/>
              <w:rPr>
                <w:sz w:val="16"/>
                <w:szCs w:val="16"/>
                <w:color w:val="auto"/>
              </w:rPr>
            </w:pPr>
          </w:p>
        </w:tc>
        <w:tc>
          <w:tcPr>
            <w:tcW w:w="1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25</w:t>
            </w:r>
          </w:p>
        </w:tc>
        <w:tc>
          <w:tcPr>
            <w:tcW w:w="700" w:type="dxa"/>
            <w:vAlign w:val="bottom"/>
            <w:tcBorders>
              <w:top w:val="single" w:sz="8" w:color="CCEEFF"/>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6</w:t>
            </w:r>
          </w:p>
        </w:tc>
        <w:tc>
          <w:tcPr>
            <w:tcW w:w="87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Exhibits</w:t>
            </w:r>
          </w:p>
        </w:tc>
        <w:tc>
          <w:tcPr>
            <w:tcW w:w="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0000FF"/>
                <w:w w:val="87"/>
              </w:rPr>
              <w:t>26</w:t>
            </w: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860" w:type="dxa"/>
            <w:vAlign w:val="bottom"/>
            <w:tcBorders>
              <w:top w:val="single" w:sz="8" w:color="CCEEFF"/>
            </w:tcBorders>
          </w:tcPr>
          <w:p>
            <w:pPr>
              <w:spacing w:after="0"/>
              <w:rPr>
                <w:sz w:val="4"/>
                <w:szCs w:val="4"/>
                <w:color w:val="auto"/>
              </w:rPr>
            </w:pPr>
          </w:p>
        </w:tc>
        <w:tc>
          <w:tcPr>
            <w:tcW w:w="4800" w:type="dxa"/>
            <w:vAlign w:val="bottom"/>
            <w:tcBorders>
              <w:top w:val="single" w:sz="8" w:color="CCEE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660" w:type="dxa"/>
            <w:vAlign w:val="bottom"/>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0000FF"/>
                <w:w w:val="87"/>
              </w:rPr>
              <w:t>27</w:t>
            </w: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860" w:type="dxa"/>
            <w:vAlign w:val="bottom"/>
            <w:tcBorders>
              <w:top w:val="single" w:sz="8" w:color="CCEEFF"/>
            </w:tcBorders>
          </w:tcPr>
          <w:p>
            <w:pPr>
              <w:spacing w:after="0"/>
              <w:rPr>
                <w:sz w:val="4"/>
                <w:szCs w:val="4"/>
                <w:color w:val="auto"/>
              </w:rPr>
            </w:pPr>
          </w:p>
        </w:tc>
        <w:tc>
          <w:tcPr>
            <w:tcW w:w="4800" w:type="dxa"/>
            <w:vAlign w:val="bottom"/>
            <w:tcBorders>
              <w:top w:val="single" w:sz="8" w:color="CCEE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660" w:type="dxa"/>
            <w:vAlign w:val="bottom"/>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Certifications</w:t>
            </w: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1154"/>
        </w:trPr>
        <w:tc>
          <w:tcPr>
            <w:tcW w:w="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860" w:type="dxa"/>
            <w:vAlign w:val="bottom"/>
            <w:tcBorders>
              <w:top w:val="single" w:sz="8" w:color="CCEEFF"/>
              <w:bottom w:val="single" w:sz="8" w:color="9A9A9A"/>
            </w:tcBorders>
          </w:tcPr>
          <w:p>
            <w:pPr>
              <w:spacing w:after="0"/>
              <w:rPr>
                <w:sz w:val="24"/>
                <w:szCs w:val="24"/>
                <w:color w:val="auto"/>
              </w:rPr>
            </w:pPr>
          </w:p>
        </w:tc>
        <w:tc>
          <w:tcPr>
            <w:tcW w:w="480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24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280" w:type="dxa"/>
            <w:vAlign w:val="bottom"/>
          </w:tcPr>
          <w:p>
            <w:pPr>
              <w:spacing w:after="0"/>
              <w:rPr>
                <w:sz w:val="19"/>
                <w:szCs w:val="19"/>
                <w:color w:val="auto"/>
              </w:rPr>
            </w:pP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April 3, 2021</w:t>
            </w: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702,266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984,294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1,053,690</w:t>
            </w:r>
          </w:p>
        </w:tc>
      </w:tr>
      <w:tr>
        <w:trPr>
          <w:trHeight w:val="202"/>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$5,766, $7,281, and</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4"/>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$6,695, respectively</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240,212</w:t>
            </w:r>
          </w:p>
        </w:tc>
      </w:tr>
      <w:tr>
        <w:trPr>
          <w:trHeight w:val="212"/>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Finished goods inventories, net of inventory reserves of $11,307, $14,378, and</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43"/>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$15,581, respectively</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647,742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560,683</w:t>
            </w:r>
          </w:p>
        </w:tc>
      </w:tr>
      <w:tr>
        <w:trPr>
          <w:trHeight w:val="237"/>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64,389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50,131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63,290</w:t>
            </w:r>
          </w:p>
        </w:tc>
      </w:tr>
      <w:tr>
        <w:trPr>
          <w:trHeight w:val="243"/>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1,712,078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1,913,521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1,917,875</w:t>
            </w:r>
          </w:p>
        </w:tc>
      </w:tr>
      <w:tr>
        <w:trPr>
          <w:trHeight w:val="202"/>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$536,580,</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$528,926, and $557,608, respectively</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248,799</w:t>
            </w:r>
          </w:p>
        </w:tc>
      </w:tr>
      <w:tr>
        <w:trPr>
          <w:trHeight w:val="25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487,748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559,391</w:t>
            </w: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Tradenames, net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307,830</w:t>
            </w:r>
          </w:p>
        </w:tc>
      </w:tr>
      <w:tr>
        <w:trPr>
          <w:trHeight w:val="25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212,271</w:t>
            </w: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36,596</w:t>
            </w:r>
          </w:p>
        </w:tc>
      </w:tr>
      <w:tr>
        <w:trPr>
          <w:trHeight w:val="24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27,711</w:t>
            </w:r>
          </w:p>
        </w:tc>
      </w:tr>
      <w:tr>
        <w:trPr>
          <w:trHeight w:val="243"/>
        </w:trPr>
        <w:tc>
          <w:tcPr>
            <w:tcW w:w="5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2,961,281</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3,201,797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3,310,473</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29"/>
        </w:trPr>
        <w:tc>
          <w:tcPr>
            <w:tcW w:w="5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284,034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407,044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334,831</w:t>
            </w:r>
          </w:p>
        </w:tc>
      </w:tr>
      <w:tr>
        <w:trPr>
          <w:trHeight w:val="253"/>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172,117</w:t>
            </w:r>
          </w:p>
        </w:tc>
      </w:tr>
      <w:tr>
        <w:trPr>
          <w:trHeight w:val="24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111,078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176,449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149,911</w:t>
            </w:r>
          </w:p>
        </w:tc>
      </w:tr>
      <w:tr>
        <w:trPr>
          <w:trHeight w:val="233"/>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1,037,678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731,030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656,859</w:t>
            </w:r>
          </w:p>
        </w:tc>
      </w:tr>
      <w:tr>
        <w:trPr>
          <w:trHeight w:val="25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496,104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991,370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989,980</w:t>
            </w: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56,990</w:t>
            </w:r>
          </w:p>
        </w:tc>
      </w:tr>
      <w:tr>
        <w:trPr>
          <w:trHeight w:val="25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441,861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517,875</w:t>
            </w:r>
          </w:p>
        </w:tc>
      </w:tr>
      <w:tr>
        <w:trPr>
          <w:trHeight w:val="23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44,266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46,440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59,160</w:t>
            </w:r>
          </w:p>
        </w:tc>
      </w:tr>
      <w:tr>
        <w:trPr>
          <w:trHeight w:val="243"/>
        </w:trPr>
        <w:tc>
          <w:tcPr>
            <w:tcW w:w="54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2,045,991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2,251,611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2,280,864</w:t>
            </w:r>
          </w:p>
        </w:tc>
      </w:tr>
      <w:tr>
        <w:trPr>
          <w:trHeight w:val="162"/>
        </w:trPr>
        <w:tc>
          <w:tcPr>
            <w:tcW w:w="5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 Note 14</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162"/>
        </w:trPr>
        <w:tc>
          <w:tcPr>
            <w:tcW w:w="5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02"/>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par value $0.01 per share;100,000 shares authorized; none issued</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 outstanding at April 2, 2022, January 1, 2022, and April 3, 2021</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voting; par value $0.01 per share; 150,000,000 shares authorized;</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40,555,922, 41,148,870, and 43,947,659 shares issued and outstanding at April 2,</w:t>
            </w: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January 1, 2022, and April 3, 2021, respectively</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21,904</w:t>
            </w:r>
          </w:p>
        </w:tc>
      </w:tr>
      <w:tr>
        <w:trPr>
          <w:trHeight w:val="25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(31,534)</w:t>
            </w:r>
          </w:p>
        </w:tc>
      </w:tr>
      <w:tr>
        <w:trPr>
          <w:trHeight w:val="23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940,999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978,672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1,038,799</w:t>
            </w:r>
          </w:p>
        </w:tc>
      </w:tr>
      <w:tr>
        <w:trPr>
          <w:trHeight w:val="237"/>
        </w:trPr>
        <w:tc>
          <w:tcPr>
            <w:tcW w:w="54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915,290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950,186</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1,029,609</w:t>
            </w:r>
          </w:p>
        </w:tc>
      </w:tr>
      <w:tr>
        <w:trPr>
          <w:trHeight w:val="243"/>
        </w:trPr>
        <w:tc>
          <w:tcPr>
            <w:tcW w:w="5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2,961,281</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3,201,797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3,310,473</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240"/>
          </w:cols>
          <w:pgMar w:left="320" w:top="819"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37"/>
        </w:trPr>
        <w:tc>
          <w:tcPr>
            <w:tcW w:w="7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280" w:type="dxa"/>
            <w:vAlign w:val="bottom"/>
          </w:tcPr>
          <w:p>
            <w:pPr>
              <w:spacing w:after="0"/>
              <w:rPr>
                <w:sz w:val="20"/>
                <w:szCs w:val="20"/>
                <w:color w:val="auto"/>
              </w:rPr>
            </w:pP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April 3, 2021</w:t>
            </w:r>
          </w:p>
        </w:tc>
      </w:tr>
      <w:tr>
        <w:trPr>
          <w:trHeight w:val="24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781,284</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787,361</w:t>
            </w: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401,731</w:t>
            </w:r>
          </w:p>
        </w:tc>
      </w:tr>
      <w:tr>
        <w:trPr>
          <w:trHeight w:val="24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Adverse purchase commitments (inventory and raw materials), net</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(6,330)</w:t>
            </w: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391,960</w:t>
            </w:r>
          </w:p>
        </w:tc>
      </w:tr>
      <w:tr>
        <w:trPr>
          <w:trHeight w:val="25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7,463</w:t>
            </w:r>
          </w:p>
        </w:tc>
      </w:tr>
      <w:tr>
        <w:trPr>
          <w:trHeight w:val="237"/>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259,893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271,927</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102,623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127,496</w:t>
            </w: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15,348</w:t>
            </w:r>
          </w:p>
        </w:tc>
      </w:tr>
      <w:tr>
        <w:trPr>
          <w:trHeight w:val="25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37"/>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88,341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113,290</w:t>
            </w:r>
          </w:p>
        </w:tc>
      </w:tr>
      <w:tr>
        <w:trPr>
          <w:trHeight w:val="237"/>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20,408</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27,094</w:t>
            </w: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86,196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Pr>
          <w:p>
            <w:pPr>
              <w:spacing w:after="0"/>
              <w:rPr>
                <w:sz w:val="9"/>
                <w:szCs w:val="9"/>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5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37"/>
        </w:trPr>
        <w:tc>
          <w:tcPr>
            <w:tcW w:w="7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280" w:type="dxa"/>
            <w:vAlign w:val="bottom"/>
          </w:tcPr>
          <w:p>
            <w:pPr>
              <w:spacing w:after="0"/>
              <w:rPr>
                <w:sz w:val="20"/>
                <w:szCs w:val="20"/>
                <w:color w:val="auto"/>
              </w:rPr>
            </w:pP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April 3, 2021</w:t>
            </w:r>
          </w:p>
        </w:tc>
      </w:tr>
      <w:tr>
        <w:trPr>
          <w:trHeight w:val="24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86,196</w:t>
            </w: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70,715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87,422</w:t>
            </w:r>
          </w:p>
        </w:tc>
      </w:tr>
      <w:tr>
        <w:trPr>
          <w:trHeight w:val="21"/>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amounts in thousands, except share amounts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89"/>
        </w:trPr>
        <w:tc>
          <w:tcPr>
            <w:tcW w:w="334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39"/>
        </w:trPr>
        <w:tc>
          <w:tcPr>
            <w:tcW w:w="334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280" w:type="dxa"/>
            <w:vAlign w:val="bottom"/>
          </w:tcPr>
          <w:p>
            <w:pPr>
              <w:spacing w:after="0"/>
              <w:rPr>
                <w:sz w:val="20"/>
                <w:szCs w:val="20"/>
                <w:color w:val="auto"/>
              </w:rPr>
            </w:pPr>
          </w:p>
        </w:tc>
        <w:tc>
          <w:tcPr>
            <w:tcW w:w="8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w:t>
            </w:r>
          </w:p>
        </w:tc>
        <w:tc>
          <w:tcPr>
            <w:tcW w:w="10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20"/>
                <w:szCs w:val="20"/>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equity</w:t>
            </w:r>
          </w:p>
        </w:tc>
      </w:tr>
      <w:tr>
        <w:trPr>
          <w:trHeight w:val="24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2,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43,780,075</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17,752</w:t>
            </w:r>
          </w:p>
        </w:tc>
        <w:tc>
          <w:tcPr>
            <w:tcW w:w="1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(32,760)</w:t>
            </w:r>
          </w:p>
        </w:tc>
        <w:tc>
          <w:tcPr>
            <w:tcW w:w="1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952,603</w:t>
            </w:r>
          </w:p>
        </w:tc>
        <w:tc>
          <w:tcPr>
            <w:tcW w:w="1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938,033</w:t>
            </w:r>
          </w:p>
        </w:tc>
      </w:tr>
      <w:tr>
        <w:trPr>
          <w:trHeight w:val="23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r>
      <w:tr>
        <w:trPr>
          <w:trHeight w:val="23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w:t>
            </w:r>
          </w:p>
        </w:tc>
      </w:tr>
      <w:tr>
        <w:trPr>
          <w:trHeight w:val="236"/>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87,422</w:t>
            </w:r>
          </w:p>
        </w:tc>
      </w:tr>
      <w:tr>
        <w:trPr>
          <w:trHeight w:val="26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3,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43,947,659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1,029,609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89"/>
        </w:trPr>
        <w:tc>
          <w:tcPr>
            <w:tcW w:w="334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39"/>
        </w:trPr>
        <w:tc>
          <w:tcPr>
            <w:tcW w:w="334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280" w:type="dxa"/>
            <w:vAlign w:val="bottom"/>
          </w:tcPr>
          <w:p>
            <w:pPr>
              <w:spacing w:after="0"/>
              <w:rPr>
                <w:sz w:val="20"/>
                <w:szCs w:val="20"/>
                <w:color w:val="auto"/>
              </w:rPr>
            </w:pPr>
          </w:p>
        </w:tc>
        <w:tc>
          <w:tcPr>
            <w:tcW w:w="8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w:t>
            </w:r>
          </w:p>
        </w:tc>
        <w:tc>
          <w:tcPr>
            <w:tcW w:w="10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20"/>
                <w:szCs w:val="20"/>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equity</w:t>
            </w:r>
          </w:p>
        </w:tc>
      </w:tr>
      <w:tr>
        <w:trPr>
          <w:trHeight w:val="24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41,148,870</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(28,897)</w:t>
            </w:r>
          </w:p>
        </w:tc>
        <w:tc>
          <w:tcPr>
            <w:tcW w:w="1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978,672</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950,186</w:t>
            </w:r>
          </w:p>
        </w:tc>
      </w:tr>
      <w:tr>
        <w:trPr>
          <w:trHeight w:val="23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(70,452)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r>
      <w:tr>
        <w:trPr>
          <w:trHeight w:val="23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r>
      <w:tr>
        <w:trPr>
          <w:trHeight w:val="23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(793,008)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(74,496)</w:t>
            </w:r>
          </w:p>
        </w:tc>
      </w:tr>
      <w:tr>
        <w:trPr>
          <w:trHeight w:val="21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and paid of $0.75 per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(30,573)</w:t>
            </w:r>
          </w:p>
        </w:tc>
      </w:tr>
      <w:tr>
        <w:trPr>
          <w:trHeight w:val="236"/>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70,715</w:t>
            </w:r>
          </w:p>
        </w:tc>
      </w:tr>
      <w:tr>
        <w:trPr>
          <w:trHeight w:val="26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2,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40,555,922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940,999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915,290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37"/>
        </w:trPr>
        <w:tc>
          <w:tcPr>
            <w:tcW w:w="7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280" w:type="dxa"/>
            <w:vAlign w:val="bottom"/>
          </w:tcPr>
          <w:p>
            <w:pPr>
              <w:spacing w:after="0"/>
              <w:rPr>
                <w:sz w:val="20"/>
                <w:szCs w:val="20"/>
                <w:color w:val="auto"/>
              </w:rPr>
            </w:pP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April 3, 2021</w:t>
            </w:r>
          </w:p>
        </w:tc>
      </w:tr>
      <w:tr>
        <w:trPr>
          <w:trHeight w:val="229"/>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86,196</w:t>
            </w:r>
          </w:p>
        </w:tc>
      </w:tr>
      <w:tr>
        <w:trPr>
          <w:trHeight w:val="25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operating activities: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23,183</w:t>
            </w:r>
          </w:p>
        </w:tc>
      </w:tr>
      <w:tr>
        <w:trPr>
          <w:trHeight w:val="25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r>
      <w:tr>
        <w:trPr>
          <w:trHeight w:val="23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(Recoveries of) provisions for excess and obsolete inventory, net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r>
      <w:tr>
        <w:trPr>
          <w:trHeight w:val="25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 impairments and loss (gain) on disposal of property, plant and equipment, net of recoveries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5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w:t>
            </w:r>
          </w:p>
        </w:tc>
      </w:tr>
      <w:tr>
        <w:trPr>
          <w:trHeight w:val="23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foreign currency exchange (gain) loss, net</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5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(Recoveries of) provisions for doubtful accounts receivable from customers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r>
      <w:tr>
        <w:trPr>
          <w:trHeight w:val="23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loss (gain) on investments</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5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w:t>
            </w:r>
          </w:p>
        </w:tc>
      </w:tr>
      <w:tr>
        <w:trPr>
          <w:trHeight w:val="23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Effect of changes in operating assets and liabilities:</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(54,484)</w:t>
            </w:r>
          </w:p>
        </w:tc>
      </w:tr>
      <w:tr>
        <w:trPr>
          <w:trHeight w:val="233"/>
        </w:trPr>
        <w:tc>
          <w:tcPr>
            <w:tcW w:w="7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37,812</w:t>
            </w:r>
          </w:p>
        </w:tc>
      </w:tr>
      <w:tr>
        <w:trPr>
          <w:trHeight w:val="253"/>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w:t>
            </w:r>
          </w:p>
        </w:tc>
      </w:tr>
      <w:tr>
        <w:trPr>
          <w:trHeight w:val="236"/>
        </w:trPr>
        <w:tc>
          <w:tcPr>
            <w:tcW w:w="7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(142,171)</w:t>
            </w:r>
          </w:p>
        </w:tc>
      </w:tr>
      <w:tr>
        <w:trPr>
          <w:trHeight w:val="236"/>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(163,807)</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(39,530)</w:t>
            </w:r>
          </w:p>
        </w:tc>
      </w:tr>
      <w:tr>
        <w:trPr>
          <w:trHeight w:val="148"/>
        </w:trPr>
        <w:tc>
          <w:tcPr>
            <w:tcW w:w="7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(11,665)</w:t>
            </w:r>
          </w:p>
        </w:tc>
      </w:tr>
      <w:tr>
        <w:trPr>
          <w:trHeight w:val="24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37"/>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(7,652)</w:t>
            </w:r>
          </w:p>
        </w:tc>
        <w:tc>
          <w:tcPr>
            <w:tcW w:w="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(6,665)</w:t>
            </w:r>
          </w:p>
        </w:tc>
      </w:tr>
      <w:tr>
        <w:trPr>
          <w:trHeight w:val="148"/>
        </w:trPr>
        <w:tc>
          <w:tcPr>
            <w:tcW w:w="7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Withholdings from vesting of restricted stock</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w:t>
            </w:r>
          </w:p>
        </w:tc>
      </w:tr>
      <w:tr>
        <w:trPr>
          <w:trHeight w:val="24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36"/>
        </w:trPr>
        <w:tc>
          <w:tcPr>
            <w:tcW w:w="74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(111,473)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(2,777)</w:t>
            </w:r>
          </w:p>
        </w:tc>
      </w:tr>
      <w:tr>
        <w:trPr>
          <w:trHeight w:val="149"/>
        </w:trPr>
        <w:tc>
          <w:tcPr>
            <w:tcW w:w="7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236"/>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effect of exchange rate changes on cash and cash equivalents</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(48,633)</w:t>
            </w:r>
          </w:p>
        </w:tc>
      </w:tr>
      <w:tr>
        <w:trPr>
          <w:trHeight w:val="237"/>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984,294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1,102,323</w:t>
            </w: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702,266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1,053,690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Carter’s, Inc. and its wholly owned subsidiaries (collectively, the “Company”) design, source, and market branded childrenswear under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OshKosh, Skip Hop, Child of Mine, Just One You, Simple Joys, Carter’s My First Love, Little Planet, </w:t>
      </w:r>
      <w:r>
        <w:rPr>
          <w:rFonts w:ascii="Times New Roman" w:cs="Times New Roman" w:eastAsia="Times New Roman" w:hAnsi="Times New Roman"/>
          <w:sz w:val="18"/>
          <w:szCs w:val="18"/>
          <w:color w:val="auto"/>
        </w:rPr>
        <w:t>and other brands. The Company’s products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4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ended April 2, 2022 are not necessarily indicative of the results that may be expected for the current fiscal year ending December 31, 2022.</w:t>
      </w:r>
    </w:p>
    <w:p>
      <w:pPr>
        <w:spacing w:after="0" w:line="14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January 1, 2022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its most recently filed Annual Report on Form 10-K. There have been no material changes to these accounting policies.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9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sells its products directly to consumers (“direct-to-consumer”) and to other retail companies and partners that subsequently sell the products directly to their own retail customers. The Company also earns royalties from certain of its licensees. Disaggregated revenues from these sources for the first quarter of fiscal 2022 and 2021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6"/>
                <w:szCs w:val="16"/>
                <w:b w:val="1"/>
                <w:bCs w:val="1"/>
                <w:color w:val="auto"/>
              </w:rPr>
              <w:t>Fiscal quarter ended April 2, 2022</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189"/>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6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6"/>
                <w:szCs w:val="16"/>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36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6"/>
                <w:szCs w:val="16"/>
                <w:color w:val="auto"/>
              </w:rPr>
            </w:pP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4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307,301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50,432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357,733</w:t>
            </w:r>
          </w:p>
        </w:tc>
      </w:tr>
      <w:tr>
        <w:trPr>
          <w:trHeight w:val="236"/>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4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366,358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57,193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423,551</w:t>
            </w:r>
          </w:p>
        </w:tc>
      </w:tr>
      <w:tr>
        <w:trPr>
          <w:trHeight w:val="261"/>
        </w:trPr>
        <w:tc>
          <w:tcPr>
            <w:tcW w:w="436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307,301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107,625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781,284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6"/>
        </w:trPr>
        <w:tc>
          <w:tcPr>
            <w:tcW w:w="4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7,474</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6"/>
                <w:szCs w:val="16"/>
                <w:b w:val="1"/>
                <w:bCs w:val="1"/>
                <w:color w:val="auto"/>
              </w:rPr>
              <w:t>Fiscal quarter ended April 3, 2021</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189"/>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6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6"/>
                <w:szCs w:val="16"/>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36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6"/>
                <w:szCs w:val="16"/>
                <w:color w:val="auto"/>
              </w:rPr>
            </w:pP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4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283,377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42,792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326,169</w:t>
            </w:r>
          </w:p>
        </w:tc>
      </w:tr>
      <w:tr>
        <w:trPr>
          <w:trHeight w:val="23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4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407,067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54,125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461,192</w:t>
            </w:r>
          </w:p>
        </w:tc>
      </w:tr>
      <w:tr>
        <w:trPr>
          <w:trHeight w:val="262"/>
        </w:trPr>
        <w:tc>
          <w:tcPr>
            <w:tcW w:w="436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283,377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96,917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787,361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5"/>
        </w:trPr>
        <w:tc>
          <w:tcPr>
            <w:tcW w:w="4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7,463</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from Customers and Licensees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Accounts receivable, net, were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9"/>
                <w:szCs w:val="19"/>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320" w:type="dxa"/>
            <w:vAlign w:val="bottom"/>
          </w:tcPr>
          <w:p>
            <w:pPr>
              <w:spacing w:after="0"/>
              <w:rPr>
                <w:sz w:val="19"/>
                <w:szCs w:val="19"/>
                <w:color w:val="auto"/>
              </w:rPr>
            </w:pPr>
          </w:p>
        </w:tc>
        <w:tc>
          <w:tcPr>
            <w:tcW w:w="16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April 3, 2021</w:t>
            </w:r>
          </w:p>
        </w:tc>
      </w:tr>
      <w:tr>
        <w:trPr>
          <w:trHeight w:val="24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from wholesale customers, net</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266,970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233,928</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234,643</w:t>
            </w:r>
          </w:p>
        </w:tc>
      </w:tr>
      <w:tr>
        <w:trPr>
          <w:trHeight w:val="23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 receivable</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7,090</w:t>
            </w:r>
          </w:p>
        </w:tc>
      </w:tr>
      <w:tr>
        <w:trPr>
          <w:trHeight w:val="24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allowances and other receivables</w:t>
            </w:r>
          </w:p>
        </w:tc>
        <w:tc>
          <w:tcPr>
            <w:tcW w:w="3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11,664</w:t>
            </w:r>
          </w:p>
        </w:tc>
      </w:tr>
      <w:tr>
        <w:trPr>
          <w:trHeight w:val="23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receivables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283,175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250,049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253,397</w:t>
            </w:r>
          </w:p>
        </w:tc>
      </w:tr>
      <w:tr>
        <w:trPr>
          <w:trHeight w:val="25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Wholesale accounts receivable reserves</w:t>
            </w:r>
            <w:r>
              <w:rPr>
                <w:rFonts w:ascii="Times New Roman" w:cs="Times New Roman" w:eastAsia="Times New Roman" w:hAnsi="Times New Roman"/>
                <w:sz w:val="21"/>
                <w:szCs w:val="21"/>
                <w:color w:val="auto"/>
                <w:vertAlign w:val="superscript"/>
              </w:rPr>
              <w:t>(*)</w:t>
            </w:r>
          </w:p>
        </w:tc>
        <w:tc>
          <w:tcPr>
            <w:tcW w:w="3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(13,185)</w:t>
            </w:r>
          </w:p>
        </w:tc>
      </w:tr>
      <w:tr>
        <w:trPr>
          <w:trHeight w:val="23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265,694</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231,354</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240,212</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allowance for credit losses of $5.8 million, $7.3 million, and $6.7 million for the periods ended April 2, 2022, January 1, 2022, and April 3, 2021,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assets are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6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Pr>
          <w:p>
            <w:pPr>
              <w:spacing w:after="0"/>
              <w:rPr>
                <w:sz w:val="19"/>
                <w:szCs w:val="19"/>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260" w:type="dxa"/>
            <w:vAlign w:val="bottom"/>
          </w:tcPr>
          <w:p>
            <w:pPr>
              <w:spacing w:after="0"/>
              <w:rPr>
                <w:sz w:val="19"/>
                <w:szCs w:val="19"/>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320" w:type="dxa"/>
            <w:vAlign w:val="bottom"/>
          </w:tcPr>
          <w:p>
            <w:pPr>
              <w:spacing w:after="0"/>
              <w:rPr>
                <w:sz w:val="19"/>
                <w:szCs w:val="19"/>
                <w:color w:val="auto"/>
              </w:rPr>
            </w:pPr>
          </w:p>
        </w:tc>
        <w:tc>
          <w:tcPr>
            <w:tcW w:w="16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April 3, 2021</w:t>
            </w:r>
          </w:p>
        </w:tc>
      </w:tr>
      <w:tr>
        <w:trPr>
          <w:trHeight w:val="22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3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r>
      <w:tr>
        <w:trPr>
          <w:trHeight w:val="23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Unredeemed gift cards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21,026</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21,619</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17,426</w:t>
            </w:r>
          </w:p>
        </w:tc>
      </w:tr>
      <w:tr>
        <w:trPr>
          <w:trHeight w:val="25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Unredeemed customer loyalty rewards</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5,893</w:t>
            </w:r>
          </w:p>
        </w:tc>
      </w:tr>
      <w:tr>
        <w:trPr>
          <w:trHeight w:val="243"/>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Carter’s credit card - upfront bonus</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61"/>
        </w:trPr>
        <w:tc>
          <w:tcPr>
            <w:tcW w:w="5140" w:type="dxa"/>
            <w:vAlign w:val="bottom"/>
            <w:tcBorders>
              <w:bottom w:val="single" w:sz="8" w:color="CCEEFF"/>
            </w:tcBorders>
            <w:shd w:val="clear" w:color="auto" w:fill="CCEEFF"/>
          </w:tcPr>
          <w:p>
            <w:pPr>
              <w:ind w:left="480"/>
              <w:spacing w:after="0" w:line="237" w:lineRule="exact"/>
              <w:rPr>
                <w:sz w:val="20"/>
                <w:szCs w:val="20"/>
                <w:color w:val="auto"/>
              </w:rPr>
            </w:pPr>
            <w:r>
              <w:rPr>
                <w:rFonts w:ascii="Times New Roman" w:cs="Times New Roman" w:eastAsia="Times New Roman" w:hAnsi="Times New Roman"/>
                <w:sz w:val="16"/>
                <w:szCs w:val="16"/>
                <w:color w:val="auto"/>
              </w:rPr>
              <w:t>Total contract liabilities - current</w:t>
            </w:r>
            <w:r>
              <w:rPr>
                <w:rFonts w:ascii="Times New Roman" w:cs="Times New Roman" w:eastAsia="Times New Roman" w:hAnsi="Times New Roman"/>
                <w:sz w:val="21"/>
                <w:szCs w:val="21"/>
                <w:color w:val="auto"/>
                <w:vertAlign w:val="superscript"/>
              </w:rPr>
              <w:t>(2)</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24,033</w:t>
            </w:r>
          </w:p>
        </w:tc>
      </w:tr>
      <w:tr>
        <w:trPr>
          <w:trHeight w:val="21"/>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4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 - non-current</w:t>
            </w:r>
            <w:r>
              <w:rPr>
                <w:rFonts w:ascii="Times New Roman" w:cs="Times New Roman" w:eastAsia="Times New Roman" w:hAnsi="Times New Roman"/>
                <w:sz w:val="21"/>
                <w:szCs w:val="21"/>
                <w:color w:val="auto"/>
                <w:vertAlign w:val="superscript"/>
              </w:rPr>
              <w:t>(3)</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r>
      <w:tr>
        <w:trPr>
          <w:trHeight w:val="236"/>
        </w:trPr>
        <w:tc>
          <w:tcPr>
            <w:tcW w:w="51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29,508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30,135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26,712</w:t>
            </w:r>
          </w:p>
        </w:tc>
      </w:tr>
      <w:tr>
        <w:trPr>
          <w:trHeight w:val="21"/>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240" w:hanging="332"/>
        <w:spacing w:after="0" w:line="301"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 Other current liabilities on the Company’s consolidated balance sheet.</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the non-current portion of the Carter’s credit card upfront bonus.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retail stores, distribution centers, corporate offices, data centers, and certain equipment. The Company’s leases generally have initial terms ranging from 1 year to 10 years, some of which may include options to extend the leases for up to 5 years, and some of which may include options to early terminate the lease.</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the periods presented, the Company’s finance leases were not material to the consolidated balance sheets, consolidated statements of operations, or statements of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components of lease expense are included in Selling, general and administrative expenses on the Company’s consolidated statements of operations for the first quarter of fiscal 2022 and 2021:</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7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3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20"/>
                <w:szCs w:val="20"/>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300" w:type="dxa"/>
            <w:vAlign w:val="bottom"/>
          </w:tcPr>
          <w:p>
            <w:pPr>
              <w:spacing w:after="0"/>
              <w:rPr>
                <w:sz w:val="20"/>
                <w:szCs w:val="20"/>
                <w:color w:val="auto"/>
              </w:rPr>
            </w:pPr>
          </w:p>
        </w:tc>
        <w:tc>
          <w:tcPr>
            <w:tcW w:w="15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April 3, 2021</w:t>
            </w:r>
          </w:p>
        </w:tc>
      </w:tr>
      <w:tr>
        <w:trPr>
          <w:trHeight w:val="24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39,457</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42,698</w:t>
            </w:r>
          </w:p>
        </w:tc>
      </w:tr>
      <w:tr>
        <w:trPr>
          <w:trHeight w:val="24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 lease cost</w:t>
            </w:r>
            <w:r>
              <w:rPr>
                <w:rFonts w:ascii="Times New Roman" w:cs="Times New Roman" w:eastAsia="Times New Roman" w:hAnsi="Times New Roman"/>
                <w:sz w:val="21"/>
                <w:szCs w:val="21"/>
                <w:color w:val="auto"/>
                <w:vertAlign w:val="superscript"/>
              </w:rPr>
              <w:t>(*)</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16,398</w:t>
            </w:r>
          </w:p>
        </w:tc>
      </w:tr>
      <w:tr>
        <w:trPr>
          <w:trHeight w:val="262"/>
        </w:trPr>
        <w:tc>
          <w:tcPr>
            <w:tcW w:w="7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lease cost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not material, and operating lease impairment charges.</w:t>
      </w:r>
    </w:p>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April 2, 2022, the weighted average remaining operating lease term was 4.8 years, and the weighted average discount rate for operating leases was 3.26%.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in the first quarter of fiscal 2022 was $43.3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 in the first quarter of fiscal 2022 were $16.3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 2022, the maturities of lease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0" w:type="dxa"/>
            <w:vAlign w:val="bottom"/>
          </w:tcPr>
          <w:p>
            <w:pPr>
              <w:spacing w:after="0"/>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124,582</w:t>
            </w:r>
          </w:p>
        </w:tc>
        <w:tc>
          <w:tcPr>
            <w:tcW w:w="0" w:type="dxa"/>
            <w:vAlign w:val="bottom"/>
          </w:tcPr>
          <w:p>
            <w:pPr>
              <w:spacing w:after="0"/>
              <w:rPr>
                <w:sz w:val="1"/>
                <w:szCs w:val="1"/>
                <w:color w:val="auto"/>
              </w:rPr>
            </w:pPr>
          </w:p>
        </w:tc>
      </w:tr>
      <w:tr>
        <w:trPr>
          <w:trHeight w:val="23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146,425</w:t>
            </w:r>
          </w:p>
        </w:tc>
        <w:tc>
          <w:tcPr>
            <w:tcW w:w="0" w:type="dxa"/>
            <w:vAlign w:val="bottom"/>
          </w:tcPr>
          <w:p>
            <w:pPr>
              <w:spacing w:after="0"/>
              <w:rPr>
                <w:sz w:val="1"/>
                <w:szCs w:val="1"/>
                <w:color w:val="auto"/>
              </w:rPr>
            </w:pPr>
          </w:p>
        </w:tc>
      </w:tr>
      <w:tr>
        <w:trPr>
          <w:trHeight w:val="25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116,999</w:t>
            </w:r>
          </w:p>
        </w:tc>
        <w:tc>
          <w:tcPr>
            <w:tcW w:w="0" w:type="dxa"/>
            <w:vAlign w:val="bottom"/>
          </w:tcPr>
          <w:p>
            <w:pPr>
              <w:spacing w:after="0"/>
              <w:rPr>
                <w:sz w:val="1"/>
                <w:szCs w:val="1"/>
                <w:color w:val="auto"/>
              </w:rPr>
            </w:pPr>
          </w:p>
        </w:tc>
      </w:tr>
      <w:tr>
        <w:trPr>
          <w:trHeight w:val="23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83,204</w:t>
            </w:r>
          </w:p>
        </w:tc>
        <w:tc>
          <w:tcPr>
            <w:tcW w:w="0" w:type="dxa"/>
            <w:vAlign w:val="bottom"/>
          </w:tcPr>
          <w:p>
            <w:pPr>
              <w:spacing w:after="0"/>
              <w:rPr>
                <w:sz w:val="1"/>
                <w:szCs w:val="1"/>
                <w:color w:val="auto"/>
              </w:rPr>
            </w:pPr>
          </w:p>
        </w:tc>
      </w:tr>
      <w:tr>
        <w:trPr>
          <w:trHeight w:val="25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58,830</w:t>
            </w:r>
          </w:p>
        </w:tc>
        <w:tc>
          <w:tcPr>
            <w:tcW w:w="0" w:type="dxa"/>
            <w:vAlign w:val="bottom"/>
          </w:tcPr>
          <w:p>
            <w:pPr>
              <w:spacing w:after="0"/>
              <w:rPr>
                <w:sz w:val="1"/>
                <w:szCs w:val="1"/>
                <w:color w:val="auto"/>
              </w:rPr>
            </w:pPr>
          </w:p>
        </w:tc>
      </w:tr>
      <w:tr>
        <w:trPr>
          <w:trHeight w:val="23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36,730</w:t>
            </w:r>
          </w:p>
        </w:tc>
        <w:tc>
          <w:tcPr>
            <w:tcW w:w="0" w:type="dxa"/>
            <w:vAlign w:val="bottom"/>
          </w:tcPr>
          <w:p>
            <w:pPr>
              <w:spacing w:after="0"/>
              <w:rPr>
                <w:sz w:val="1"/>
                <w:szCs w:val="1"/>
                <w:color w:val="auto"/>
              </w:rPr>
            </w:pPr>
          </w:p>
        </w:tc>
      </w:tr>
      <w:tr>
        <w:trPr>
          <w:trHeight w:val="24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After 2027</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48,044</w:t>
            </w:r>
          </w:p>
        </w:tc>
        <w:tc>
          <w:tcPr>
            <w:tcW w:w="0" w:type="dxa"/>
            <w:vAlign w:val="bottom"/>
          </w:tcPr>
          <w:p>
            <w:pPr>
              <w:spacing w:after="0"/>
              <w:rPr>
                <w:sz w:val="1"/>
                <w:szCs w:val="1"/>
                <w:color w:val="auto"/>
              </w:rPr>
            </w:pPr>
          </w:p>
        </w:tc>
      </w:tr>
      <w:tr>
        <w:trPr>
          <w:trHeight w:val="23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614,814</w:t>
            </w:r>
          </w:p>
        </w:tc>
        <w:tc>
          <w:tcPr>
            <w:tcW w:w="0" w:type="dxa"/>
            <w:vAlign w:val="bottom"/>
          </w:tcPr>
          <w:p>
            <w:pPr>
              <w:spacing w:after="0"/>
              <w:rPr>
                <w:sz w:val="1"/>
                <w:szCs w:val="1"/>
                <w:color w:val="auto"/>
              </w:rPr>
            </w:pPr>
          </w:p>
        </w:tc>
      </w:tr>
      <w:tr>
        <w:trPr>
          <w:trHeight w:val="25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(48,498)</w:t>
            </w:r>
          </w:p>
        </w:tc>
        <w:tc>
          <w:tcPr>
            <w:tcW w:w="0" w:type="dxa"/>
            <w:vAlign w:val="bottom"/>
          </w:tcPr>
          <w:p>
            <w:pPr>
              <w:spacing w:after="0"/>
              <w:rPr>
                <w:sz w:val="1"/>
                <w:szCs w:val="1"/>
                <w:color w:val="auto"/>
              </w:rPr>
            </w:pPr>
          </w:p>
        </w:tc>
      </w:tr>
      <w:tr>
        <w:trPr>
          <w:trHeight w:val="274"/>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r>
              <w:rPr>
                <w:rFonts w:ascii="Times New Roman" w:cs="Times New Roman" w:eastAsia="Times New Roman" w:hAnsi="Times New Roman"/>
                <w:sz w:val="21"/>
                <w:szCs w:val="21"/>
                <w:color w:val="auto"/>
                <w:vertAlign w:val="superscript"/>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566,316</w:t>
            </w:r>
          </w:p>
        </w:tc>
        <w:tc>
          <w:tcPr>
            <w:tcW w:w="0" w:type="dxa"/>
            <w:vAlign w:val="bottom"/>
          </w:tcPr>
          <w:p>
            <w:pPr>
              <w:spacing w:after="0"/>
              <w:rPr>
                <w:sz w:val="1"/>
                <w:szCs w:val="1"/>
                <w:color w:val="auto"/>
              </w:rPr>
            </w:pPr>
          </w:p>
        </w:tc>
      </w:tr>
      <w:tr>
        <w:trPr>
          <w:trHeight w:val="109"/>
        </w:trPr>
        <w:tc>
          <w:tcPr>
            <w:tcW w:w="960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80" w:hanging="332"/>
        <w:spacing w:after="0" w:line="30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most of our leases do not provide an implicit rate, we use our incremental borrowing rate based on the information available at commencement date to determine the present value of lease payments.</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April 2, 2022, the minimum rental commitments for additional operating lease contracts, primarily for retail stores, that have not yet commenced are $9.7 million. These operating leases will commence between fiscal year 2022 and fiscal year 2023 with lease terms of 3 years to 10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ACCUMULATED OTHER COMPREHENSIVE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consisted of the following:</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2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9"/>
                <w:szCs w:val="19"/>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260" w:type="dxa"/>
            <w:vAlign w:val="bottom"/>
          </w:tcPr>
          <w:p>
            <w:pPr>
              <w:spacing w:after="0"/>
              <w:rPr>
                <w:sz w:val="19"/>
                <w:szCs w:val="19"/>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300" w:type="dxa"/>
            <w:vAlign w:val="bottom"/>
          </w:tcPr>
          <w:p>
            <w:pPr>
              <w:spacing w:after="0"/>
              <w:rPr>
                <w:sz w:val="19"/>
                <w:szCs w:val="19"/>
                <w:color w:val="auto"/>
              </w:rPr>
            </w:pPr>
          </w:p>
        </w:tc>
        <w:tc>
          <w:tcPr>
            <w:tcW w:w="16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April 3, 2021</w:t>
            </w:r>
          </w:p>
        </w:tc>
      </w:tr>
      <w:tr>
        <w:trPr>
          <w:trHeight w:val="243"/>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Cumulative foreign currency translation adjustments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(20,081)</w:t>
            </w:r>
          </w:p>
        </w:tc>
      </w:tr>
      <w:tr>
        <w:trPr>
          <w:trHeight w:val="243"/>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Pension and post-retirement obligations</w:t>
            </w:r>
            <w:r>
              <w:rPr>
                <w:rFonts w:ascii="Times New Roman" w:cs="Times New Roman" w:eastAsia="Times New Roman" w:hAnsi="Times New Roman"/>
                <w:sz w:val="21"/>
                <w:szCs w:val="21"/>
                <w:color w:val="auto"/>
                <w:vertAlign w:val="superscript"/>
              </w:rPr>
              <w:t>(*)</w:t>
            </w: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(11,453)</w:t>
            </w:r>
          </w:p>
        </w:tc>
      </w:tr>
      <w:tr>
        <w:trPr>
          <w:trHeight w:val="262"/>
        </w:trPr>
        <w:tc>
          <w:tcPr>
            <w:tcW w:w="5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taxes of $2.4 million, $2.4 million, and $3.5 million, for the period ended April 2, 2022, January 1, 2022, and April 3, 2021, respectively.</w:t>
      </w:r>
    </w:p>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first quarter of both fiscal 2022 and fiscal 2021, no amounts were reclassified from Accumulated other comprehensive loss to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and changes in the carrying amount of Goodwill attributable to each segment were as follows: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12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16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0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2, 2021</w:t>
            </w: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53,388</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211,776</w:t>
            </w:r>
          </w:p>
        </w:tc>
      </w:tr>
      <w:tr>
        <w:trPr>
          <w:trHeight w:val="237"/>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impact</w:t>
            </w:r>
          </w:p>
        </w:tc>
        <w:tc>
          <w:tcPr>
            <w:tcW w:w="2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68"/>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April 3, 2021</w:t>
            </w:r>
            <w:r>
              <w:rPr>
                <w:rFonts w:ascii="Times New Roman" w:cs="Times New Roman" w:eastAsia="Times New Roman" w:hAnsi="Times New Roman"/>
                <w:sz w:val="21"/>
                <w:szCs w:val="21"/>
                <w:b w:val="1"/>
                <w:bCs w:val="1"/>
                <w:color w:val="auto"/>
                <w:vertAlign w:val="superscript"/>
              </w:rPr>
              <w:t>(*)</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212,271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4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2022</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212,023</w:t>
            </w:r>
          </w:p>
        </w:tc>
      </w:tr>
      <w:tr>
        <w:trPr>
          <w:trHeight w:val="237"/>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impact</w:t>
            </w:r>
          </w:p>
        </w:tc>
        <w:tc>
          <w:tcPr>
            <w:tcW w:w="2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68"/>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April 2, 2022</w:t>
            </w:r>
            <w:r>
              <w:rPr>
                <w:rFonts w:ascii="Times New Roman" w:cs="Times New Roman" w:eastAsia="Times New Roman" w:hAnsi="Times New Roman"/>
                <w:sz w:val="21"/>
                <w:szCs w:val="21"/>
                <w:b w:val="1"/>
                <w:bCs w:val="1"/>
                <w:color w:val="auto"/>
                <w:vertAlign w:val="superscript"/>
              </w:rPr>
              <w:t>(*)</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54,130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212,518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balance for the International reporting unit is net of accumulated impairment losses of $17.7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carrying value of the Company’s intangible assets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7"/>
        </w:trPr>
        <w:tc>
          <w:tcPr>
            <w:tcW w:w="266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66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useful</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9"/>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life</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20" w:type="dxa"/>
            <w:vAlign w:val="bottom"/>
          </w:tcPr>
          <w:p>
            <w:pPr>
              <w:spacing w:after="0"/>
              <w:rPr>
                <w:sz w:val="20"/>
                <w:szCs w:val="20"/>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4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20" w:type="dxa"/>
            <w:vAlign w:val="bottom"/>
          </w:tcPr>
          <w:p>
            <w:pPr>
              <w:spacing w:after="0"/>
              <w:rPr>
                <w:sz w:val="21"/>
                <w:szCs w:val="21"/>
                <w:color w:val="auto"/>
              </w:rPr>
            </w:pP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20" w:type="dxa"/>
            <w:vAlign w:val="bottom"/>
          </w:tcPr>
          <w:p>
            <w:pPr>
              <w:spacing w:after="0"/>
              <w:rPr>
                <w:sz w:val="20"/>
                <w:szCs w:val="20"/>
                <w:color w:val="auto"/>
              </w:rPr>
            </w:pPr>
          </w:p>
        </w:tc>
      </w:tr>
      <w:tr>
        <w:trPr>
          <w:trHeight w:val="25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Skip Hop </w:t>
            </w:r>
            <w:r>
              <w:rPr>
                <w:rFonts w:ascii="Times New Roman" w:cs="Times New Roman" w:eastAsia="Times New Roman" w:hAnsi="Times New Roman"/>
                <w:sz w:val="16"/>
                <w:szCs w:val="16"/>
                <w:color w:val="auto"/>
              </w:rPr>
              <w:t>tradename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0" w:type="dxa"/>
            <w:vAlign w:val="bottom"/>
          </w:tcPr>
          <w:p>
            <w:pPr>
              <w:spacing w:after="0"/>
              <w:rPr>
                <w:sz w:val="21"/>
                <w:szCs w:val="21"/>
                <w:color w:val="auto"/>
              </w:rPr>
            </w:pPr>
          </w:p>
        </w:tc>
      </w:tr>
      <w:tr>
        <w:trPr>
          <w:trHeight w:val="237"/>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Finite-life tradenames</w:t>
            </w:r>
          </w:p>
        </w:tc>
        <w:tc>
          <w:tcPr>
            <w:tcW w:w="13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5 -20 years</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20" w:type="dxa"/>
            <w:vAlign w:val="bottom"/>
          </w:tcPr>
          <w:p>
            <w:pPr>
              <w:spacing w:after="0"/>
              <w:rPr>
                <w:sz w:val="20"/>
                <w:szCs w:val="20"/>
                <w:color w:val="auto"/>
              </w:rPr>
            </w:pPr>
          </w:p>
        </w:tc>
      </w:tr>
      <w:tr>
        <w:trPr>
          <w:trHeight w:val="26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tradenames, net</w:t>
            </w: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42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307,581</w:t>
            </w:r>
          </w:p>
        </w:tc>
        <w:tc>
          <w:tcPr>
            <w:tcW w:w="4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309,144</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307,643</w:t>
            </w:r>
          </w:p>
        </w:tc>
        <w:tc>
          <w:tcPr>
            <w:tcW w:w="20" w:type="dxa"/>
            <w:vAlign w:val="bottom"/>
          </w:tcPr>
          <w:p>
            <w:pPr>
              <w:spacing w:after="0"/>
              <w:rPr>
                <w:sz w:val="22"/>
                <w:szCs w:val="22"/>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
        </w:trPr>
        <w:tc>
          <w:tcPr>
            <w:tcW w:w="2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Skip Hop customer relationships</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15 years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15,804</w:t>
            </w:r>
          </w:p>
        </w:tc>
        <w:tc>
          <w:tcPr>
            <w:tcW w:w="42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31,496</w:t>
            </w:r>
          </w:p>
        </w:tc>
        <w:tc>
          <w:tcPr>
            <w:tcW w:w="4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47,300</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32,290</w:t>
            </w:r>
          </w:p>
        </w:tc>
        <w:tc>
          <w:tcPr>
            <w:tcW w:w="20" w:type="dxa"/>
            <w:vAlign w:val="bottom"/>
          </w:tcPr>
          <w:p>
            <w:pPr>
              <w:spacing w:after="0"/>
              <w:rPr>
                <w:sz w:val="21"/>
                <w:szCs w:val="21"/>
                <w:color w:val="auto"/>
              </w:rPr>
            </w:pPr>
          </w:p>
        </w:tc>
      </w:tr>
      <w:tr>
        <w:trPr>
          <w:trHeight w:val="237"/>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Carter’s Mexico customer relationships</w:t>
            </w:r>
          </w:p>
        </w:tc>
        <w:tc>
          <w:tcPr>
            <w:tcW w:w="13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 years</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20" w:type="dxa"/>
            <w:vAlign w:val="bottom"/>
          </w:tcPr>
          <w:p>
            <w:pPr>
              <w:spacing w:after="0"/>
              <w:rPr>
                <w:sz w:val="20"/>
                <w:szCs w:val="20"/>
                <w:color w:val="auto"/>
              </w:rPr>
            </w:pPr>
          </w:p>
        </w:tc>
      </w:tr>
      <w:tr>
        <w:trPr>
          <w:trHeight w:val="26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customer relationships, net</w:t>
            </w: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17,248</w:t>
            </w:r>
          </w:p>
        </w:tc>
        <w:tc>
          <w:tcPr>
            <w:tcW w:w="42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33,151</w:t>
            </w:r>
          </w:p>
        </w:tc>
        <w:tc>
          <w:tcPr>
            <w:tcW w:w="4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50,347</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33,969</w:t>
            </w:r>
          </w:p>
        </w:tc>
        <w:tc>
          <w:tcPr>
            <w:tcW w:w="20" w:type="dxa"/>
            <w:vAlign w:val="bottom"/>
          </w:tcPr>
          <w:p>
            <w:pPr>
              <w:spacing w:after="0"/>
              <w:rPr>
                <w:sz w:val="22"/>
                <w:szCs w:val="22"/>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8"/>
        </w:trPr>
        <w:tc>
          <w:tcPr>
            <w:tcW w:w="2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April 3, 2021</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0"/>
        </w:trPr>
        <w:tc>
          <w:tcPr>
            <w:tcW w:w="2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20" w:type="dxa"/>
            <w:vAlign w:val="bottom"/>
            <w:tcBorders>
              <w:bottom w:val="single" w:sz="8" w:color="auto"/>
            </w:tcBorders>
          </w:tcPr>
          <w:p>
            <w:pPr>
              <w:spacing w:after="0"/>
              <w:rPr>
                <w:sz w:val="20"/>
                <w:szCs w:val="20"/>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center"/>
              <w:ind w:right="359"/>
              <w:spacing w:after="0"/>
              <w:rPr>
                <w:sz w:val="20"/>
                <w:szCs w:val="20"/>
                <w:color w:val="auto"/>
              </w:rPr>
            </w:pPr>
            <w:r>
              <w:rPr>
                <w:rFonts w:ascii="Times New Roman" w:cs="Times New Roman" w:eastAsia="Times New Roman" w:hAnsi="Times New Roman"/>
                <w:sz w:val="16"/>
                <w:szCs w:val="16"/>
                <w:color w:val="auto"/>
              </w:rPr>
              <w:t>Indefinite</w:t>
            </w:r>
          </w:p>
        </w:tc>
        <w:tc>
          <w:tcPr>
            <w:tcW w:w="4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20" w:type="dxa"/>
            <w:vAlign w:val="bottom"/>
            <w:shd w:val="clear" w:color="auto" w:fill="CCEEFF"/>
          </w:tcPr>
          <w:p>
            <w:pPr>
              <w:spacing w:after="0"/>
              <w:rPr>
                <w:sz w:val="21"/>
                <w:szCs w:val="21"/>
                <w:color w:val="auto"/>
              </w:rPr>
            </w:pP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4"/>
          </w:tcPr>
          <w:p>
            <w:pPr>
              <w:jc w:val="center"/>
              <w:ind w:right="359"/>
              <w:spacing w:after="0"/>
              <w:rPr>
                <w:sz w:val="20"/>
                <w:szCs w:val="20"/>
                <w:color w:val="auto"/>
              </w:rPr>
            </w:pPr>
            <w:r>
              <w:rPr>
                <w:rFonts w:ascii="Times New Roman" w:cs="Times New Roman" w:eastAsia="Times New Roman" w:hAnsi="Times New Roman"/>
                <w:sz w:val="16"/>
                <w:szCs w:val="16"/>
                <w:color w:val="auto"/>
              </w:rPr>
              <w:t>Indefinite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20" w:type="dxa"/>
            <w:vAlign w:val="bottom"/>
          </w:tcPr>
          <w:p>
            <w:pPr>
              <w:spacing w:after="0"/>
              <w:rPr>
                <w:sz w:val="20"/>
                <w:szCs w:val="20"/>
                <w:color w:val="auto"/>
              </w:rPr>
            </w:pPr>
          </w:p>
        </w:tc>
      </w:tr>
      <w:tr>
        <w:trPr>
          <w:trHeight w:val="25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Skip Hop </w:t>
            </w:r>
            <w:r>
              <w:rPr>
                <w:rFonts w:ascii="Times New Roman" w:cs="Times New Roman" w:eastAsia="Times New Roman" w:hAnsi="Times New Roman"/>
                <w:sz w:val="16"/>
                <w:szCs w:val="16"/>
                <w:color w:val="auto"/>
              </w:rPr>
              <w:t>tradename</w:t>
            </w: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center"/>
              <w:ind w:right="359"/>
              <w:spacing w:after="0"/>
              <w:rPr>
                <w:sz w:val="20"/>
                <w:szCs w:val="20"/>
                <w:color w:val="auto"/>
              </w:rPr>
            </w:pPr>
            <w:r>
              <w:rPr>
                <w:rFonts w:ascii="Times New Roman" w:cs="Times New Roman" w:eastAsia="Times New Roman" w:hAnsi="Times New Roman"/>
                <w:sz w:val="16"/>
                <w:szCs w:val="16"/>
                <w:color w:val="auto"/>
              </w:rPr>
              <w:t>Indefinite</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0" w:type="dxa"/>
            <w:vAlign w:val="bottom"/>
            <w:shd w:val="clear" w:color="auto" w:fill="CCEEFF"/>
          </w:tcPr>
          <w:p>
            <w:pPr>
              <w:spacing w:after="0"/>
              <w:rPr>
                <w:sz w:val="21"/>
                <w:szCs w:val="21"/>
                <w:color w:val="auto"/>
              </w:rPr>
            </w:pPr>
          </w:p>
        </w:tc>
      </w:tr>
      <w:tr>
        <w:trPr>
          <w:trHeight w:val="236"/>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Finite-life tradenames</w:t>
            </w:r>
          </w:p>
        </w:tc>
        <w:tc>
          <w:tcPr>
            <w:tcW w:w="1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gridSpan w:val="4"/>
          </w:tcPr>
          <w:p>
            <w:pPr>
              <w:jc w:val="center"/>
              <w:ind w:right="319"/>
              <w:spacing w:after="0"/>
              <w:rPr>
                <w:sz w:val="20"/>
                <w:szCs w:val="20"/>
                <w:color w:val="auto"/>
              </w:rPr>
            </w:pPr>
            <w:r>
              <w:rPr>
                <w:rFonts w:ascii="Times New Roman" w:cs="Times New Roman" w:eastAsia="Times New Roman" w:hAnsi="Times New Roman"/>
                <w:sz w:val="16"/>
                <w:szCs w:val="16"/>
                <w:color w:val="auto"/>
              </w:rPr>
              <w:t>5 - 20 years</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20" w:type="dxa"/>
            <w:vAlign w:val="bottom"/>
            <w:tcBorders>
              <w:bottom w:val="single" w:sz="8" w:color="auto"/>
            </w:tcBorders>
          </w:tcPr>
          <w:p>
            <w:pPr>
              <w:spacing w:after="0"/>
              <w:rPr>
                <w:sz w:val="20"/>
                <w:szCs w:val="20"/>
                <w:color w:val="auto"/>
              </w:rPr>
            </w:pPr>
          </w:p>
        </w:tc>
      </w:tr>
      <w:tr>
        <w:trPr>
          <w:trHeight w:val="26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tradenames, net</w:t>
            </w: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309,144</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307,830</w:t>
            </w:r>
          </w:p>
        </w:tc>
        <w:tc>
          <w:tcPr>
            <w:tcW w:w="20" w:type="dxa"/>
            <w:vAlign w:val="bottom"/>
            <w:shd w:val="clear" w:color="auto" w:fill="CCEEFF"/>
          </w:tcPr>
          <w:p>
            <w:pPr>
              <w:spacing w:after="0"/>
              <w:rPr>
                <w:sz w:val="22"/>
                <w:szCs w:val="22"/>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2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Skip Hop customer relationships</w:t>
            </w: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color w:val="auto"/>
              </w:rPr>
              <w:t>15 years</w:t>
            </w:r>
          </w:p>
        </w:tc>
        <w:tc>
          <w:tcPr>
            <w:tcW w:w="4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47,300</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34,672</w:t>
            </w:r>
          </w:p>
        </w:tc>
        <w:tc>
          <w:tcPr>
            <w:tcW w:w="20" w:type="dxa"/>
            <w:vAlign w:val="bottom"/>
            <w:shd w:val="clear" w:color="auto" w:fill="CCEEFF"/>
          </w:tcPr>
          <w:p>
            <w:pPr>
              <w:spacing w:after="0"/>
              <w:rPr>
                <w:sz w:val="21"/>
                <w:szCs w:val="21"/>
                <w:color w:val="auto"/>
              </w:rPr>
            </w:pPr>
          </w:p>
        </w:tc>
      </w:tr>
      <w:tr>
        <w:trPr>
          <w:trHeight w:val="237"/>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Carter’s Mexico customer relationships</w:t>
            </w:r>
          </w:p>
        </w:tc>
        <w:tc>
          <w:tcPr>
            <w:tcW w:w="1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gridSpan w:val="3"/>
          </w:tcPr>
          <w:p>
            <w:pPr>
              <w:jc w:val="center"/>
              <w:ind w:right="399"/>
              <w:spacing w:after="0"/>
              <w:rPr>
                <w:sz w:val="20"/>
                <w:szCs w:val="20"/>
                <w:color w:val="auto"/>
              </w:rPr>
            </w:pPr>
            <w:r>
              <w:rPr>
                <w:rFonts w:ascii="Times New Roman" w:cs="Times New Roman" w:eastAsia="Times New Roman" w:hAnsi="Times New Roman"/>
                <w:sz w:val="16"/>
                <w:szCs w:val="16"/>
                <w:color w:val="auto"/>
              </w:rPr>
              <w:t>10 years</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20" w:type="dxa"/>
            <w:vAlign w:val="bottom"/>
            <w:tcBorders>
              <w:bottom w:val="single" w:sz="8" w:color="auto"/>
            </w:tcBorders>
          </w:tcPr>
          <w:p>
            <w:pPr>
              <w:spacing w:after="0"/>
              <w:rPr>
                <w:sz w:val="20"/>
                <w:szCs w:val="20"/>
                <w:color w:val="auto"/>
              </w:rPr>
            </w:pPr>
          </w:p>
        </w:tc>
      </w:tr>
      <w:tr>
        <w:trPr>
          <w:trHeight w:val="26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customer relationships, net</w:t>
            </w: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50,363</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36,596</w:t>
            </w:r>
          </w:p>
        </w:tc>
        <w:tc>
          <w:tcPr>
            <w:tcW w:w="20" w:type="dxa"/>
            <w:vAlign w:val="bottom"/>
            <w:shd w:val="clear" w:color="auto" w:fill="CCEEFF"/>
          </w:tcPr>
          <w:p>
            <w:pPr>
              <w:spacing w:after="0"/>
              <w:rPr>
                <w:sz w:val="22"/>
                <w:szCs w:val="22"/>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subject to amortization was approximately $0.9 million for both first fiscal quarters ended April 2, 2022 and April 3, 2021.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amortization expense for the next five fiscal years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3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expense</w:t>
            </w:r>
          </w:p>
        </w:tc>
      </w:tr>
      <w:tr>
        <w:trPr>
          <w:trHeight w:val="24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r>
      <w:tr>
        <w:trPr>
          <w:trHeight w:val="23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w:t>
            </w:r>
          </w:p>
        </w:tc>
      </w:tr>
      <w:tr>
        <w:trPr>
          <w:trHeight w:val="25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w:t>
            </w:r>
          </w:p>
        </w:tc>
      </w:tr>
      <w:tr>
        <w:trPr>
          <w:trHeight w:val="23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w:t>
            </w:r>
          </w:p>
        </w:tc>
      </w:tr>
      <w:tr>
        <w:trPr>
          <w:trHeight w:val="25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w:t>
            </w:r>
          </w:p>
        </w:tc>
      </w:tr>
      <w:tr>
        <w:trPr>
          <w:trHeight w:val="224"/>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w:t>
            </w: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Share Repurchases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and retired shares in open market transactions in the following amounts for the fiscal periods indicated:</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43"/>
        </w:trPr>
        <w:tc>
          <w:tcPr>
            <w:tcW w:w="7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180" w:type="dxa"/>
            <w:vAlign w:val="bottom"/>
          </w:tcPr>
          <w:p>
            <w:pPr>
              <w:spacing w:after="0"/>
              <w:rPr>
                <w:sz w:val="21"/>
                <w:szCs w:val="21"/>
                <w:color w:val="auto"/>
              </w:rPr>
            </w:pPr>
          </w:p>
        </w:tc>
        <w:tc>
          <w:tcPr>
            <w:tcW w:w="13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April 3, 2021</w:t>
            </w:r>
            <w:r>
              <w:rPr>
                <w:rFonts w:ascii="Times New Roman" w:cs="Times New Roman" w:eastAsia="Times New Roman" w:hAnsi="Times New Roman"/>
                <w:sz w:val="21"/>
                <w:szCs w:val="21"/>
                <w:b w:val="1"/>
                <w:bCs w:val="1"/>
                <w:color w:val="auto"/>
                <w:vertAlign w:val="superscript"/>
              </w:rPr>
              <w:t>(*)</w:t>
            </w:r>
          </w:p>
        </w:tc>
      </w:tr>
      <w:tr>
        <w:trPr>
          <w:trHeight w:val="237"/>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22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793,008</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cost of shares repurchased (dollars in thousands)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price per share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r>
    </w:tbl>
    <w:p>
      <w:pPr>
        <w:spacing w:after="0" w:line="112"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actions taken in connection with the COVID-19 pandemic, the Company did not repurchase or retire any shares in open market transactions in the first quarter of fiscal 2021.</w:t>
      </w:r>
    </w:p>
    <w:p>
      <w:pPr>
        <w:spacing w:after="0" w:line="194"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On February 24, 2022, the Company’s Board of Directors authorized share repurchases up to $1.00 billion, inclusive of approximately $301.9 million remaining under previous authorizations. The total aggregate remaining capacity under outstanding repurchase authorizations as of April 2, 2022 was approximately $974.7 million, based on settled repurchase transactions. The share repurchase authorizations have no expiration date.</w:t>
      </w:r>
    </w:p>
    <w:p>
      <w:pPr>
        <w:spacing w:after="0" w:line="14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revolving credit facility, market conditions, stock price, other investment priorities, and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2022, the Board of Directors declared and the Company paid cash dividends of $0.75 per common share. As a result of actions taken in connection with the COVID-19 pandemic, the Board of Directors did not declare and we did not pay cash dividends for the first quarter of fiscal 2021. The Board of Directors will evaluate future dividend declarations based on a number of factors, including restrictions under the Company’s revolving credit facility, business conditions, the Company’s financial performance, and other considerations.</w:t>
      </w:r>
    </w:p>
    <w:p>
      <w:pPr>
        <w:spacing w:after="0" w:line="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Provisions in the Company’s secured revolving credit facility could have the effect of restricting the Company’s ability to pay cash dividends on, or make future repurchases of, its common stock, as further described in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April 3, 2021</w:t>
            </w:r>
          </w:p>
        </w:tc>
      </w:tr>
      <w:tr>
        <w:trPr>
          <w:trHeight w:val="24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$500 million 5.500% senior notes due May 15, 2025</w:t>
            </w:r>
            <w:r>
              <w:rPr>
                <w:rFonts w:ascii="Times New Roman" w:cs="Times New Roman" w:eastAsia="Times New Roman" w:hAnsi="Times New Roman"/>
                <w:sz w:val="21"/>
                <w:szCs w:val="21"/>
                <w:color w:val="auto"/>
                <w:vertAlign w:val="superscript"/>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7"/>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$500 million 5.625% senior notes due March 15, 2027</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senior notes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r>
      <w:tr>
        <w:trPr>
          <w:trHeight w:val="24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issuance-related costs for senior notes</w:t>
            </w:r>
            <w:r>
              <w:rPr>
                <w:rFonts w:ascii="Times New Roman" w:cs="Times New Roman" w:eastAsia="Times New Roman" w:hAnsi="Times New Roman"/>
                <w:sz w:val="21"/>
                <w:szCs w:val="21"/>
                <w:color w:val="auto"/>
                <w:vertAlign w:val="superscript"/>
              </w:rPr>
              <w:t>(*)</w:t>
            </w: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(10,020)</w:t>
            </w:r>
          </w:p>
        </w:tc>
      </w:tr>
      <w:tr>
        <w:trPr>
          <w:trHeight w:val="237"/>
        </w:trPr>
        <w:tc>
          <w:tcPr>
            <w:tcW w:w="5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Senior notes, net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496,104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991,370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989,980</w:t>
            </w:r>
          </w:p>
        </w:tc>
      </w:tr>
      <w:tr>
        <w:trPr>
          <w:trHeight w:val="23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2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55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long-term debt, net</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496,104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991,370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989,980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April 2, 2022, senior notes due May 15, 2025 and the unamortized debt issuance-related costs for these senior notes are presented in Current portion of long-term debt.</w:t>
      </w:r>
    </w:p>
    <w:p>
      <w:pPr>
        <w:spacing w:after="0" w:line="19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March 4, 2022, the Company announced an irrevocable commitment to redeem the $500 million principal amount of senior notes, bearing interest at a rate of 5.500% per annum, and originally maturing on May 15, 2025 (the “5.500% Senior Notes”). Accordingly, the principal amount of these senior notes have been presented on the Company’s consolidated balance sheet as Current portion of long-term debt, net as of April 2, 2022. The debt issuance costs of approximately $4.3 million associated with these senior notes have been presented on the Company’s consolidated balance sheet as a direct reduction in the carrying value of the associated current debt liability.</w:t>
      </w:r>
    </w:p>
    <w:p>
      <w:pPr>
        <w:spacing w:after="0" w:line="6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On April 4, 2022, the Company, through its wholly-owned subsidiary, The William Carter Company (“TWCC”), redeemed the 5.500% Senior Notes. Pursuant to the optional redemption provisions described in the Indenture dated as of May 11, 2020, TWCC paid the outstanding principal plus accrued interest and an Applicable Premium as defined in the Indenture. This debt redemption is estimated to result in a loss on extinguishment of debt of approximately $19.9 million in the second quarter of fiscal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April 2, 2022, the Company had no outstanding borrowings under its secured revolving credit facility, exclusive of $4.1 million of outstanding letters of credit. As of April 2, 2022, approximately $745.9 million remained available for future borrowing. All outstanding borrowings under the Company’s secured revolving credit facility are classified as non-current liabilities on the Company’s consolidated balance sheet because of the contractual repayment terms under the credit facility.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revolving credit facility provides for an aggregate credit line of $750 million which includes a $650 million U.S. dollar facility and a</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$100 million multicurrency facility denominated in U.S. dollars, Canadian dollars, Euros, Pounds Sterling, or other currencies agreed to by the applicable lenders. The credit facility matures on September 21, 2023.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4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April 2, 2022, the interest rate margins applicable to the secured revolving credit facility were 1.375% for LIBOR (London Interbank Offered Rate) rate loans and 0.375% for base rate loans.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April 11, 2022, the Company, through its wholly owned subsidiary, TWCC entered into Amendment No. 4 to its fourth amended and restated credit agreement (“Amendment No. 4”) that, among other things, increased the borrowing capacity of the secured revolving credit facility to $850.0 million (combined U.S. dollar and multicurrency facility borrowings), extended the maturity of the secured revolving credit facility from September 2023 to April 2027, and reduced the number of financial maintenance covenants from two to one. Approximately $2.4 million, including both bank fees and other third-party expenses, has been capitalized in connection with Amendment No. 4 in the second quarter of fiscal 2022 and will be amortized over the remaining term of the secured revolving credit facility. As of April 2, 2022, the Company was in compliance with its financial and other covenants under the secured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as follows: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260" w:type="dxa"/>
            <w:vAlign w:val="bottom"/>
          </w:tcPr>
          <w:p>
            <w:pPr>
              <w:spacing w:after="0"/>
              <w:rPr>
                <w:sz w:val="20"/>
                <w:szCs w:val="20"/>
                <w:color w:val="auto"/>
              </w:rPr>
            </w:pPr>
          </w:p>
        </w:tc>
        <w:tc>
          <w:tcPr>
            <w:tcW w:w="15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April 3, 2021</w:t>
            </w:r>
          </w:p>
        </w:tc>
      </w:tr>
      <w:tr>
        <w:trPr>
          <w:trHeight w:val="243"/>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3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3"/>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Time-based awards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w:t>
            </w:r>
          </w:p>
        </w:tc>
      </w:tr>
      <w:tr>
        <w:trPr>
          <w:trHeight w:val="237"/>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Performance-based awards</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2,557</w:t>
            </w:r>
          </w:p>
        </w:tc>
      </w:tr>
      <w:tr>
        <w:trPr>
          <w:trHeight w:val="26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16, 2022, the Company’s Board of Directors approved the issuance of the following new awards to certain key employees under the Company’s existing stock-based compensation plan, subject to vesting: 198,480 shares of time-based restricted stock awards with a grant-date fair value of $91.12 each; and 89,760 shares of performance-based restricted stock awards with a grant-date fair value of $91.12 each.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fiscal 2022, a total of 169,620 restricted stock awards (time- and performance-based) vested.</w:t>
      </w:r>
    </w:p>
    <w:p>
      <w:pPr>
        <w:spacing w:after="0" w:line="18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 ratably over the applicable performance periods based on the estimated probability of achievement of its performance targets at the end of each period. During the first quarter of fiscal 2021, the achievement of performance target estimates relating to certain performance-based grants were revised resulting in a $2.6 million increase to stock-based compensation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of April 2, 2022, the Company had gross unrecognized income tax benefits of approximately $11.0 million, of which $7.7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Included in the reserves for unrecognized tax benefits at April 2, 2022 is approximately $2.8 million of reserves for which the statute of limitations is expected to expire within the next 12 months. If these tax benefits are ultimately recognized, such recognition, net of federal income taxes, may affect the annual effective income tax rate for fiscal 2022 and/or fiscal 2023 along with the effective income tax rate in the quarter in which the benefits are recognized.</w:t>
      </w:r>
    </w:p>
    <w:p>
      <w:pPr>
        <w:spacing w:after="0" w:line="1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as a component of interest expense and recognizes penalties related to unrecognized income tax benefits as a component of income tax expense. Interest expense recorded on uncertain tax positions was not material for the first fiscal quarter ended April 2, 2022 and April 3, 2021. The Company had approximately $2.0 million, $1.8 million, and $2.9 million of interest accrued on uncertain tax positions as of April 2, 2022, January 1, 2022, and April 3, 2021,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condensed consolidated balance sheets, and their aggregate fair values were approximately $16.6 million, $17.5 million, and $15.4 million at April 2, 2022, January 1, 2022, and April 3, 2021, respectively. These investments are classified as Level 1 within the fair value hierarchy. The change in the aggregate fair values of marketable securities are due to the net activity of gains and losses and any contributions and distributions during the period. Losses on the investments in marketable securities were $0.9 million for the first fiscal quarter ended April 2, 2022. Gains on the investments in marketable securities were not material for the first fiscal quarter ended April 3, 2021. These amounts are included in Other (income) expense, net on the Company’s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 2022, the Company had no outstanding borrowings under its secured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fair value of the Company’s senior notes, including the 5.500% Senior Notes classified as a current liability, at April 2, 2022 was approximately $1.02 billion. The fair value of these senior notes with a notional value and carrying value (gross of debt issuance costs) of $1.00 billion was estimated using a quoted price as provided in the secondary market, which considers the Company’s credit risk and market related conditions, and is therefore within Level 2 of the fair value hierarchy.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and Long-Lived Tangible Assets</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Some assets are not measured at fair value on a recurring basis but are subject to fair value adjustments only in certain circumstances. These assets can include goodwill, indefinite-lived intangible assets, and long-lived tangible assets that have been reduced to fair value when impaired. Assets that are written down to fair value when impaired are not subsequently adjusted to fair value unless further impairment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basic common shares outstanding to diluted common and common equivalent shares outstanding:</w:t>
      </w:r>
    </w:p>
    <w:p>
      <w:pPr>
        <w:spacing w:after="0" w:line="160"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30480</wp:posOffset>
            </wp:positionV>
            <wp:extent cx="23488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Weighted-average number of common and common equivalent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Basic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Dilutive effect of equity awards</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Diluted number of common and common equivalent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April 2, 2022</w:t>
      </w: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40,270,895</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77,437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29210</wp:posOffset>
            </wp:positionV>
            <wp:extent cx="11398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40,348,332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29210</wp:posOffset>
            </wp:positionV>
            <wp:extent cx="11398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April 3, 2021</w:t>
      </w:r>
    </w:p>
    <w:p>
      <w:pPr>
        <w:spacing w:after="0" w:line="30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43,370,744</w:t>
      </w:r>
    </w:p>
    <w:p>
      <w:pPr>
        <w:spacing w:after="0" w:line="5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129,198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29210</wp:posOffset>
            </wp:positionV>
            <wp:extent cx="11404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43,499,942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29210</wp:posOffset>
            </wp:positionV>
            <wp:extent cx="11404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3">
            <w:col w:w="7240" w:space="720"/>
            <w:col w:w="1280" w:space="620"/>
            <w:col w:w="1360"/>
          </w:cols>
          <w:pgMar w:left="320" w:top="360" w:right="359" w:bottom="1440"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86,196</w:t>
            </w:r>
          </w:p>
        </w:tc>
        <w:tc>
          <w:tcPr>
            <w:tcW w:w="0" w:type="dxa"/>
            <w:vAlign w:val="bottom"/>
          </w:tcPr>
          <w:p>
            <w:pPr>
              <w:spacing w:after="0"/>
              <w:rPr>
                <w:sz w:val="1"/>
                <w:szCs w:val="1"/>
                <w:color w:val="auto"/>
              </w:rPr>
            </w:pPr>
          </w:p>
        </w:tc>
      </w:tr>
      <w:tr>
        <w:trPr>
          <w:trHeight w:val="237"/>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0" w:type="dxa"/>
            <w:vAlign w:val="bottom"/>
          </w:tcPr>
          <w:p>
            <w:pPr>
              <w:spacing w:after="0"/>
              <w:rPr>
                <w:sz w:val="1"/>
                <w:szCs w:val="1"/>
                <w:color w:val="auto"/>
              </w:rPr>
            </w:pPr>
          </w:p>
        </w:tc>
      </w:tr>
      <w:tr>
        <w:trPr>
          <w:trHeight w:val="268"/>
        </w:trPr>
        <w:tc>
          <w:tcPr>
            <w:tcW w:w="7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67,012</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85,163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162"/>
        </w:trPr>
        <w:tc>
          <w:tcPr>
            <w:tcW w:w="7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6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120" w:type="dxa"/>
            <w:vAlign w:val="bottom"/>
          </w:tcPr>
          <w:p>
            <w:pPr>
              <w:spacing w:after="0"/>
              <w:rPr>
                <w:sz w:val="20"/>
                <w:szCs w:val="20"/>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86,196</w:t>
            </w:r>
          </w:p>
        </w:tc>
        <w:tc>
          <w:tcPr>
            <w:tcW w:w="0" w:type="dxa"/>
            <w:vAlign w:val="bottom"/>
          </w:tcPr>
          <w:p>
            <w:pPr>
              <w:spacing w:after="0"/>
              <w:rPr>
                <w:sz w:val="1"/>
                <w:szCs w:val="1"/>
                <w:color w:val="auto"/>
              </w:rPr>
            </w:pPr>
          </w:p>
        </w:tc>
      </w:tr>
      <w:tr>
        <w:trPr>
          <w:trHeight w:val="24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6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0" w:type="dxa"/>
            <w:vAlign w:val="bottom"/>
          </w:tcPr>
          <w:p>
            <w:pPr>
              <w:spacing w:after="0"/>
              <w:rPr>
                <w:sz w:val="1"/>
                <w:szCs w:val="1"/>
                <w:color w:val="auto"/>
              </w:rPr>
            </w:pPr>
          </w:p>
        </w:tc>
      </w:tr>
      <w:tr>
        <w:trPr>
          <w:trHeight w:val="243"/>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67,013</w:t>
            </w:r>
          </w:p>
        </w:tc>
        <w:tc>
          <w:tcPr>
            <w:tcW w:w="120" w:type="dxa"/>
            <w:vAlign w:val="bottom"/>
          </w:tcPr>
          <w:p>
            <w:pPr>
              <w:spacing w:after="0"/>
              <w:rPr>
                <w:sz w:val="21"/>
                <w:szCs w:val="21"/>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85,166</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20"/>
                <w:szCs w:val="20"/>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172"/>
        </w:trPr>
        <w:tc>
          <w:tcPr>
            <w:tcW w:w="7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Anti-dilutive awards excluded from diluted earnings per share computation</w:t>
            </w:r>
            <w:r>
              <w:rPr>
                <w:rFonts w:ascii="Times New Roman" w:cs="Times New Roman" w:eastAsia="Times New Roman" w:hAnsi="Times New Roman"/>
                <w:sz w:val="21"/>
                <w:szCs w:val="21"/>
                <w:color w:val="auto"/>
                <w:vertAlign w:val="superscript"/>
              </w:rPr>
              <w:t>(*)</w:t>
            </w:r>
          </w:p>
        </w:tc>
        <w:tc>
          <w:tcPr>
            <w:tcW w:w="6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172,987</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481,491</w:t>
            </w:r>
          </w:p>
        </w:tc>
        <w:tc>
          <w:tcPr>
            <w:tcW w:w="0" w:type="dxa"/>
            <w:vAlign w:val="bottom"/>
          </w:tcPr>
          <w:p>
            <w:pPr>
              <w:spacing w:after="0"/>
              <w:rPr>
                <w:sz w:val="1"/>
                <w:szCs w:val="1"/>
                <w:color w:val="auto"/>
              </w:rPr>
            </w:pPr>
          </w:p>
        </w:tc>
      </w:tr>
      <w:tr>
        <w:trPr>
          <w:trHeight w:val="132"/>
        </w:trPr>
        <w:tc>
          <w:tcPr>
            <w:tcW w:w="7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anti-dilutive awards is, in part, due to the related unamortized compensation costs.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OTHER CURRENT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at the end of any comparable period,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9"/>
                <w:szCs w:val="19"/>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24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280" w:type="dxa"/>
            <w:vAlign w:val="bottom"/>
          </w:tcPr>
          <w:p>
            <w:pPr>
              <w:spacing w:after="0"/>
              <w:rPr>
                <w:sz w:val="19"/>
                <w:szCs w:val="19"/>
                <w:color w:val="auto"/>
              </w:rPr>
            </w:pPr>
          </w:p>
        </w:tc>
        <w:tc>
          <w:tcPr>
            <w:tcW w:w="15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April 3, 2021</w:t>
            </w:r>
          </w:p>
        </w:tc>
      </w:tr>
      <w:tr>
        <w:trPr>
          <w:trHeight w:val="24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Unredeemed gift cards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21,619</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17,426</w:t>
            </w:r>
          </w:p>
        </w:tc>
      </w:tr>
      <w:tr>
        <w:trPr>
          <w:trHeight w:val="23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40,143</w:t>
            </w:r>
          </w:p>
        </w:tc>
      </w:tr>
      <w:tr>
        <w:trPr>
          <w:trHeight w:val="25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taxes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16,054</w:t>
            </w:r>
          </w:p>
        </w:tc>
      </w:tr>
      <w:tr>
        <w:trPr>
          <w:trHeight w:val="23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11,987</w:t>
            </w:r>
          </w:p>
        </w:tc>
      </w:tr>
      <w:tr>
        <w:trPr>
          <w:trHeight w:val="25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17,307</w:t>
            </w:r>
          </w:p>
        </w:tc>
      </w:tr>
      <w:tr>
        <w:trPr>
          <w:trHeight w:val="23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w:t>
            </w:r>
          </w:p>
        </w:tc>
      </w:tr>
      <w:tr>
        <w:trPr>
          <w:trHeight w:val="25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bonuses and incentive compensation</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10,222</w:t>
            </w:r>
          </w:p>
        </w:tc>
      </w:tr>
      <w:tr>
        <w:trPr>
          <w:trHeight w:val="237"/>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31,454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31,999</w:t>
            </w:r>
          </w:p>
        </w:tc>
      </w:tr>
      <w:tr>
        <w:trPr>
          <w:trHeight w:val="26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149,911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contractual obligations and commitments include obligations associated with leases, the secured revolving credit agreement, senior notes, and employee benefit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certain information for our reportable segments and unallocated corporate expenses for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5"/>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9"/>
                <w:szCs w:val="19"/>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12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April 3, 2021</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net sales</w:t>
            </w: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4720" w:type="dxa"/>
            <w:vAlign w:val="bottom"/>
            <w:tcBorders>
              <w:top w:val="single" w:sz="8" w:color="CCEEFF"/>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3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366,358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46.9 %</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407,067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51.7 %</w:t>
            </w:r>
          </w:p>
        </w:tc>
      </w:tr>
      <w:tr>
        <w:trPr>
          <w:trHeight w:val="253"/>
        </w:trPr>
        <w:tc>
          <w:tcPr>
            <w:tcW w:w="20" w:type="dxa"/>
            <w:vAlign w:val="bottom"/>
            <w:shd w:val="clear" w:color="auto" w:fill="CCEEFF"/>
          </w:tcPr>
          <w:p>
            <w:pPr>
              <w:spacing w:after="0"/>
              <w:rPr>
                <w:sz w:val="21"/>
                <w:szCs w:val="21"/>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307,301</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283,377</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36.0 %</w:t>
            </w:r>
          </w:p>
        </w:tc>
      </w:tr>
      <w:tr>
        <w:trPr>
          <w:trHeight w:val="236"/>
        </w:trPr>
        <w:tc>
          <w:tcPr>
            <w:tcW w:w="20" w:type="dxa"/>
            <w:vAlign w:val="bottom"/>
            <w:tcBorders>
              <w:bottom w:val="single" w:sz="8" w:color="CCEEFF"/>
            </w:tcBorders>
          </w:tcPr>
          <w:p>
            <w:pPr>
              <w:spacing w:after="0"/>
              <w:rPr>
                <w:sz w:val="20"/>
                <w:szCs w:val="20"/>
                <w:color w:val="auto"/>
              </w:rPr>
            </w:pPr>
          </w:p>
        </w:tc>
        <w:tc>
          <w:tcPr>
            <w:tcW w:w="47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107,625</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96,917</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12.3 %</w:t>
            </w:r>
          </w:p>
        </w:tc>
      </w:tr>
      <w:tr>
        <w:trPr>
          <w:trHeight w:val="263"/>
        </w:trPr>
        <w:tc>
          <w:tcPr>
            <w:tcW w:w="20" w:type="dxa"/>
            <w:vAlign w:val="bottom"/>
            <w:shd w:val="clear" w:color="auto" w:fill="CCEEFF"/>
          </w:tcPr>
          <w:p>
            <w:pPr>
              <w:spacing w:after="0"/>
              <w:rPr>
                <w:sz w:val="22"/>
                <w:szCs w:val="22"/>
                <w:color w:val="auto"/>
              </w:rPr>
            </w:pPr>
          </w:p>
        </w:tc>
        <w:tc>
          <w:tcPr>
            <w:tcW w:w="4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Consolidated 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781,284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787,361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191"/>
        </w:trPr>
        <w:tc>
          <w:tcPr>
            <w:tcW w:w="20" w:type="dxa"/>
            <w:vAlign w:val="bottom"/>
          </w:tcPr>
          <w:p>
            <w:pPr>
              <w:spacing w:after="0"/>
              <w:rPr>
                <w:sz w:val="16"/>
                <w:szCs w:val="16"/>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segment net sales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 net sales</w:t>
            </w:r>
          </w:p>
        </w:tc>
      </w:tr>
      <w:tr>
        <w:trPr>
          <w:trHeight w:val="34"/>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76,521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233"/>
        </w:trPr>
        <w:tc>
          <w:tcPr>
            <w:tcW w:w="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70,058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24.7 %</w:t>
            </w:r>
          </w:p>
        </w:tc>
      </w:tr>
      <w:tr>
        <w:trPr>
          <w:trHeight w:val="253"/>
        </w:trPr>
        <w:tc>
          <w:tcPr>
            <w:tcW w:w="20" w:type="dxa"/>
            <w:vAlign w:val="bottom"/>
            <w:shd w:val="clear" w:color="auto" w:fill="CCEEFF"/>
          </w:tcPr>
          <w:p>
            <w:pPr>
              <w:spacing w:after="0"/>
              <w:rPr>
                <w:sz w:val="21"/>
                <w:szCs w:val="21"/>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10,388</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43"/>
        </w:trPr>
        <w:tc>
          <w:tcPr>
            <w:tcW w:w="20" w:type="dxa"/>
            <w:vAlign w:val="bottom"/>
            <w:tcBorders>
              <w:bottom w:val="single" w:sz="8" w:color="CCEEFF"/>
            </w:tcBorders>
          </w:tcPr>
          <w:p>
            <w:pPr>
              <w:spacing w:after="0"/>
              <w:rPr>
                <w:sz w:val="21"/>
                <w:szCs w:val="21"/>
                <w:color w:val="auto"/>
              </w:rPr>
            </w:pPr>
          </w:p>
        </w:tc>
        <w:tc>
          <w:tcPr>
            <w:tcW w:w="47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6"/>
                <w:szCs w:val="16"/>
                <w:color w:val="auto"/>
              </w:rPr>
              <w:t>Corporate expenses</w:t>
            </w:r>
            <w:r>
              <w:rPr>
                <w:rFonts w:ascii="Times New Roman" w:cs="Times New Roman" w:eastAsia="Times New Roman" w:hAnsi="Times New Roman"/>
                <w:sz w:val="21"/>
                <w:szCs w:val="21"/>
                <w:color w:val="auto"/>
                <w:vertAlign w:val="superscript"/>
              </w:rPr>
              <w:t>(*)</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(18,265)</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(28,817)</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102,623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127,496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ind w:left="340" w:right="40" w:hanging="332"/>
        <w:spacing w:after="0" w:line="28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4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6"/>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rPr>
              <w:t>Fiscal quarter ended April 3, 2021</w:t>
            </w:r>
          </w:p>
        </w:tc>
        <w:tc>
          <w:tcPr>
            <w:tcW w:w="1660" w:type="dxa"/>
            <w:vAlign w:val="bottom"/>
            <w:tcBorders>
              <w:bottom w:val="single" w:sz="8" w:color="auto"/>
            </w:tcBorders>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340" w:type="dxa"/>
            <w:vAlign w:val="bottom"/>
          </w:tcPr>
          <w:p>
            <w:pPr>
              <w:spacing w:after="0"/>
              <w:rPr>
                <w:sz w:val="16"/>
                <w:szCs w:val="16"/>
                <w:color w:val="auto"/>
              </w:rPr>
            </w:pP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6"/>
                <w:szCs w:val="16"/>
                <w:color w:val="auto"/>
              </w:rPr>
            </w:pPr>
          </w:p>
        </w:tc>
        <w:tc>
          <w:tcPr>
            <w:tcW w:w="17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320" w:type="dxa"/>
            <w:vAlign w:val="bottom"/>
          </w:tcPr>
          <w:p>
            <w:pPr>
              <w:spacing w:after="0"/>
              <w:rPr>
                <w:sz w:val="16"/>
                <w:szCs w:val="16"/>
                <w:color w:val="auto"/>
              </w:rPr>
            </w:pPr>
          </w:p>
        </w:tc>
        <w:tc>
          <w:tcPr>
            <w:tcW w:w="16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International</w:t>
            </w:r>
          </w:p>
        </w:tc>
      </w:tr>
      <w:tr>
        <w:trPr>
          <w:trHeight w:val="34"/>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Incremental costs associated with COVID-19 pandemic</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center"/>
              <w:ind w:left="1219"/>
              <w:spacing w:after="0"/>
              <w:rPr>
                <w:sz w:val="20"/>
                <w:szCs w:val="20"/>
                <w:color w:val="auto"/>
              </w:rPr>
            </w:pPr>
            <w:r>
              <w:rPr>
                <w:rFonts w:ascii="Times New Roman" w:cs="Times New Roman" w:eastAsia="Times New Roman" w:hAnsi="Times New Roman"/>
                <w:sz w:val="16"/>
                <w:szCs w:val="16"/>
                <w:color w:val="auto"/>
                <w:w w:val="99"/>
              </w:rPr>
              <w:t>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43"/>
        </w:trPr>
        <w:tc>
          <w:tcPr>
            <w:tcW w:w="20" w:type="dxa"/>
            <w:vAlign w:val="bottom"/>
          </w:tcPr>
          <w:p>
            <w:pPr>
              <w:spacing w:after="0"/>
              <w:rPr>
                <w:sz w:val="21"/>
                <w:szCs w:val="21"/>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 on modification of retail store leases</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21"/>
                <w:szCs w:val="21"/>
                <w:color w:val="auto"/>
              </w:rPr>
            </w:pPr>
          </w:p>
        </w:tc>
        <w:tc>
          <w:tcPr>
            <w:tcW w:w="162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100" w:type="dxa"/>
            <w:vAlign w:val="bottom"/>
            <w:tcBorders>
              <w:top w:val="single" w:sz="8" w:color="CCEEFF"/>
              <w:bottom w:val="single" w:sz="8" w:color="CCEEFF"/>
            </w:tcBorders>
            <w:gridSpan w:val="2"/>
            <w:shd w:val="clear" w:color="auto" w:fill="CCEEFF"/>
          </w:tcPr>
          <w:p>
            <w:pPr>
              <w:spacing w:after="0" w:line="237" w:lineRule="exact"/>
              <w:rPr>
                <w:sz w:val="20"/>
                <w:szCs w:val="20"/>
                <w:color w:val="auto"/>
              </w:rPr>
            </w:pPr>
            <w:r>
              <w:rPr>
                <w:rFonts w:ascii="Times New Roman" w:cs="Times New Roman" w:eastAsia="Times New Roman" w:hAnsi="Times New Roman"/>
                <w:sz w:val="16"/>
                <w:szCs w:val="16"/>
                <w:color w:val="auto"/>
              </w:rPr>
              <w:t>Total charges</w:t>
            </w:r>
            <w:r>
              <w:rPr>
                <w:rFonts w:ascii="Times New Roman" w:cs="Times New Roman" w:eastAsia="Times New Roman" w:hAnsi="Times New Roman"/>
                <w:sz w:val="21"/>
                <w:szCs w:val="21"/>
                <w:color w:val="auto"/>
                <w:vertAlign w:val="superscript"/>
              </w:rPr>
              <w:t>(2)(3)</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center"/>
              <w:ind w:left="117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gains on the modification of previously impaired retail store leases.</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fiscal quarter ended April 3, 2021 also included corporate charges related to organizational restructuring of $0.5 million.</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charges exclude a customer bankruptcy recovery of $38,000.</w:t>
      </w:r>
    </w:p>
    <w:p>
      <w:pPr>
        <w:spacing w:after="0" w:line="190" w:lineRule="exact"/>
        <w:rPr>
          <w:sz w:val="20"/>
          <w:szCs w:val="20"/>
          <w:color w:val="auto"/>
        </w:rPr>
      </w:pPr>
    </w:p>
    <w:p>
      <w:pPr>
        <w:ind w:right="1220"/>
        <w:spacing w:after="0" w:line="362"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2022 or any other future period, assessment of our performance and financial position, drivers of our sales and earnings growth, the effects of the COVID-19 pandemic, inflationary pressures, and the impacts of supply chain delays, including increased transportation and freight costs.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in our most recently filed Annual Report on Form 10-K, in Part I. under the heading “Item 1A. Risk Factors”, and other reports filed with the Securities and Exchange Commission from time to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are the largest branded marketer of young children’s apparel in North America. We own two of the most highly recognized and trusted brand names in the children’s apparel market,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We also own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a leading young children’s lifestyle brand, exclusive Carter’s brands developed for specific wholesale customers, and L</w:t>
      </w:r>
      <w:r>
        <w:rPr>
          <w:rFonts w:ascii="Times New Roman" w:cs="Times New Roman" w:eastAsia="Times New Roman" w:hAnsi="Times New Roman"/>
          <w:sz w:val="18"/>
          <w:szCs w:val="18"/>
          <w:i w:val="1"/>
          <w:iCs w:val="1"/>
          <w:color w:val="auto"/>
        </w:rPr>
        <w:t>ittle Planet</w:t>
      </w:r>
      <w:r>
        <w:rPr>
          <w:rFonts w:ascii="Times New Roman" w:cs="Times New Roman" w:eastAsia="Times New Roman" w:hAnsi="Times New Roman"/>
          <w:sz w:val="18"/>
          <w:szCs w:val="18"/>
          <w:color w:val="auto"/>
        </w:rPr>
        <w:t>, a brand focused on organic fabrics and sustainable materials.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Established in 1865, our </w:t>
      </w:r>
      <w:r>
        <w:rPr>
          <w:rFonts w:ascii="Times New Roman" w:cs="Times New Roman" w:eastAsia="Times New Roman" w:hAnsi="Times New Roman"/>
          <w:sz w:val="17"/>
          <w:szCs w:val="17"/>
          <w:i w:val="1"/>
          <w:iCs w:val="1"/>
          <w:color w:val="auto"/>
        </w:rPr>
        <w:t>Carter’s</w:t>
      </w:r>
      <w:r>
        <w:rPr>
          <w:rFonts w:ascii="Times New Roman" w:cs="Times New Roman" w:eastAsia="Times New Roman" w:hAnsi="Times New Roman"/>
          <w:sz w:val="17"/>
          <w:szCs w:val="17"/>
          <w:color w:val="auto"/>
        </w:rPr>
        <w:t xml:space="preserve"> brand is recognized and trusted by consumers for high-quality apparel and accessories for children in sizes newborn to 14.</w:t>
      </w:r>
    </w:p>
    <w:p>
      <w:pPr>
        <w:spacing w:after="0" w:line="19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1895,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is a well-known brand, trusted by consumers for high-quality apparel and accessories for children in sizes newborn to 14, with a focus on playclothes for toddlers and young children. We acquired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in 2005.</w:t>
      </w:r>
    </w:p>
    <w:p>
      <w:pPr>
        <w:spacing w:after="0" w:line="131"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2003, the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 re-thinks, re-energizes, and re-imagines durable necessities to create higher value, superior quality, and top-performing products for parents, babies, and toddlers. We acquired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in 2017.</w:t>
      </w:r>
    </w:p>
    <w:p>
      <w:pPr>
        <w:spacing w:after="0" w:line="11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Additionally,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Walmart;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Target, and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available on Amazon.</w:t>
      </w:r>
    </w:p>
    <w:p>
      <w:pPr>
        <w:spacing w:after="0" w:line="118"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color w:val="auto"/>
        </w:rPr>
        <w:t>Launched in 2021, the L</w:t>
      </w:r>
      <w:r>
        <w:rPr>
          <w:rFonts w:ascii="Times New Roman" w:cs="Times New Roman" w:eastAsia="Times New Roman" w:hAnsi="Times New Roman"/>
          <w:sz w:val="18"/>
          <w:szCs w:val="18"/>
          <w:i w:val="1"/>
          <w:iCs w:val="1"/>
          <w:color w:val="auto"/>
        </w:rPr>
        <w:t>ittle Planet</w:t>
      </w:r>
      <w:r>
        <w:rPr>
          <w:rFonts w:ascii="Times New Roman" w:cs="Times New Roman" w:eastAsia="Times New Roman" w:hAnsi="Times New Roman"/>
          <w:sz w:val="18"/>
          <w:szCs w:val="18"/>
          <w:color w:val="auto"/>
        </w:rPr>
        <w:t xml:space="preserve"> brand focuses on sustainable clothing through the sourcing of mostly organic cotton as certified under the Global Organic Textile Standard. This brand includes a wide assortment of baby apparel and accessories, sleepwear, and gift bundles.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mission is to serve the needs of all families with young children, with a vision to be the world’s favorite brands in young children’s apparel and related products. We believe our brands provide a complementary product offering and aesthetic, are each uniquely positioned in the marketplace, and offer strong value to families with young children. Our multi-channel, global business model, which includes retail stores, eCommerce, and wholesale distribution capabilities, as well as omni-channel capabilities in the United States and Canada, enables us to reach a broad range of consumers around the world. We have extensive experience in the young children’s apparel and accessories market and focus on delivering products that satisfy our consumers’ needs. As of April 2, 2022, the Company operated 969 retail stores in North America.</w:t>
      </w:r>
    </w:p>
    <w:p>
      <w:pPr>
        <w:spacing w:after="0" w:line="14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and related notes included in our Annual Report on Form 10-K for the 2021 fiscal year ended January 1,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Gross profit is calculated as consolidated net sales less cost of goods sold less adverse purchase commitments (inventory and raw materials), net, and gross margin is calculated as gross profit divided by consolidated net sales. Cost of goods sold includes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 generally all other expenses other than interest and income taxes are included in Selling, general, and administrative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continued to navigate through the headwinds of the last two years, and in fiscal 2022 we have been able to continue to serve the needs of all families with young children, invest in our business, reduce debt, and return capital to our shareholders. As a result of our strong financial position and recovery from the effects of the COVID-19 pandemic, on March 4, 2022, we called and on April 4, 2022, the Company, through its wholly owned subsidiary, The William Carter Company (“TWCC”) redeemed its $500 million principal amount of senior notes, bearing interest at a rate of 5.500% per annum, and originally maturing on May 15, 2025, which will reduce annual cash interest expense by $27.5 million through May 2025. Additionally, on April 11, 2022, the Company, through TWCC, increased the borrowing capacity of its secured revolving credit facility to $850.0 million (combined U.S. dollar and multicurrency facility borrowings), extended the maturity of the secured revolving credit facility from September 2023 to April 2027, and reduced the number of financial maintenance covenants from two to one.</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our focus on fewer, better, higher profit margin product choices, better inventory management and pricing capabilities, our store unit economics have improved relative to prior years. We expect to close fewer stores and more profitable store opening opportunities are now available to us. We now see an opportunity to open approximately 10 stores in the United States during fiscal 2022 and 100 or more stores in the United States over the next five years, net of closures.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However, the COVID-19 pandemic, along with other geopolitical factors, continues to impact supply chain operations, causing delays in the production and transportation of our product. To help mitigate production delays and meet consumer demand for our products, we have leveraged our strong relationships with our suppliers to shift production schedules when possible, and we have moved more shipments to East Coast ports to hedge against more unpredictable transportation delays through West Coast ports and to hedge against any potential labor disruptions in these West Coast ports. We expect these delays, and the increased costs to mitigate these delays, to continue and to adversely impact our financial results in fiscal 2022.</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Additionally, in the first quarter of fiscal 2022, the costs of raw materials, packaging materials, labor, energy, fuel, and other inputs necessary for the production and distribution of our products have rapidly increased. We expect the pressures of input cost inflation to continue in fiscal 2022. We plan to offset these cost pressures through increases in the selling prices of some of our products, product cost optimization, increasing and diversifying our portfolio of suppliers, entering into shipping container contracts, and other cost controls, although these actions could have an adverse impact on demand and may not be sufficient to cover all increased costs that we may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Fiscal Quarter 2022 Highlights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the following comparisons are to the first quarter of fiscal 2021:</w:t>
      </w:r>
    </w:p>
    <w:p>
      <w:pPr>
        <w:spacing w:after="0" w:line="6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decreased $6.1 million, or 0.8%, to $781.3 million.</w:t>
      </w:r>
    </w:p>
    <w:p>
      <w:pPr>
        <w:spacing w:after="0" w:line="61" w:lineRule="exact"/>
        <w:rPr>
          <w:rFonts w:ascii="Times New Roman" w:cs="Times New Roman" w:eastAsia="Times New Roman" w:hAnsi="Times New Roman"/>
          <w:sz w:val="18"/>
          <w:szCs w:val="18"/>
          <w:color w:val="auto"/>
        </w:rPr>
      </w:pPr>
    </w:p>
    <w:p>
      <w:pPr>
        <w:ind w:left="1300" w:right="140" w:hanging="320"/>
        <w:spacing w:after="0" w:line="261"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Wholesale sales increased 8.4%, primarily due to increased demand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as a result of favorable timing of customer orders and product availability. We continue to successfully manage through the broader supply chain and transportation delays and were able to increase sales despite the Easter holiday occurring later in the second quarter of fiscal 2022, which negatively impacted demand in the current comparative period.</w:t>
      </w:r>
    </w:p>
    <w:p>
      <w:pPr>
        <w:spacing w:after="0" w:line="19"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sales increased 11.0% primarily due to strong performance in our Canadian retail stores due to increased store traffic and increased average selling prices per unit, and strong performance in our Canadian wholesale channels. We also saw significant growth in sales from our international wholesale partners as these partners recovered from business disruptions as a result of COVID-19. Additionally, net sales in the first quarter of fiscal 2021 were unfavorably impacted by temporary store closures related to COVID-19.</w:t>
      </w:r>
    </w:p>
    <w:p>
      <w:pPr>
        <w:spacing w:after="0" w:line="17" w:lineRule="exact"/>
        <w:rPr>
          <w:rFonts w:ascii="Times New Roman" w:cs="Times New Roman" w:eastAsia="Times New Roman" w:hAnsi="Times New Roman"/>
          <w:sz w:val="18"/>
          <w:szCs w:val="18"/>
          <w:color w:val="auto"/>
        </w:rPr>
      </w:pPr>
    </w:p>
    <w:p>
      <w:pPr>
        <w:ind w:left="1300" w:hanging="320"/>
        <w:spacing w:after="0" w:line="258" w:lineRule="auto"/>
        <w:tabs>
          <w:tab w:leader="none" w:pos="129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U.S. Retail sales decreased 10.0% primarily due to lower traffic in our domestic retail stores and decreased sales through our eCommerce channel, partially offset by increased average selling prices per unit. This decrease is also due to persistent winter weather in much of the country and significant comparability issues between periods such as the benefits of pandemic relief legislation, the payments from which did not reoccur in the first quarter of fiscal 2022, decreased store count, and the Easter holiday occurring later in the second quarter of fiscal 2022.</w:t>
      </w:r>
    </w:p>
    <w:p>
      <w:pPr>
        <w:spacing w:after="0" w:line="21" w:lineRule="exact"/>
        <w:rPr>
          <w:rFonts w:ascii="Times New Roman" w:cs="Times New Roman" w:eastAsia="Times New Roman" w:hAnsi="Times New Roman"/>
          <w:sz w:val="14"/>
          <w:szCs w:val="14"/>
          <w:color w:val="auto"/>
        </w:rPr>
      </w:pPr>
    </w:p>
    <w:p>
      <w:pPr>
        <w:ind w:left="660" w:right="180" w:hanging="328"/>
        <w:spacing w:after="0" w:line="282" w:lineRule="auto"/>
        <w:tabs>
          <w:tab w:leader="none" w:pos="656"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Gross profit decreased $36.9 million, or 9.4%, to $355.0 million. Gross margin decreased 440 basis points (“bps”) to 45.4%, primarily driven by increased inbound transportation costs and unfavorable customer and channel mix.</w:t>
      </w:r>
    </w:p>
    <w:p>
      <w:pPr>
        <w:spacing w:after="0" w:line="26" w:lineRule="exact"/>
        <w:rPr>
          <w:rFonts w:ascii="Times New Roman" w:cs="Times New Roman" w:eastAsia="Times New Roman" w:hAnsi="Times New Roman"/>
          <w:sz w:val="14"/>
          <w:szCs w:val="14"/>
          <w:b w:val="1"/>
          <w:bCs w:val="1"/>
          <w:color w:val="auto"/>
        </w:rPr>
      </w:pPr>
    </w:p>
    <w:p>
      <w:pPr>
        <w:ind w:left="660" w:right="460" w:hanging="328"/>
        <w:spacing w:after="0" w:line="282" w:lineRule="auto"/>
        <w:tabs>
          <w:tab w:leader="none" w:pos="656"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SG&amp;A expenses as a percentage of total net sales (“SG&amp;A rate”) decreased 120 bps to 33.3%. The decrease in the SG&amp;A rate was primarily driven by decreased performance-based compensation expense and a decrease in other corporate expenses.</w:t>
      </w:r>
    </w:p>
    <w:p>
      <w:pPr>
        <w:spacing w:after="0" w:line="40" w:lineRule="exact"/>
        <w:rPr>
          <w:rFonts w:ascii="Times New Roman" w:cs="Times New Roman" w:eastAsia="Times New Roman" w:hAnsi="Times New Roman"/>
          <w:sz w:val="14"/>
          <w:szCs w:val="14"/>
          <w:b w:val="1"/>
          <w:bCs w:val="1"/>
          <w:color w:val="auto"/>
        </w:rPr>
      </w:pPr>
    </w:p>
    <w:p>
      <w:pPr>
        <w:ind w:left="660" w:right="2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$24.9 million, or 19.5%, to $102.6 million, and operating margin decreased 310 bps to 13.1%, primarily due to the factors discussed above.</w:t>
      </w:r>
    </w:p>
    <w:p>
      <w:pPr>
        <w:spacing w:after="0" w:line="4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$18.3 million, or 21.2%, to $67.9 million, primarily due to the factors discussed above, partially offset by a decrease in income taxes.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common share decreased $0.30, or 15.3%, to $1.66.</w:t>
      </w:r>
    </w:p>
    <w:p>
      <w:pPr>
        <w:spacing w:after="0" w:line="10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Compared to the first quarter of fiscal 2019, we have improved profitability as a result of our strong product offerings, increased price realization, and productivity initiatives.</w:t>
      </w:r>
    </w:p>
    <w:p>
      <w:pPr>
        <w:spacing w:after="0" w:line="40" w:lineRule="exact"/>
        <w:rPr>
          <w:rFonts w:ascii="Times New Roman" w:cs="Times New Roman" w:eastAsia="Times New Roman" w:hAnsi="Times New Roman"/>
          <w:sz w:val="14"/>
          <w:szCs w:val="14"/>
          <w:color w:val="auto"/>
        </w:rPr>
      </w:pPr>
    </w:p>
    <w:p>
      <w:pPr>
        <w:ind w:left="1300" w:right="80" w:hanging="320"/>
        <w:spacing w:after="0" w:line="282"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the first quarter of fiscal 2019, gross profit increased $39.2 million, or 12.4%, and gross margin increased 280 bps, primarily due to increased average selling prices per unit, partially offset by the increased inbound transportation costs mentioned above.</w:t>
      </w:r>
    </w:p>
    <w:p>
      <w:pPr>
        <w:spacing w:after="0" w:line="26" w:lineRule="exact"/>
        <w:rPr>
          <w:rFonts w:ascii="Times New Roman" w:cs="Times New Roman" w:eastAsia="Times New Roman" w:hAnsi="Times New Roman"/>
          <w:sz w:val="18"/>
          <w:szCs w:val="18"/>
          <w:color w:val="auto"/>
        </w:rPr>
      </w:pPr>
    </w:p>
    <w:p>
      <w:pPr>
        <w:jc w:val="both"/>
        <w:ind w:left="1300" w:right="320" w:hanging="320"/>
        <w:spacing w:after="0" w:line="289" w:lineRule="auto"/>
        <w:tabs>
          <w:tab w:leader="none" w:pos="129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Compared to the first quarter of fiscal 2019, operating income increased $41.9 million, or 68.9%, and operating margin increased 490 bps, primarily due to the increase in gross margin discussed above and a 230 decrease in SG&amp;A rate. The decrease in SG&amp;A rate was primarily due to better leverage of retail store expenses and other fixed costs and the closure of less profitable stores in fiscal 2021.</w:t>
      </w:r>
    </w:p>
    <w:p>
      <w:pPr>
        <w:spacing w:after="0" w:line="36" w:lineRule="exact"/>
        <w:rPr>
          <w:rFonts w:ascii="Times New Roman" w:cs="Times New Roman" w:eastAsia="Times New Roman" w:hAnsi="Times New Roman"/>
          <w:sz w:val="17"/>
          <w:szCs w:val="17"/>
          <w:color w:val="auto"/>
        </w:rPr>
      </w:pPr>
    </w:p>
    <w:p>
      <w:pPr>
        <w:ind w:left="660" w:right="6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$119.0 million, or 21.2%, to $679.7 million primarily due to increased in-transit inventory as a result of delays in the transportation of our products and planned early inventory ownership to offset these transportation delays.</w:t>
      </w:r>
    </w:p>
    <w:p>
      <w:pPr>
        <w:spacing w:after="0" w:line="4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increased $124.3 million, primarily due to changes in working capital, including decreased accounts payable, planned early inventory ownership, and payment of our fiscal 2021 performance-based compensation.</w:t>
      </w:r>
    </w:p>
    <w:p>
      <w:pPr>
        <w:spacing w:after="0" w:line="26"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strong financial position and available liquidity, we were able to return $105.1 million to our shareholders, comprised of $74.5 million in share repurchases and $30.6 million in cash dividends.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FISCAL QUARTER ENDED APRIL 2, 2022 COMPARED TO FIRST FISCAL QUARTER ENDED APRIL 3, 2021</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All percentages shown in the below table and the discussion that follows have been calculated using unrounded numbers.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8"/>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30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30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3, 2021</w:t>
            </w:r>
          </w:p>
        </w:tc>
        <w:tc>
          <w:tcPr>
            <w:tcW w:w="26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 bps Change</w:t>
            </w:r>
          </w:p>
        </w:tc>
      </w:tr>
      <w:tr>
        <w:trPr>
          <w:trHeight w:val="24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sales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781,284</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787,361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10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426,193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401,731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Adverse purchase commitments (inventory and raw</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materials), net</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(6,330)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6,379</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2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355,042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391,960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53"/>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Gross profit as % of consolidated net sales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45.4 %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49.8 %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(440) bps</w:t>
            </w: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3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7,463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53"/>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Royalty income as % of consolidated net sales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0.9 %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 bps</w:t>
            </w: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259,893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271,927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(12,034)</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3"/>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SG&amp;A expenses as % of consolidated net sales</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33.3 %</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34.5 %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(120) bps</w:t>
            </w:r>
          </w:p>
        </w:tc>
      </w:tr>
      <w:tr>
        <w:trPr>
          <w:trHeight w:val="22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102,623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127,496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53"/>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Operating income as % of consolidated net sales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13.1 %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16.2 %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(310) bps</w:t>
            </w: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15,348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5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37"/>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44.2 %</w:t>
            </w: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88,341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113,290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37"/>
        </w:trPr>
        <w:tc>
          <w:tcPr>
            <w:tcW w:w="40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20,408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27,094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(6,686)</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43"/>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Effective tax rate</w:t>
            </w:r>
            <w:r>
              <w:rPr>
                <w:rFonts w:ascii="Times New Roman" w:cs="Times New Roman" w:eastAsia="Times New Roman" w:hAnsi="Times New Roman"/>
                <w:sz w:val="21"/>
                <w:szCs w:val="21"/>
                <w:i w:val="1"/>
                <w:iCs w:val="1"/>
                <w:color w:val="auto"/>
                <w:vertAlign w:val="superscript"/>
              </w:rPr>
              <w:t>(*)</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23.1 %</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23.9 %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(80) bps</w:t>
            </w: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67,933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86,196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(18,263)</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29"/>
        </w:trPr>
        <w:tc>
          <w:tcPr>
            <w:tcW w:w="4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5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bl>
    <w:p>
      <w:pPr>
        <w:spacing w:after="0" w:line="145"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is calculated by dividing the provision for income taxes by income before income taxes.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 Percentage changes that are not considered meaningful are denoted with “nm”.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Consolidated net sales decreased $6.1 million, or 0.8%, to $781.3 million in the first quarter of fiscal 2022. This decrease was primarily driven by decreased net sales in our U.S. Retail segment, offset by increased net sales of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increased net sales in Canada, increased demand with our international wholesale partners as these partners recovered from COVID-19 business disruptions, and increased average selling prices per unit. Significant comparability issues between periods include the benefits of pandemic relief legislation, the payments from which did not reoccur in the first quarter of fiscal 2022, decreased store count, and the Easter holiday occurring later in the second quarter of fiscal 2022.</w:t>
      </w:r>
    </w:p>
    <w:p>
      <w:pPr>
        <w:spacing w:after="0" w:line="1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Changes in foreign currency exchange rates used for translation in the first quarter of fiscal 2022, as compared to the first quarter of fiscal 2021, had an unfavorable effect on our consolidated net sales of approximately $0.2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consolidated gross profit decreased $36.9 million, or 9.4%, to $355.0 million in the first quarter of fiscal 2022. Consolidated gross margin decreased 440 bps to 45.4%.</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decrease in consolidated gross profit and gross margin was primarily driven by increased inbound transportation costs and unfavorable customer and channel mix. The increased transportation costs include increased inbound air freight, primarily related to the U.S. Wholesale segment. Unfavorable customer mix was primarily a result of supply chain delays and short selling windows for late arriving products, resulting in more off-price sales. Increased product costs were generally offset by</w:t>
      </w:r>
    </w:p>
    <w:p>
      <w:pPr>
        <w:sectPr>
          <w:pgSz w:w="11900" w:h="16838" w:orient="portrait"/>
          <w:cols w:equalWidth="0" w:num="1">
            <w:col w:w="11200"/>
          </w:cols>
          <w:pgMar w:left="320" w:top="36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increased average selling prices per unit, As a result of labor shortages, supply chain constraints, and inflation, we expect transportation rates to increase in fiscal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Consolidated SG&amp;A expenses decreased $12.0 million, or 4.4%, to $259.9 million in the first quarter of fiscal 2022 and decreased as a percentage of consolidated net sales by approximately 120 bps to 33.3%. This decrease in the SG&amp;A rate was primarily driven by decreased performance-based compensation expense. Additional drivers include decreased bad debt expense due to improved performance across our wholesale customers and a decrease in other corporate expenses, which were partially offset by increased marketing costs, fixed costs deleverage in our U.S. eCommerce channel, and increased outbound freights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Consolidated operating income decreased $24.9 million, or 19.5%, to $102.6 million in the first quarter of fiscal 2022 and consolidated operating margin decreased 310 bps to 13.1%, primarily due to the factors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Interest expense decreased $0.2 million, or 1.4%, to $15.1 million in the first quarter of fiscal 2022. Weighted-average borrowings for the first quarter of fiscal 2022 were $1.00 billion at an effective interest rate of 6.00%, compared to weighted-average borrowings for the first quarter of fiscal 2021 of $1.00 billion at an effective interest rate of 6.05%.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consolidated income tax provision decreased $6.7 million, or 24.7%, to $20.4 million in the first quarter of fiscal 2022 and the effective tax rate decreased 80 bps to 23.1%. The decreased effective tax rate for the first quarter of fiscal 2022 primarily relates to an expected decrease in non-deductible officer’s compensation in fiscal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Consolidated net income decreased $18.3 million, or 21.2%, to $67.9 million in the first quarter of fiscal 2022, primarily due to the factors previously discussed.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 - First Quarter of Fiscal 2022 compared to First Quarter of Fiscal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and operating income, by segment, for the first quarter of fiscal 2022 and the first quarter of fiscal 2021:</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0"/>
        </w:trPr>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 consolidated</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 consolidated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9"/>
        </w:trPr>
        <w:tc>
          <w:tcPr>
            <w:tcW w:w="30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2, 2022</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 2021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3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366,358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407,067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53"/>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307,301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283,377</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r>
      <w:tr>
        <w:trPr>
          <w:trHeight w:val="237"/>
        </w:trPr>
        <w:tc>
          <w:tcPr>
            <w:tcW w:w="3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107,625</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96,917</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10,708</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68"/>
        </w:trPr>
        <w:tc>
          <w:tcPr>
            <w:tcW w:w="3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Consolidated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781,284</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787,361</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3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76,521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(26,527)</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53"/>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70,058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3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46"/>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4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(18,265)</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(28,817)</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36.6 %</w:t>
            </w:r>
          </w:p>
        </w:tc>
      </w:tr>
      <w:tr>
        <w:trPr>
          <w:trHeight w:val="243"/>
        </w:trPr>
        <w:tc>
          <w:tcPr>
            <w:tcW w:w="3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127,496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(24,873)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0"/>
        </w:trPr>
        <w:tc>
          <w:tcPr>
            <w:tcW w:w="3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 Metrics</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comparable store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method of calculating sales metrics varies across the retail industry. As a result, our comparable sales metrics may not be comparable to those of other retailers.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U.S. Retail segment net sales decreased $40.7 million, or 10.0%, to $366.4 million in the first quarter of fiscal 2022. The decrease in net sales was primarily driven by decreased net sales in our domestic retail stores and decreased net sales in our eCommerce channels. These drivers were partially offset by increased average selling prices per unit as a result of decreased promotions. This decrease in net sales is due to persistent winter weather in much of the country and significant comparability issues between periods such as the benefits of pandemic relief legislation, the payments from which did not reoccur in the first quarter of fiscal 2022, decreased store count, and the Easter holiday occurring later in the second quarter of fiscal 2022.</w:t>
      </w:r>
    </w:p>
    <w:p>
      <w:pPr>
        <w:spacing w:after="0" w:line="14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Comparable net sales, including retail store and eCommerce, decreased 6.6% primarily driven by the factors mentioned above. As of April 2, 2022, we operated 740 retail stores in the U.S. compared to 751 as of January 1, 2022, and 804 as of April 3, 2021.</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U.S. Retail segment operating income decreased $26.5 million, or 34.7%, to $50.0 million and operating margin decreased 520 bps to 13.6%. The primary drivers of the decrease in operating margin were a 80 bps decrease in gross margin and a 440 bps increase in SG&amp;A rate. The decrease in gross margin was primarily due to increased products costs and increased inbound transportation costs, partially offset by increased average selling prices per unit. The increase in SG&amp;A rate was primarily due to fixed costs deleverage as a result of decreased net sales, increased marketing expense, and increased transportation costs, partially offset by decreased performance-based compensation expense.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U.S. Wholesale segment net sales increased $23.9 million, or 8.4%, to $307.3 million in the first quarter of fiscal 2022 primarily due increased demand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as a result of favorable timing of customer orders and product availability.</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U.S. Wholesale segment operating income decreased $9.6 million, or 13.6%, to $60.5 million and operating margin decreased 500 bps to 19.7%. The primary drivers of the decrease in operating margin were a 630 bps decrease in gross margin and a 140 bps decrease in SG&amp;A rate. The decrease in gross margin was primarily due to increased inbound transportation costs, including air freight, unfavorable customer mix, and a release of inventory related reserves in the first quarter of fiscal 2021 that did not reoccur in the first quarter of fiscal 2022. Unfavorable customer mix was primarily a result of supply chain delays and short selling windows for late arriving products, resulting in more off-price sales. Additional drivers include increased product costs, which were partially offset by increased average selling prices per unit. The decrease in the SG&amp;A rate was primarily due to decreased bad debt expense driven by improved performance across our wholesale customers and decreased performance-based compensation expense.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International segment net sales increased $10.7 million, or 11.0%, to $107.6 million in the first quarter of fiscal 2022. Changes in foreign currency exchange rates, primarily between the U.S. dollar and the Canadian dollar, had a $0.2 million unfavorable effect on International segment net sales in the first quarter of fiscal 2022. The increase in net sales was primarily driven by strong performance in our Canadian retail stores due to increased store traffic and increased average selling prices per unit, as well as increased sales in our Canadian wholesale channel. We also saw increased sales to our international partners as these partners recovered from business disruptions as a result of COVID-19. Additionally, net sales in the first quarter of fiscal 2021 were unfavorably impacted by temporary store closures related to COVID-19.</w:t>
      </w:r>
    </w:p>
    <w:p>
      <w:pPr>
        <w:spacing w:after="0" w:line="14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Canadian comparable net sales, including retail store and eCommerce, increased 4.9% primarily driven by growth in our retail stores, partially offset by decreased traffic in our eCommerce channel. As of April 2, 2022, we operated 185 and 44 retail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stores in Canada and Mexico, respectively. As of January 1, 2022, we operated 186 and 43 retail stores in Canada and Mexico, respectively. As of April 3, 2021, we operated 189 and 43 retail stores in Canada and Mexico, respectively.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International segment operating income increased $0.7 million, or 6.7%, to $10.4 million and operating margin decreased 30 bps to 9.7%. The decrease in the operating margin was primarily attributable to a 220 bps decrease in gross margin and a 170 bps decrease in the SG&amp;A rate. The decrease in gross margin was primarily due to increased inbound transportation costs and a release of inventory related reserves in the first quarter of fiscal 2021 that did not reoccur in the first quarter of fiscal 2022. The decrease in the SG&amp;A rate was primarily due to decreased performance-based compensation expense and decreased bad debt expense, partially offset by increased transportation costs.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stock-based compensation.</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Unallocated corporate expenses decreased $10.6 million, or 36.6%, to $18.3 million in the first quarter of fiscal 2022. Unallocated corporate expenses, as a percentage of consolidated net sales, decreased 140 bps to 2.3%. The decrease as a percentage of consolidated net sales was primarily due to decreased performance-based compensation and a decrease in other corporate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ongoing cash needs are primarily for working capital and capital expenditures, interest on debt, and the return of capital to our shareholders. We expect that our primary sources of liquidity will be cash and cash equivalents on hand, cash flow from operations, and available borrowing capacity under our secured revolving credit facility. We believe that our sources of liquidity will fund our project requirements for at least the next twelve months. However, these sources of liquidity may be affected by the COVID-19 pandemic and other events described in our risk factors, as further discussed under the heading “Risk Factors” in our most recently filed Annual Report on Form 10-K and in other reports filed with the Securities and Exchange Commission from time to time.</w:t>
      </w:r>
    </w:p>
    <w:p>
      <w:pPr>
        <w:spacing w:after="0" w:line="147"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As discussed under the heading “Recent Developments” in our most recently filed Annual Report on Form 10-K, we have experienced and expect to continue to experience delays in the production and transportation of our product, and the increased costs to mitigate these delays, to continue and to adversely impact our financial results in fiscal 2022. We cannot predict the timing and amount of such impact.</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April 2, 2022, we had approximately $702.3 million of cash and cash equivalents held at major financial institutions, including approximately $95.3 million held at financial institutions located outside of the United States. In April 2022, we redeemed our $500 million principal amount of senior notes, bearing interest at a rate of 5.500% per annum, and originally maturing on May 15, 2025, with cash on hand. Additionally in April 2022, we borrowed $50.0 million on our secured revolving credit facility to support our working capital requirements.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accounts receivable at April 2, 2022 were $265.7 million compared to $240.2 million at April 3, 2021 and $231.4 million at January 1, 2022. The overall increase of $25.5 million, or 10.6%, at April 2, 2022 compared to April 3, 2021 primarily reflects increased wholesale customer shipments and the timing of customer receipts. Due to the seasonal nature of our operations, the net accounts receivable balance at April 2, 2022 is not comparable to the net accounts receivable balance at January 1, 2022.</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Inventories at April 2, 2022 were $679.7 million compared to $560.7 million at April 3, 2021 and $647.7 million at January 1, 2022. The increase of $119.0 million, or 21.2%, at April 2, 2022 compared to April 3, 2021 was primarily due to increased in-transit inventory as a result of delays in the transportation of our products and planned early inventory ownership to offset these transportation delays, partially offset by decreased pack and hold inventory. Due to the seasonal nature of our operations, the inventories balance at April 2, 2022 is not comparable to the inventories balance at January 1,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Accounts payable at April 2, 2022 were $284.0 million compared to $334.8 million at April 3, 2021 and $407.0 million at January 1, 2022. The decrease of $50.7 million, or 15.2%, at April 2, 2022 compared to April 3, 2021 was primarily due a decrease in vendor payment terms. Due to the seasonal nature of our operations, the accounts payable balance at April 2, 2022 is not comparable to the accounts payable balance at January 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first quarter of fiscal 2022 was $163.8 million compared to $39.5 million in the first quarter of fiscal 2021. Our cash flow provided by operating activities is dependent on net income and changes in our working capital. The increase in net cash used in operating activities was primarily due to a decrease in vendor payment terms, planned early inventory receipts, and payment of our fiscal 2021 performance-based compensation.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first quarter of fiscal 2022 was $7.7 million compared to $6.7 million in the first quarter of fiscal 2021. The increase in net cash used in investing activities was primarily due to proceeds from sales of investments in marketable securities in the first quarter of fiscal 2021 that did not reoccur in the first quarter of fiscal 2022, partially offset by decreased capital expenditures. Capital expenditures in the first quarter of fiscal 2022 primarily included $4.3 million for information technology initiatives, $1.2 million for omni-channel initiatives and our U.S. and international retail store openings and remodels, and $1.5 million for our distribution facilities.</w:t>
      </w:r>
    </w:p>
    <w:p>
      <w:pPr>
        <w:spacing w:after="0" w:line="14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plan to invest approximately $65.0 million in capital expenditures in fiscal 2022, which primarily relates to U.S. and international retail store openings and remodels, strategic information technology initiatives, and investments in our distribution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0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Net cash used in financing activities was $111.5 million in the first quarter of fiscal 2022 compared to $2.8 million in the first quarter of fiscal 2021. This change in cash flow from financing activities was primarily due to the return of capital to our shareholders through common stock share repurchases and cash dividends in the first quarter of fiscal 2022. As a result of actions taken in connection with the COVID-19 pandemic, our common stock share repurchases program was temporarily suspended for the first quarter of fiscal 2021, and we did not declare or pay cash dividends in the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April 2, 2022, we had no outstanding borrowings under our secured revolving credit facility, exclusive of $4.1 million of outstanding letters of credit. As of April 2, 2022, there was approximately $745.9 million available for future borrowing. Any outstanding borrowings under our secured revolving credit facility are classified as non-current liabilities on our consolidated balance sheets due to contractual repayment terms under the credit facility. However, these repayment terms also allow us to repay some or all of the outstanding borrowings at any time.</w:t>
      </w:r>
    </w:p>
    <w:p>
      <w:pPr>
        <w:spacing w:after="0" w:line="13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April 2, 2022, the interest rate margins applicable to the secured revolving credit facility were 1.375% for LIBOR rate and 0.375% for base rate loans.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11, 2022, TWCC and a syndicate of lenders entered into Amendment No. 4 to its fourth amended and restated credit agreement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4”) that, among other things, increased the borrowing capacity of the facility to $850.0 million (combined U.S. dollar and multicurrency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and extended the maturity of the facility from September 2023 to April 2027. Amendment No. 4 also provides for Secured Overnight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Rate (“SOFR”), Sterling Overnight Index Average (“SONIA”), or other customary replacement benchmark floating rates.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million, including both bank fees and other third-party expenses, has been capitalized in connection with Amendment No. 4 in the second quarter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2022 and will be amortized over the remaining term of the secured revolving credit facility. As of April 2, 2022, we were in compliance with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other covenants under our secured revolving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April 2, 2022, the Company had outstanding $500 million principal amount of senior notes at par, bearing interest at a rate of 5.625% per annum, and scheduled to mature on March 15, 2027, and $500 million principal amount of senior notes at par, bearing interest at a rate of 5.500% per annum, and maturing on May 15,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On April 4, 2022, the Company, through its wholly-owned subsidiary, TWCC, redeemed $500 million principal amount of senior notes, bearing interest at a rate of 5.500% per annum, and originally maturing on May 15, 2025. Pursuant to the optional redemption provisions described in the Indenture dated as of May 11, 2020, TWCC paid the outstanding principal plus accrued interest and an Applicable Premium as defined in the Indenture. This debt redemption is estimated to result in a loss on extinguishment of debt of approximately $19.9 million in the second quarter of fiscal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9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2022, we repurchased and retired 793,008 shares in open market transactions for approximately $74.5 million, at an average price of $93.94 per share. As a result of actions taken in connection with the COVID-19 pandemic, we did not repurchase or retire any shares in open market transactions in the first quarter of fiscal 2021.</w:t>
      </w:r>
    </w:p>
    <w:p>
      <w:pPr>
        <w:spacing w:after="0" w:line="14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total remaining capacity under all remaining repurchase authorizations as of April 2, 2022 was approximately $974.7 million, based on settled repurchase transactions. The share repurchase authorizations have no expiration dates.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our discretion subject to restrictions under our revolving credit facility, market conditions, stock price, other investment priorities, and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2022, our Board of Directors declared and we paid quarterly cash dividends of $0.75 per common share. As a result of actions taken in connection with the COVID-19 pandemic, the Board of Directors did not declare and we did not pay cash dividends for the first quarter of fiscal 2021. Our Board of Directors will evaluate future dividend declarations based on a number of factors, including restrictions under our revolving credit facility, business conditions, our financial performance, and other considerations.</w:t>
      </w:r>
    </w:p>
    <w:p>
      <w:pPr>
        <w:spacing w:after="0" w:line="13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Provisions in our secured revolving credit facility could have the effect of restricting our ability to pay cash dividends, or make future repurchases of, our common stock, as further described in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under the heading “Critical Accounting Policies and Estimates” in Item 7 of our most recent Annual Report on Form 10-K for the 2021 fiscal year ended January 1, 2022.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5" w:name="page26"/>
    <w:bookmarkEnd w:id="25"/>
    <w:p>
      <w:pPr>
        <w:ind w:right="4000"/>
        <w:spacing w:after="0" w:line="362"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3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foreign subsidiaries typically record sales denominated in currencies other than the U.S. dollar, which are then translated into U.S. dollars using weighted-average exchange rates. The changes in foreign currency exchange rates used for translation in the first quarter of fiscal 2022, compared to the first quarter of fiscal 2021, had a $0.2 million unfavorable effect on our consolidated net sales.</w:t>
      </w:r>
    </w:p>
    <w:p>
      <w:pPr>
        <w:spacing w:after="0" w:line="14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operating results are subject to risk from interest rate fluctuations on our amended revolving credit facility, which carries variable interest rates. As of April 2, 2022, there were no variable rate borrowings outstanding under the amended revolving credit facility. As a result, the impact of a hypothetical 100 bps increase in the effective interest rate would not result in a material amount of additional interest expense over a 12-month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April 2,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April 2, 2022 that have materially affected, or which are reasonably likely to materially affect, Internal Control.</w:t>
      </w:r>
    </w:p>
    <w:p>
      <w:pPr>
        <w:spacing w:after="0" w:line="1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that materially affected, or were likely to materially affect, such control over financial reporting during the fiscal quarter ended April 2,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5" w:right="4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Form 10-K for the 2021 fiscal year ended January 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during the first quarter of fiscal 2022:</w:t>
      </w:r>
    </w:p>
    <w:p>
      <w:pPr>
        <w:sectPr>
          <w:pgSz w:w="11900" w:h="16838" w:orient="portrait"/>
          <w:cols w:equalWidth="0" w:num="1">
            <w:col w:w="11240"/>
          </w:cols>
          <w:pgMar w:left="320" w:top="1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2, 2022 through January 29, 2022</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30, 2022 through February 26, 2022</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February 27, 2022 through April 2, 2022</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189"/>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value of shares that</w:t>
            </w:r>
          </w:p>
        </w:tc>
      </w:tr>
      <w:tr>
        <w:trPr>
          <w:trHeight w:val="203"/>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 as part of</w:t>
            </w:r>
          </w:p>
        </w:tc>
        <w:tc>
          <w:tcPr>
            <w:tcW w:w="10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may yet be purchased</w:t>
            </w:r>
          </w:p>
        </w:tc>
      </w:tr>
      <w:tr>
        <w:trPr>
          <w:trHeight w:val="189"/>
        </w:trPr>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245"/>
        </w:trPr>
        <w:tc>
          <w:tcPr>
            <w:tcW w:w="1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 purchased</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00" w:type="dxa"/>
            <w:vAlign w:val="bottom"/>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2"/>
              </w:rPr>
              <w:t>programs</w:t>
            </w:r>
            <w:r>
              <w:rPr>
                <w:rFonts w:ascii="Times New Roman" w:cs="Times New Roman" w:eastAsia="Times New Roman" w:hAnsi="Times New Roman"/>
                <w:sz w:val="21"/>
                <w:szCs w:val="21"/>
                <w:b w:val="1"/>
                <w:bCs w:val="1"/>
                <w:color w:val="auto"/>
                <w:w w:val="92"/>
                <w:vertAlign w:val="superscript"/>
              </w:rPr>
              <w:t>(3)(4)</w:t>
            </w:r>
          </w:p>
        </w:tc>
      </w:tr>
      <w:tr>
        <w:trPr>
          <w:trHeight w:val="217"/>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250,295</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96.67</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326,912,202</w:t>
            </w:r>
          </w:p>
        </w:tc>
      </w:tr>
      <w:tr>
        <w:trPr>
          <w:trHeight w:val="405"/>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359,420</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91.31</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998,600,067</w:t>
            </w:r>
          </w:p>
        </w:tc>
      </w:tr>
      <w:tr>
        <w:trPr>
          <w:trHeight w:val="405"/>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253,745</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94.24</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974,697,550</w:t>
            </w:r>
          </w:p>
        </w:tc>
      </w:tr>
      <w:tr>
        <w:trPr>
          <w:trHeight w:val="181"/>
        </w:trPr>
        <w:tc>
          <w:tcPr>
            <w:tcW w:w="1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30"/>
        </w:trPr>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863,460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793,008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-711200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-454025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-196850</wp:posOffset>
            </wp:positionV>
            <wp:extent cx="71323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-976630</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680" w:space="720"/>
            <w:col w:w="6840"/>
          </w:cols>
          <w:pgMar w:left="320" w:top="1265" w:right="339" w:bottom="1440" w:gutter="0" w:footer="0" w:header="0"/>
          <w:type w:val="continuous"/>
        </w:sectPr>
      </w:pPr>
    </w:p>
    <w:p>
      <w:pPr>
        <w:ind w:left="340" w:right="220" w:hanging="332"/>
        <w:spacing w:after="0" w:line="28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our common stock surrendered by our employees to satisfy required tax withholding upon the vesting of restricted stock awards. There were 70,452 shares surrendered between January 30, 2022 and April 2, 2022.</w:t>
      </w:r>
    </w:p>
    <w:p>
      <w:pPr>
        <w:spacing w:after="0" w:line="53" w:lineRule="exact"/>
        <w:rPr>
          <w:rFonts w:ascii="Times New Roman" w:cs="Times New Roman" w:eastAsia="Times New Roman" w:hAnsi="Times New Roman"/>
          <w:sz w:val="14"/>
          <w:szCs w:val="14"/>
          <w:color w:val="auto"/>
        </w:rPr>
      </w:pPr>
    </w:p>
    <w:p>
      <w:pPr>
        <w:jc w:val="both"/>
        <w:ind w:left="340" w:right="560" w:hanging="332"/>
        <w:spacing w:after="0" w:line="30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purchases during the first quarter of fiscal 2022 were made in compliance with all applicable rules and regulations and in accordance with the share repurchase authorizations described in Note 7, Common Stock, to our accompanying unaudited condensed consolidated financial statements included in Part I. Item 1 of this Quarterly Report on Form 10-Q.</w:t>
      </w:r>
    </w:p>
    <w:p>
      <w:pPr>
        <w:spacing w:after="0" w:line="26" w:lineRule="exact"/>
        <w:rPr>
          <w:rFonts w:ascii="Times New Roman" w:cs="Times New Roman" w:eastAsia="Times New Roman" w:hAnsi="Times New Roman"/>
          <w:sz w:val="14"/>
          <w:szCs w:val="14"/>
          <w:color w:val="auto"/>
        </w:rPr>
      </w:pPr>
    </w:p>
    <w:p>
      <w:pPr>
        <w:ind w:left="340" w:right="780" w:hanging="332"/>
        <w:spacing w:after="0" w:line="30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24, 2022, the Company’s Board of Directors authorized share repurchases up to $1.00 billion, inclusive of approximately $301.9 million remaining under previous authorizations.</w:t>
      </w:r>
    </w:p>
    <w:p>
      <w:pPr>
        <w:spacing w:after="0" w:line="26"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share repurchase authorizations approved by our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560" w:type="dxa"/>
            <w:vAlign w:val="bottom"/>
          </w:tcPr>
          <w:p>
            <w:pPr>
              <w:spacing w:after="0"/>
              <w:rPr>
                <w:sz w:val="16"/>
                <w:szCs w:val="16"/>
                <w:color w:val="auto"/>
              </w:rPr>
            </w:pPr>
          </w:p>
        </w:tc>
        <w:tc>
          <w:tcPr>
            <w:tcW w:w="950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r>
      <w:tr>
        <w:trPr>
          <w:trHeight w:val="20"/>
        </w:trPr>
        <w:tc>
          <w:tcPr>
            <w:tcW w:w="1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560" w:type="dxa"/>
            <w:vAlign w:val="bottom"/>
          </w:tcPr>
          <w:p>
            <w:pPr>
              <w:spacing w:after="0"/>
              <w:rPr>
                <w:sz w:val="24"/>
                <w:szCs w:val="24"/>
                <w:color w:val="auto"/>
              </w:rPr>
            </w:pPr>
          </w:p>
        </w:tc>
        <w:tc>
          <w:tcPr>
            <w:tcW w:w="92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Certificate of Incorporation of Carter’s, Inc., as amended on May 22, 2017 (incorporated by reference to Exhibit 3.1 of Carter’s, Inc.’s Current</w:t>
              </w:r>
            </w:hyperlink>
          </w:p>
        </w:tc>
        <w:tc>
          <w:tcPr>
            <w:tcW w:w="28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500" w:type="dxa"/>
            <w:vAlign w:val="bottom"/>
            <w:gridSpan w:val="8"/>
          </w:tcPr>
          <w:p>
            <w:pPr>
              <w:spacing w:after="0" w:line="183"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Report on Form 8-K filed on May 23, 2017).</w:t>
              </w:r>
            </w:hyperlink>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r>
      <w:tr>
        <w:trPr>
          <w:trHeight w:val="399"/>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560" w:type="dxa"/>
            <w:vAlign w:val="bottom"/>
          </w:tcPr>
          <w:p>
            <w:pPr>
              <w:spacing w:after="0"/>
              <w:rPr>
                <w:sz w:val="24"/>
                <w:szCs w:val="24"/>
                <w:color w:val="auto"/>
              </w:rPr>
            </w:pPr>
          </w:p>
        </w:tc>
        <w:tc>
          <w:tcPr>
            <w:tcW w:w="950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Amended and Restated By-Laws of Carter’s, Inc. (incorporated by reference to Exhibit 3.2 of Carter’s, Inc.’s Current Report on Form 8-K filed on</w:t>
              </w:r>
            </w:hyperlink>
          </w:p>
        </w:tc>
      </w:tr>
      <w:tr>
        <w:trPr>
          <w:trHeight w:val="183"/>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9"/>
              </w:rPr>
            </w:pPr>
            <w:hyperlink r:id="rId58">
              <w:r>
                <w:rPr>
                  <w:rFonts w:ascii="Times New Roman" w:cs="Times New Roman" w:eastAsia="Times New Roman" w:hAnsi="Times New Roman"/>
                  <w:sz w:val="16"/>
                  <w:szCs w:val="16"/>
                  <w:color w:val="0000FF"/>
                  <w:w w:val="99"/>
                </w:rPr>
                <w:t>May 23, 2017).</w:t>
              </w:r>
            </w:hyperlink>
          </w:p>
        </w:tc>
        <w:tc>
          <w:tcPr>
            <w:tcW w:w="8500" w:type="dxa"/>
            <w:vAlign w:val="bottom"/>
            <w:gridSpan w:val="7"/>
          </w:tcPr>
          <w:p>
            <w:pPr>
              <w:spacing w:after="0"/>
              <w:rPr>
                <w:sz w:val="15"/>
                <w:szCs w:val="15"/>
                <w:color w:val="auto"/>
              </w:rPr>
            </w:pPr>
          </w:p>
        </w:tc>
      </w:tr>
      <w:tr>
        <w:trPr>
          <w:trHeight w:val="39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60" w:type="dxa"/>
            <w:vAlign w:val="bottom"/>
          </w:tcPr>
          <w:p>
            <w:pPr>
              <w:spacing w:after="0"/>
              <w:rPr>
                <w:sz w:val="24"/>
                <w:szCs w:val="24"/>
                <w:color w:val="auto"/>
              </w:rPr>
            </w:pPr>
          </w:p>
        </w:tc>
        <w:tc>
          <w:tcPr>
            <w:tcW w:w="4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Rule 13a-15(e)/15d-15(e) and 13a-15(f)/15d-15(f) Certification.</w:t>
            </w:r>
          </w:p>
        </w:tc>
        <w:tc>
          <w:tcPr>
            <w:tcW w:w="5340" w:type="dxa"/>
            <w:vAlign w:val="bottom"/>
            <w:gridSpan w:val="2"/>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60" w:type="dxa"/>
            <w:vAlign w:val="bottom"/>
          </w:tcPr>
          <w:p>
            <w:pPr>
              <w:spacing w:after="0"/>
              <w:rPr>
                <w:sz w:val="24"/>
                <w:szCs w:val="24"/>
                <w:color w:val="auto"/>
              </w:rPr>
            </w:pPr>
          </w:p>
        </w:tc>
        <w:tc>
          <w:tcPr>
            <w:tcW w:w="95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Rule 13a-15(e)/15d-15(e) and 13a-15(f)/15d-15(f) Certification.</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560" w:type="dxa"/>
            <w:vAlign w:val="bottom"/>
          </w:tcPr>
          <w:p>
            <w:pPr>
              <w:spacing w:after="0"/>
              <w:rPr>
                <w:sz w:val="24"/>
                <w:szCs w:val="24"/>
                <w:color w:val="auto"/>
              </w:rPr>
            </w:pPr>
          </w:p>
        </w:tc>
        <w:tc>
          <w:tcPr>
            <w:tcW w:w="41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Section 1350 Certification.</w:t>
            </w:r>
          </w:p>
        </w:tc>
        <w:tc>
          <w:tcPr>
            <w:tcW w:w="5360" w:type="dxa"/>
            <w:vAlign w:val="bottom"/>
            <w:gridSpan w:val="3"/>
          </w:tcPr>
          <w:p>
            <w:pPr>
              <w:spacing w:after="0"/>
              <w:rPr>
                <w:sz w:val="24"/>
                <w:szCs w:val="24"/>
                <w:color w:val="auto"/>
              </w:rPr>
            </w:pPr>
          </w:p>
        </w:tc>
      </w:tr>
      <w:tr>
        <w:trPr>
          <w:trHeight w:val="20"/>
        </w:trPr>
        <w:tc>
          <w:tcPr>
            <w:tcW w:w="1700" w:type="dxa"/>
            <w:vAlign w:val="bottom"/>
            <w:gridSpan w:val="2"/>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7760" w:type="dxa"/>
            <w:vAlign w:val="bottom"/>
            <w:gridSpan w:val="5"/>
          </w:tcPr>
          <w:p>
            <w:pPr>
              <w:spacing w:after="0" w:line="20" w:lineRule="exact"/>
              <w:rPr>
                <w:sz w:val="1"/>
                <w:szCs w:val="1"/>
                <w:color w:val="auto"/>
              </w:rPr>
            </w:pPr>
          </w:p>
        </w:tc>
      </w:tr>
      <w:tr>
        <w:trPr>
          <w:trHeight w:val="439"/>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 (101).INS</w:t>
            </w:r>
          </w:p>
        </w:tc>
        <w:tc>
          <w:tcPr>
            <w:tcW w:w="95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Instance Document - the instant document does not appear in the Interactive Data File because its XBRL tags are embedded within the</w:t>
            </w: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43"/>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 (101).SCH</w:t>
            </w:r>
          </w:p>
        </w:tc>
        <w:tc>
          <w:tcPr>
            <w:tcW w:w="95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43"/>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 (101).CAL</w:t>
            </w:r>
          </w:p>
        </w:tc>
        <w:tc>
          <w:tcPr>
            <w:tcW w:w="95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43"/>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 (101).DEF</w:t>
            </w:r>
          </w:p>
        </w:tc>
        <w:tc>
          <w:tcPr>
            <w:tcW w:w="95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43"/>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 (101).LAB</w:t>
            </w:r>
          </w:p>
        </w:tc>
        <w:tc>
          <w:tcPr>
            <w:tcW w:w="95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43"/>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 (101).PRE</w:t>
            </w:r>
          </w:p>
        </w:tc>
        <w:tc>
          <w:tcPr>
            <w:tcW w:w="95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43"/>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 104</w:t>
            </w:r>
          </w:p>
        </w:tc>
        <w:tc>
          <w:tcPr>
            <w:tcW w:w="95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The cover page from this Current Report on Form 10-Q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28" w:name="page29"/>
    <w:bookmarkEnd w:id="28"/>
    <w:p>
      <w:pPr>
        <w:spacing w:after="0" w:line="2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50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CARTER’S, INC.</w:t>
            </w:r>
          </w:p>
        </w:tc>
      </w:tr>
      <w:tr>
        <w:trPr>
          <w:trHeight w:val="858"/>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April 29, 2022</w:t>
            </w:r>
          </w:p>
        </w:tc>
        <w:tc>
          <w:tcPr>
            <w:tcW w:w="9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MICHAEL D. CASEY</w:t>
            </w:r>
          </w:p>
        </w:tc>
      </w:tr>
      <w:tr>
        <w:trPr>
          <w:trHeight w:val="40"/>
        </w:trPr>
        <w:tc>
          <w:tcPr>
            <w:tcW w:w="1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223"/>
        </w:trPr>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D. Casey</w:t>
            </w:r>
          </w:p>
        </w:tc>
      </w:tr>
      <w:tr>
        <w:trPr>
          <w:trHeight w:val="243"/>
        </w:trPr>
        <w:tc>
          <w:tcPr>
            <w:tcW w:w="1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r>
      <w:tr>
        <w:trPr>
          <w:trHeight w:val="257"/>
        </w:trPr>
        <w:tc>
          <w:tcPr>
            <w:tcW w:w="1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200" w:type="dxa"/>
        <w:tblCellMar>
          <w:top w:w="0" w:type="dxa"/>
          <w:left w:w="0" w:type="dxa"/>
          <w:bottom w:w="0" w:type="dxa"/>
          <w:right w:w="0" w:type="dxa"/>
        </w:tblCellMar>
      </w:tblPr>
      <w:tr>
        <w:trPr>
          <w:trHeight w:val="210"/>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April 29, 2022</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RICHARD F. WESTENBERGER</w:t>
            </w:r>
          </w:p>
        </w:tc>
      </w:tr>
      <w:tr>
        <w:trPr>
          <w:trHeight w:val="40"/>
        </w:trPr>
        <w:tc>
          <w:tcPr>
            <w:tcW w:w="278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224"/>
        </w:trPr>
        <w:tc>
          <w:tcPr>
            <w:tcW w:w="278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Richard F. Westenberger</w:t>
            </w:r>
          </w:p>
        </w:tc>
      </w:tr>
      <w:tr>
        <w:trPr>
          <w:trHeight w:val="243"/>
        </w:trPr>
        <w:tc>
          <w:tcPr>
            <w:tcW w:w="278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Executive Vice President and</w:t>
            </w:r>
          </w:p>
        </w:tc>
      </w:tr>
      <w:tr>
        <w:trPr>
          <w:trHeight w:val="256"/>
        </w:trPr>
        <w:tc>
          <w:tcPr>
            <w:tcW w:w="2780" w:type="dxa"/>
            <w:vAlign w:val="bottom"/>
          </w:tcPr>
          <w:p>
            <w:pPr>
              <w:spacing w:after="0"/>
              <w:rPr>
                <w:sz w:val="22"/>
                <w:szCs w:val="22"/>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57"/>
        </w:trPr>
        <w:tc>
          <w:tcPr>
            <w:tcW w:w="2780" w:type="dxa"/>
            <w:vAlign w:val="bottom"/>
          </w:tcPr>
          <w:p>
            <w:pPr>
              <w:spacing w:after="0"/>
              <w:rPr>
                <w:sz w:val="22"/>
                <w:szCs w:val="22"/>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340"/>
          </w:cols>
          <w:pgMar w:left="320" w:top="1440" w:right="1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Casey, certify that:</w:t>
      </w:r>
    </w:p>
    <w:p>
      <w:pPr>
        <w:spacing w:after="0" w:line="131"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1980"/>
        <w:spacing w:after="0"/>
        <w:tabs>
          <w:tab w:leader="none" w:pos="6880" w:val="left"/>
        </w:tabs>
        <w:rPr>
          <w:sz w:val="20"/>
          <w:szCs w:val="20"/>
          <w:color w:val="auto"/>
        </w:rPr>
      </w:pPr>
      <w:r>
        <w:rPr>
          <w:rFonts w:ascii="Times New Roman" w:cs="Times New Roman" w:eastAsia="Times New Roman" w:hAnsi="Times New Roman"/>
          <w:sz w:val="18"/>
          <w:szCs w:val="18"/>
          <w:color w:val="auto"/>
        </w:rPr>
        <w:t>April 29, 2022</w:t>
      </w:r>
      <w:r>
        <w:rPr>
          <w:sz w:val="20"/>
          <w:szCs w:val="20"/>
          <w:color w:val="auto"/>
        </w:rPr>
        <w:tab/>
      </w:r>
      <w:r>
        <w:rPr>
          <w:rFonts w:ascii="Times New Roman" w:cs="Times New Roman" w:eastAsia="Times New Roman" w:hAnsi="Times New Roman"/>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26035</wp:posOffset>
            </wp:positionV>
            <wp:extent cx="184340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843405" cy="17145"/>
                    </a:xfrm>
                    <a:prstGeom prst="rect">
                      <a:avLst/>
                    </a:prstGeom>
                    <a:noFill/>
                  </pic:spPr>
                </pic:pic>
              </a:graphicData>
            </a:graphic>
          </wp:anchor>
        </w:drawing>
      </w:r>
    </w:p>
    <w:p>
      <w:pPr>
        <w:spacing w:after="0" w:line="57"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color w:val="auto"/>
        </w:rPr>
        <w:t>Michael D. Casey</w:t>
      </w:r>
    </w:p>
    <w:p>
      <w:pPr>
        <w:spacing w:after="0" w:line="27"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3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4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860"/>
        <w:spacing w:after="0"/>
        <w:tabs>
          <w:tab w:leader="none" w:pos="6320" w:val="left"/>
        </w:tabs>
        <w:rPr>
          <w:sz w:val="20"/>
          <w:szCs w:val="20"/>
          <w:color w:val="auto"/>
        </w:rPr>
      </w:pPr>
      <w:r>
        <w:rPr>
          <w:rFonts w:ascii="Times New Roman" w:cs="Times New Roman" w:eastAsia="Times New Roman" w:hAnsi="Times New Roman"/>
          <w:sz w:val="18"/>
          <w:szCs w:val="18"/>
          <w:color w:val="auto"/>
        </w:rPr>
        <w:t>April 29, 2022</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1774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177415" cy="1714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012"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ind w:right="160" w:firstLine="180"/>
        <w:spacing w:after="0" w:line="266" w:lineRule="auto"/>
        <w:rPr>
          <w:sz w:val="20"/>
          <w:szCs w:val="20"/>
          <w:color w:val="auto"/>
        </w:rPr>
      </w:pPr>
      <w:r>
        <w:rPr>
          <w:rFonts w:ascii="Times New Roman" w:cs="Times New Roman" w:eastAsia="Times New Roman" w:hAnsi="Times New Roman"/>
          <w:sz w:val="18"/>
          <w:szCs w:val="18"/>
          <w:color w:val="auto"/>
        </w:rPr>
        <w:t>Each of the undersigned in the capacity indicated hereby certifies that, to his knowledge, this Report on Form 10-Q for the fiscal quarter ended April 2, 2022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86" w:lineRule="exact"/>
        <w:rPr>
          <w:sz w:val="20"/>
          <w:szCs w:val="20"/>
          <w:color w:val="auto"/>
        </w:rPr>
      </w:pPr>
    </w:p>
    <w:p>
      <w:pPr>
        <w:ind w:left="1640"/>
        <w:spacing w:after="0"/>
        <w:tabs>
          <w:tab w:leader="none" w:pos="6460" w:val="left"/>
        </w:tabs>
        <w:rPr>
          <w:sz w:val="20"/>
          <w:szCs w:val="20"/>
          <w:color w:val="auto"/>
        </w:rPr>
      </w:pPr>
      <w:r>
        <w:rPr>
          <w:rFonts w:ascii="Times New Roman" w:cs="Times New Roman" w:eastAsia="Times New Roman" w:hAnsi="Times New Roman"/>
          <w:sz w:val="18"/>
          <w:szCs w:val="18"/>
          <w:color w:val="auto"/>
        </w:rPr>
        <w:t>April 29, 2022</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154305</wp:posOffset>
            </wp:positionV>
            <wp:extent cx="279463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color w:val="auto"/>
        </w:rPr>
        <w:t>Michael D. Casey</w:t>
      </w:r>
    </w:p>
    <w:p>
      <w:pPr>
        <w:spacing w:after="0" w:line="27"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40"/>
        <w:spacing w:after="0"/>
        <w:tabs>
          <w:tab w:leader="none" w:pos="6060" w:val="left"/>
        </w:tabs>
        <w:rPr>
          <w:sz w:val="20"/>
          <w:szCs w:val="20"/>
          <w:color w:val="auto"/>
        </w:rPr>
      </w:pPr>
      <w:r>
        <w:rPr>
          <w:rFonts w:ascii="Times New Roman" w:cs="Times New Roman" w:eastAsia="Times New Roman" w:hAnsi="Times New Roman"/>
          <w:sz w:val="18"/>
          <w:szCs w:val="18"/>
          <w:color w:val="auto"/>
        </w:rPr>
        <w:t>April 29, 2022</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154305</wp:posOffset>
            </wp:positionV>
            <wp:extent cx="279463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firstLine="177"/>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lvl w:ilvl="1">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57" Type="http://schemas.openxmlformats.org/officeDocument/2006/relationships/hyperlink" Target="http://www.sec.gov/Archives/edgar/data/1060822/000119312517179483/d400342dex31.htm" TargetMode="External"/><Relationship Id="rId58" Type="http://schemas.openxmlformats.org/officeDocument/2006/relationships/hyperlink" Target="http://www.sec.gov/Archives/edgar/data/1060822/000119312517179483/d40034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2022-04-29T10:04:39Z</dcterms:created>
  <dcterms:modified xsi:type="dcterms:W3CDTF">2022-04-29T10:04:39Z</dcterms:modified>
</cp:coreProperties>
</file>